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C71B" w14:textId="7B0027FC" w:rsidR="004B1B3B" w:rsidRPr="00735A8C" w:rsidRDefault="009D6C76" w:rsidP="00735A8C">
      <w:pPr>
        <w:keepNext/>
        <w:keepLines/>
        <w:spacing w:before="360" w:after="80" w:line="480" w:lineRule="auto"/>
        <w:outlineLvl w:val="0"/>
        <w:rPr>
          <w:rFonts w:ascii="Times New Roman" w:eastAsia="Times New Roman" w:hAnsi="Times New Roman" w:cs="Times New Roman"/>
          <w:b/>
          <w:color w:val="000000"/>
          <w:kern w:val="0"/>
          <w:sz w:val="24"/>
          <w:szCs w:val="24"/>
          <w:lang w:eastAsia="en-GB"/>
        </w:rPr>
      </w:pPr>
      <w:r w:rsidRPr="009D6C76">
        <w:rPr>
          <w:rFonts w:ascii="Times New Roman" w:eastAsia="Times New Roman" w:hAnsi="Times New Roman" w:cs="Times New Roman"/>
          <w:b/>
          <w:color w:val="000000"/>
          <w:kern w:val="0"/>
          <w:sz w:val="24"/>
          <w:szCs w:val="24"/>
          <w:lang w:eastAsia="en-GB"/>
        </w:rPr>
        <w:t>DISRUPTED MATRESCENCE: A qualitative systematic review and meta-ethnography exploring the impact of flooding disasters during pregnancy</w:t>
      </w:r>
      <w:r w:rsidR="00962A73">
        <w:rPr>
          <w:rFonts w:ascii="Times New Roman" w:eastAsia="Times New Roman" w:hAnsi="Times New Roman" w:cs="Times New Roman"/>
          <w:b/>
          <w:color w:val="000000"/>
          <w:kern w:val="0"/>
          <w:sz w:val="24"/>
          <w:szCs w:val="24"/>
          <w:lang w:eastAsia="en-GB"/>
        </w:rPr>
        <w:t xml:space="preserve">. </w:t>
      </w:r>
      <w:r w:rsidR="00BA728A">
        <w:rPr>
          <w:rFonts w:ascii="Calibri" w:hAnsi="Calibri" w:cs="Calibri"/>
          <w:b/>
          <w:bCs/>
          <w:sz w:val="24"/>
          <w:szCs w:val="24"/>
        </w:rPr>
        <w:t xml:space="preserve">Maternal and Child Health journal. </w:t>
      </w:r>
      <w:r w:rsidR="00962A73">
        <w:rPr>
          <w:rFonts w:ascii="Calibri" w:hAnsi="Calibri" w:cs="Calibri"/>
          <w:b/>
          <w:bCs/>
          <w:sz w:val="24"/>
          <w:szCs w:val="24"/>
        </w:rPr>
        <w:t xml:space="preserve">Mason-Jones AJ, Babasola D, Dinam-Badzi C, Afumaa E, Mroz E, Adjorlolo S. </w:t>
      </w:r>
      <w:r w:rsidR="00735A8C">
        <w:rPr>
          <w:rFonts w:ascii="Calibri" w:hAnsi="Calibri" w:cs="Calibri"/>
          <w:b/>
          <w:bCs/>
          <w:sz w:val="24"/>
          <w:szCs w:val="24"/>
        </w:rPr>
        <w:t>Corresponding author: amanda.mason-jones@york.ac.uk</w:t>
      </w:r>
    </w:p>
    <w:p w14:paraId="3E25CDC5" w14:textId="5D0BC5D1" w:rsidR="00163EC8" w:rsidRPr="00516E8E" w:rsidRDefault="00355DB0" w:rsidP="00144629">
      <w:pPr>
        <w:spacing w:line="480" w:lineRule="auto"/>
        <w:rPr>
          <w:rFonts w:ascii="Calibri" w:hAnsi="Calibri" w:cs="Calibri"/>
          <w:b/>
          <w:bCs/>
          <w:sz w:val="24"/>
          <w:szCs w:val="24"/>
        </w:rPr>
      </w:pPr>
      <w:r>
        <w:rPr>
          <w:rFonts w:ascii="Calibri" w:hAnsi="Calibri" w:cs="Calibri"/>
          <w:b/>
          <w:bCs/>
          <w:sz w:val="24"/>
          <w:szCs w:val="24"/>
        </w:rPr>
        <w:t xml:space="preserve">Online Resource </w:t>
      </w:r>
      <w:r w:rsidR="00DA1524">
        <w:rPr>
          <w:rFonts w:ascii="Calibri" w:hAnsi="Calibri" w:cs="Calibri"/>
          <w:b/>
          <w:bCs/>
          <w:sz w:val="24"/>
          <w:szCs w:val="24"/>
        </w:rPr>
        <w:t>1</w:t>
      </w:r>
      <w:r w:rsidR="00163EC8" w:rsidRPr="00516E8E">
        <w:rPr>
          <w:rFonts w:ascii="Calibri" w:hAnsi="Calibri" w:cs="Calibri"/>
          <w:b/>
          <w:bCs/>
          <w:sz w:val="24"/>
          <w:szCs w:val="24"/>
        </w:rPr>
        <w:t>: Search Strategies for all databases</w:t>
      </w:r>
    </w:p>
    <w:tbl>
      <w:tblPr>
        <w:tblStyle w:val="TableGrid"/>
        <w:tblW w:w="0" w:type="auto"/>
        <w:tblLook w:val="04A0" w:firstRow="1" w:lastRow="0" w:firstColumn="1" w:lastColumn="0" w:noHBand="0" w:noVBand="1"/>
      </w:tblPr>
      <w:tblGrid>
        <w:gridCol w:w="9016"/>
      </w:tblGrid>
      <w:tr w:rsidR="00421F30" w14:paraId="73062D49" w14:textId="77777777" w:rsidTr="00421F30">
        <w:tc>
          <w:tcPr>
            <w:tcW w:w="9016" w:type="dxa"/>
          </w:tcPr>
          <w:p w14:paraId="01DA6787" w14:textId="77777777" w:rsidR="00421F30" w:rsidRPr="00516E8E" w:rsidRDefault="00421F30" w:rsidP="00421F30">
            <w:pPr>
              <w:pStyle w:val="NormalWeb"/>
              <w:spacing w:before="0" w:beforeAutospacing="0" w:after="160" w:afterAutospacing="0" w:line="480" w:lineRule="auto"/>
              <w:rPr>
                <w:rFonts w:ascii="Calibri" w:hAnsi="Calibri" w:cs="Calibri"/>
                <w:b/>
                <w:bCs/>
              </w:rPr>
            </w:pPr>
            <w:r w:rsidRPr="00F032D0">
              <w:rPr>
                <w:rFonts w:ascii="Calibri" w:hAnsi="Calibri" w:cs="Calibri"/>
                <w:b/>
                <w:bCs/>
                <w:shd w:val="clear" w:color="auto" w:fill="FFFFFF"/>
              </w:rPr>
              <w:t>African Index Medicus via Global Index Medicus hosted by WHO</w:t>
            </w:r>
          </w:p>
          <w:p w14:paraId="32C26030" w14:textId="77777777" w:rsidR="00421F30" w:rsidRPr="00516E8E" w:rsidRDefault="00421F30" w:rsidP="00421F30">
            <w:pPr>
              <w:spacing w:line="480" w:lineRule="auto"/>
              <w:rPr>
                <w:rFonts w:ascii="Calibri" w:hAnsi="Calibri" w:cs="Calibri"/>
                <w:sz w:val="24"/>
                <w:szCs w:val="24"/>
              </w:rPr>
            </w:pPr>
            <w:r w:rsidRPr="00516E8E">
              <w:rPr>
                <w:rFonts w:ascii="Calibri" w:hAnsi="Calibri" w:cs="Calibri"/>
                <w:sz w:val="24"/>
                <w:szCs w:val="24"/>
              </w:rPr>
              <w:t>tw:((tw:(pregnan*))) AND ( mj:("Pregnant People" OR "Pregnancy" OR "Prenatal Care" OR "Pregnancy in Adolescence" OR "Maternal Mortality" OR "Pregnancy Complications" OR "Maternal Health Services" OR "Obstetrics") AND type_of_study:("qualitative_research")) AND (year_cluster:[2016 TO 2026])</w:t>
            </w:r>
          </w:p>
          <w:p w14:paraId="27AEABEB" w14:textId="3B8FA6BD" w:rsidR="00421F30" w:rsidRPr="00421F30" w:rsidRDefault="00421F30" w:rsidP="00144629">
            <w:pPr>
              <w:spacing w:line="480" w:lineRule="auto"/>
              <w:rPr>
                <w:rFonts w:ascii="Calibri" w:hAnsi="Calibri" w:cs="Calibri"/>
                <w:sz w:val="24"/>
                <w:szCs w:val="24"/>
              </w:rPr>
            </w:pPr>
            <w:r w:rsidRPr="00516E8E">
              <w:rPr>
                <w:rFonts w:ascii="Calibri" w:hAnsi="Calibri" w:cs="Calibri"/>
                <w:sz w:val="24"/>
                <w:szCs w:val="24"/>
              </w:rPr>
              <w:t xml:space="preserve">Flood not put in as a search term. All abstracts search for flood-related references. </w:t>
            </w:r>
          </w:p>
        </w:tc>
      </w:tr>
      <w:tr w:rsidR="00421F30" w14:paraId="70D8239C" w14:textId="77777777" w:rsidTr="00421F30">
        <w:tc>
          <w:tcPr>
            <w:tcW w:w="9016" w:type="dxa"/>
          </w:tcPr>
          <w:p w14:paraId="4D9AD90E" w14:textId="77777777" w:rsidR="00421F30" w:rsidRPr="00000514" w:rsidRDefault="00421F30" w:rsidP="00421F30">
            <w:pPr>
              <w:spacing w:after="160" w:line="480" w:lineRule="auto"/>
              <w:rPr>
                <w:rFonts w:ascii="Calibri" w:hAnsi="Calibri" w:cs="Calibri"/>
                <w:b/>
                <w:bCs/>
                <w:sz w:val="24"/>
                <w:szCs w:val="24"/>
              </w:rPr>
            </w:pPr>
            <w:r w:rsidRPr="00516E8E">
              <w:rPr>
                <w:rFonts w:ascii="Calibri" w:hAnsi="Calibri" w:cs="Calibri"/>
                <w:b/>
                <w:bCs/>
                <w:sz w:val="24"/>
                <w:szCs w:val="24"/>
              </w:rPr>
              <w:t xml:space="preserve">African journals online </w:t>
            </w:r>
            <w:r>
              <w:rPr>
                <w:rFonts w:ascii="Calibri" w:hAnsi="Calibri" w:cs="Calibri"/>
                <w:b/>
                <w:bCs/>
                <w:sz w:val="24"/>
                <w:szCs w:val="24"/>
              </w:rPr>
              <w:t>(AJOL)</w:t>
            </w:r>
          </w:p>
          <w:p w14:paraId="4F043E55" w14:textId="74B54047" w:rsidR="00421F30" w:rsidRPr="00421F30" w:rsidRDefault="00421F30" w:rsidP="00144629">
            <w:pPr>
              <w:spacing w:line="480" w:lineRule="auto"/>
              <w:rPr>
                <w:rFonts w:ascii="Calibri" w:eastAsia="Times New Roman" w:hAnsi="Calibri" w:cs="Calibri"/>
                <w:kern w:val="0"/>
                <w:sz w:val="24"/>
                <w:szCs w:val="24"/>
                <w:lang w:eastAsia="en-GB"/>
                <w14:ligatures w14:val="none"/>
              </w:rPr>
            </w:pPr>
            <w:r w:rsidRPr="00516E8E">
              <w:rPr>
                <w:rFonts w:ascii="Calibri" w:eastAsia="Times New Roman" w:hAnsi="Calibri" w:cs="Calibri"/>
                <w:color w:val="000000"/>
                <w:kern w:val="0"/>
                <w:sz w:val="24"/>
                <w:szCs w:val="24"/>
                <w:lang w:eastAsia="en-GB"/>
                <w14:ligatures w14:val="none"/>
              </w:rPr>
              <w:t>“Pregnancy and flooding and qualitative”</w:t>
            </w:r>
          </w:p>
        </w:tc>
      </w:tr>
      <w:tr w:rsidR="00421F30" w14:paraId="234CFF6F" w14:textId="77777777" w:rsidTr="00421F30">
        <w:tc>
          <w:tcPr>
            <w:tcW w:w="9016" w:type="dxa"/>
          </w:tcPr>
          <w:p w14:paraId="4ACD2254" w14:textId="77777777" w:rsidR="00421F30" w:rsidRPr="00516E8E" w:rsidRDefault="00421F30" w:rsidP="00421F30">
            <w:pPr>
              <w:spacing w:line="480" w:lineRule="auto"/>
              <w:rPr>
                <w:rFonts w:ascii="Calibri" w:hAnsi="Calibri" w:cs="Calibri"/>
                <w:b/>
                <w:bCs/>
                <w:sz w:val="24"/>
                <w:szCs w:val="24"/>
              </w:rPr>
            </w:pPr>
            <w:r w:rsidRPr="0092064B">
              <w:rPr>
                <w:rFonts w:ascii="Calibri" w:hAnsi="Calibri" w:cs="Calibri"/>
                <w:b/>
                <w:bCs/>
                <w:sz w:val="24"/>
                <w:szCs w:val="24"/>
              </w:rPr>
              <w:t>ASSIA (ProQuest)</w:t>
            </w:r>
            <w:r w:rsidRPr="00516E8E">
              <w:rPr>
                <w:rFonts w:ascii="Calibri" w:hAnsi="Calibri" w:cs="Calibri"/>
                <w:b/>
                <w:bCs/>
                <w:sz w:val="24"/>
                <w:szCs w:val="24"/>
              </w:rPr>
              <w:t xml:space="preserve"> </w:t>
            </w:r>
          </w:p>
          <w:p w14:paraId="2EDB049E" w14:textId="3F74F7D7" w:rsidR="00421F30" w:rsidRPr="00421F30" w:rsidRDefault="00421F30" w:rsidP="00144629">
            <w:pPr>
              <w:spacing w:line="480" w:lineRule="auto"/>
              <w:rPr>
                <w:rFonts w:ascii="Calibri" w:hAnsi="Calibri" w:cs="Calibri"/>
                <w:sz w:val="24"/>
                <w:szCs w:val="24"/>
              </w:rPr>
            </w:pPr>
            <w:r w:rsidRPr="0092064B">
              <w:rPr>
                <w:rFonts w:ascii="Calibri" w:hAnsi="Calibri" w:cs="Calibri"/>
                <w:sz w:val="24"/>
                <w:szCs w:val="24"/>
              </w:rPr>
              <w:t>flood  OR floodplains AND MAINSUBJECT.EXACT.EXPLODE("Pregnant women") OR (MAINSUBJECT.EXACT.EXPLODE("Pregnancy") OR MAINSUBJECT.EXACT.EXPLODE("Unplanned pregnancy") OR MAINSUBJECT.EXACT.EXPLODE("Unwanted pregnancy")) AND (MAINSUBJECT.EXACT.EXPLODE("Qualitative data") OR MAINSUBJECT.EXACT.EXPLODE("Qualitative research"))</w:t>
            </w:r>
          </w:p>
        </w:tc>
      </w:tr>
      <w:tr w:rsidR="00421F30" w14:paraId="25AC02A6" w14:textId="77777777" w:rsidTr="00421F30">
        <w:tc>
          <w:tcPr>
            <w:tcW w:w="9016" w:type="dxa"/>
          </w:tcPr>
          <w:p w14:paraId="64005BF8" w14:textId="77777777" w:rsidR="00421F30" w:rsidRDefault="00421F30" w:rsidP="00421F30">
            <w:pPr>
              <w:spacing w:line="480" w:lineRule="auto"/>
              <w:rPr>
                <w:rFonts w:ascii="Calibri" w:hAnsi="Calibri" w:cs="Calibri"/>
                <w:b/>
                <w:bCs/>
                <w:sz w:val="24"/>
                <w:szCs w:val="24"/>
              </w:rPr>
            </w:pPr>
            <w:r w:rsidRPr="001409EB">
              <w:rPr>
                <w:rFonts w:ascii="Calibri" w:hAnsi="Calibri" w:cs="Calibri"/>
                <w:b/>
                <w:bCs/>
                <w:sz w:val="24"/>
                <w:szCs w:val="24"/>
              </w:rPr>
              <w:t xml:space="preserve">CINAHL </w:t>
            </w:r>
            <w:r>
              <w:rPr>
                <w:rFonts w:ascii="Calibri" w:hAnsi="Calibri" w:cs="Calibri"/>
                <w:b/>
                <w:bCs/>
                <w:sz w:val="24"/>
                <w:szCs w:val="24"/>
              </w:rPr>
              <w:t>(</w:t>
            </w:r>
            <w:r w:rsidRPr="001409EB">
              <w:rPr>
                <w:rFonts w:ascii="Calibri" w:hAnsi="Calibri" w:cs="Calibri"/>
                <w:b/>
                <w:bCs/>
                <w:sz w:val="24"/>
                <w:szCs w:val="24"/>
              </w:rPr>
              <w:t>complete</w:t>
            </w:r>
            <w:r>
              <w:rPr>
                <w:rFonts w:ascii="Calibri" w:hAnsi="Calibri" w:cs="Calibri"/>
                <w:b/>
                <w:bCs/>
                <w:sz w:val="24"/>
                <w:szCs w:val="24"/>
              </w:rPr>
              <w:t>)</w:t>
            </w:r>
            <w:r w:rsidRPr="00516E8E">
              <w:rPr>
                <w:rFonts w:ascii="Calibri" w:hAnsi="Calibri" w:cs="Calibri"/>
                <w:b/>
                <w:bCs/>
                <w:sz w:val="24"/>
                <w:szCs w:val="24"/>
              </w:rPr>
              <w:t xml:space="preserve"> </w:t>
            </w:r>
          </w:p>
          <w:p w14:paraId="5BF01D97" w14:textId="6ACF7ADB" w:rsidR="00421F30" w:rsidRPr="00421F30" w:rsidRDefault="00421F30" w:rsidP="00144629">
            <w:pPr>
              <w:spacing w:line="480" w:lineRule="auto"/>
              <w:rPr>
                <w:rFonts w:ascii="Calibri" w:hAnsi="Calibri" w:cs="Calibri"/>
                <w:sz w:val="24"/>
                <w:szCs w:val="24"/>
              </w:rPr>
            </w:pPr>
            <w:r w:rsidRPr="00405E88">
              <w:rPr>
                <w:rFonts w:ascii="Calibri" w:hAnsi="Calibri" w:cs="Calibri"/>
                <w:sz w:val="24"/>
                <w:szCs w:val="24"/>
              </w:rPr>
              <w:t>( flooding or flood or floods</w:t>
            </w:r>
            <w:r w:rsidRPr="00521735">
              <w:rPr>
                <w:rFonts w:ascii="Calibri" w:eastAsia="Times New Roman" w:hAnsi="Calibri" w:cs="Calibri"/>
                <w:color w:val="333333"/>
                <w:kern w:val="0"/>
                <w:sz w:val="24"/>
                <w:szCs w:val="24"/>
                <w:lang w:eastAsia="en-GB"/>
                <w14:ligatures w14:val="none"/>
              </w:rPr>
              <w:t xml:space="preserve"> </w:t>
            </w:r>
            <w:r w:rsidRPr="00516E8E">
              <w:rPr>
                <w:rFonts w:ascii="Calibri" w:eastAsia="Times New Roman" w:hAnsi="Calibri" w:cs="Calibri"/>
                <w:color w:val="333333"/>
                <w:kern w:val="0"/>
                <w:sz w:val="24"/>
                <w:szCs w:val="24"/>
                <w:lang w:eastAsia="en-GB"/>
                <w14:ligatures w14:val="none"/>
              </w:rPr>
              <w:t>or rain or "tidal waves" or deluge or "flash flood" or "flood plain" or "seasonal flood" or "flood event" </w:t>
            </w:r>
            <w:r w:rsidRPr="00405E88">
              <w:rPr>
                <w:rFonts w:ascii="Calibri" w:hAnsi="Calibri" w:cs="Calibri"/>
                <w:sz w:val="24"/>
                <w:szCs w:val="24"/>
              </w:rPr>
              <w:t xml:space="preserve"> ) AND ( pregnancy</w:t>
            </w:r>
            <w:r>
              <w:rPr>
                <w:rFonts w:ascii="Calibri" w:hAnsi="Calibri" w:cs="Calibri"/>
                <w:sz w:val="24"/>
                <w:szCs w:val="24"/>
              </w:rPr>
              <w:t>.mp</w:t>
            </w:r>
            <w:r w:rsidRPr="00405E88">
              <w:rPr>
                <w:rFonts w:ascii="Calibri" w:hAnsi="Calibri" w:cs="Calibri"/>
                <w:sz w:val="24"/>
                <w:szCs w:val="24"/>
              </w:rPr>
              <w:t xml:space="preserve"> or pregnant or prenatal or antenatal or perinatal or maternal</w:t>
            </w:r>
            <w:r>
              <w:rPr>
                <w:rFonts w:ascii="Calibri" w:hAnsi="Calibri" w:cs="Calibri"/>
                <w:sz w:val="24"/>
                <w:szCs w:val="24"/>
              </w:rPr>
              <w:t xml:space="preserve"> or </w:t>
            </w:r>
            <w:r w:rsidRPr="00516E8E">
              <w:rPr>
                <w:rFonts w:ascii="Calibri" w:eastAsia="Times New Roman" w:hAnsi="Calibri" w:cs="Calibri"/>
                <w:color w:val="333333"/>
                <w:kern w:val="0"/>
                <w:sz w:val="24"/>
                <w:szCs w:val="24"/>
                <w:lang w:eastAsia="en-GB"/>
                <w14:ligatures w14:val="none"/>
              </w:rPr>
              <w:t xml:space="preserve">Pregnancy Trimester, First/ or Pregnancy Trimesters/ or Pregnancy/ or Pregnancy Trimester, Third/ or pregnancy.mp. or Pregnancy Trimester, Second/ or "first 1000 days" or maternal health services/ or maternal-child </w:t>
            </w:r>
            <w:r w:rsidRPr="00516E8E">
              <w:rPr>
                <w:rFonts w:ascii="Calibri" w:eastAsia="Times New Roman" w:hAnsi="Calibri" w:cs="Calibri"/>
                <w:color w:val="333333"/>
                <w:kern w:val="0"/>
                <w:sz w:val="24"/>
                <w:szCs w:val="24"/>
                <w:lang w:eastAsia="en-GB"/>
                <w14:ligatures w14:val="none"/>
              </w:rPr>
              <w:lastRenderedPageBreak/>
              <w:t>health services/ or perinatal care/ or prenatal care/ or pregnancy/ or labor, obstetric/ or pregnancy maintenance/ or "antenatal care" </w:t>
            </w:r>
            <w:r w:rsidRPr="00405E88">
              <w:rPr>
                <w:rFonts w:ascii="Calibri" w:hAnsi="Calibri" w:cs="Calibri"/>
                <w:sz w:val="24"/>
                <w:szCs w:val="24"/>
              </w:rPr>
              <w:t xml:space="preserve"> ) AND ( qualitative research or qualitative study or qualitative methods or interview )</w:t>
            </w:r>
          </w:p>
        </w:tc>
      </w:tr>
      <w:tr w:rsidR="00421F30" w14:paraId="1C92132A" w14:textId="77777777" w:rsidTr="00421F30">
        <w:tc>
          <w:tcPr>
            <w:tcW w:w="9016" w:type="dxa"/>
          </w:tcPr>
          <w:p w14:paraId="4AFEABE2" w14:textId="77777777" w:rsidR="00421F30" w:rsidRPr="00516E8E" w:rsidRDefault="00421F30" w:rsidP="00421F30">
            <w:pPr>
              <w:spacing w:line="480" w:lineRule="auto"/>
              <w:rPr>
                <w:rFonts w:ascii="Calibri" w:hAnsi="Calibri" w:cs="Calibri"/>
                <w:b/>
                <w:bCs/>
                <w:sz w:val="24"/>
                <w:szCs w:val="24"/>
              </w:rPr>
            </w:pPr>
            <w:r w:rsidRPr="00516E8E">
              <w:rPr>
                <w:rFonts w:ascii="Calibri" w:hAnsi="Calibri" w:cs="Calibri"/>
                <w:b/>
                <w:bCs/>
                <w:sz w:val="24"/>
                <w:szCs w:val="24"/>
              </w:rPr>
              <w:lastRenderedPageBreak/>
              <w:t>Embase</w:t>
            </w:r>
            <w:r>
              <w:rPr>
                <w:rFonts w:ascii="Calibri" w:hAnsi="Calibri" w:cs="Calibri"/>
                <w:b/>
                <w:bCs/>
                <w:sz w:val="24"/>
                <w:szCs w:val="24"/>
              </w:rPr>
              <w:t xml:space="preserve"> (Ovid)</w:t>
            </w:r>
            <w:r w:rsidRPr="00516E8E">
              <w:rPr>
                <w:rFonts w:ascii="Calibri" w:hAnsi="Calibri" w:cs="Calibri"/>
                <w:b/>
                <w:bCs/>
                <w:sz w:val="24"/>
                <w:szCs w:val="24"/>
              </w:rPr>
              <w:t xml:space="preserve"> (1974 to Feb 2026)</w:t>
            </w:r>
          </w:p>
          <w:p w14:paraId="52EE5725" w14:textId="735403A6" w:rsidR="00421F30" w:rsidRPr="00421F30" w:rsidRDefault="00421F30" w:rsidP="00144629">
            <w:pPr>
              <w:spacing w:line="480" w:lineRule="auto"/>
              <w:rPr>
                <w:rFonts w:ascii="Calibri" w:hAnsi="Calibri" w:cs="Calibri"/>
                <w:sz w:val="24"/>
                <w:szCs w:val="24"/>
              </w:rPr>
            </w:pPr>
            <w:r w:rsidRPr="00516E8E">
              <w:rPr>
                <w:rFonts w:ascii="Calibri" w:hAnsi="Calibri" w:cs="Calibri"/>
                <w:sz w:val="24"/>
                <w:szCs w:val="24"/>
              </w:rPr>
              <w:t>exp *disaster/ or exp *flooding/ or exp *river/ or exp *flood tide/and pregnant.mp. or exp *pregnant woman/ or exp *pregnant person/pregnancy outcome/ or pregnancy disorder/ or third trimester pregnancy/ or pregnancy complication/ or attitude to pregnancy/ or high risk pregnancy/ or unplanned pregnancy/ or early pregnancy factor/ or adolescent pregnancy/ or pregnancy termination/ or pregnancy.mp. or pregnancy/ or pregnancy-related mortality/ or second trimester pregnancy/ or prolonged pregnancy/health care access/ or health care access.mp./health care utilization/ or health care utilisation.mp./health care access.mp. or health care access/primary health care.mp. or primary health care/community health services.mp. or community care/secondary healthcare.mp. or secondary health care/qualitative analysis/ or qualitative research/ or qualitative.mp. or interview/ or semi structured interview/ or qualitative interview.mp. / or qualitative research/ or focus groups.mp.</w:t>
            </w:r>
            <w:r w:rsidRPr="00516E8E">
              <w:rPr>
                <w:rFonts w:ascii="Calibri" w:hAnsi="Calibri" w:cs="Calibri"/>
                <w:sz w:val="24"/>
                <w:szCs w:val="24"/>
              </w:rPr>
              <w:tab/>
            </w:r>
          </w:p>
        </w:tc>
      </w:tr>
      <w:tr w:rsidR="00421F30" w14:paraId="39B429DA" w14:textId="77777777" w:rsidTr="00421F30">
        <w:tc>
          <w:tcPr>
            <w:tcW w:w="9016" w:type="dxa"/>
          </w:tcPr>
          <w:p w14:paraId="408BB2C6" w14:textId="77777777" w:rsidR="00421F30" w:rsidRPr="00516E8E" w:rsidRDefault="00421F30" w:rsidP="00421F30">
            <w:pPr>
              <w:spacing w:line="480" w:lineRule="auto"/>
              <w:rPr>
                <w:rFonts w:ascii="Calibri" w:hAnsi="Calibri" w:cs="Calibri"/>
                <w:b/>
                <w:bCs/>
                <w:sz w:val="24"/>
                <w:szCs w:val="24"/>
              </w:rPr>
            </w:pPr>
            <w:r w:rsidRPr="00516E8E">
              <w:rPr>
                <w:rFonts w:ascii="Calibri" w:hAnsi="Calibri" w:cs="Calibri"/>
                <w:b/>
                <w:bCs/>
                <w:sz w:val="24"/>
                <w:szCs w:val="24"/>
              </w:rPr>
              <w:t>MEDLINE(R)</w:t>
            </w:r>
            <w:r>
              <w:rPr>
                <w:rFonts w:ascii="Calibri" w:hAnsi="Calibri" w:cs="Calibri"/>
                <w:b/>
                <w:bCs/>
                <w:sz w:val="24"/>
                <w:szCs w:val="24"/>
              </w:rPr>
              <w:t xml:space="preserve"> (Ovid)</w:t>
            </w:r>
            <w:r w:rsidRPr="00516E8E">
              <w:rPr>
                <w:rFonts w:ascii="Calibri" w:hAnsi="Calibri" w:cs="Calibri"/>
                <w:b/>
                <w:bCs/>
                <w:sz w:val="24"/>
                <w:szCs w:val="24"/>
              </w:rPr>
              <w:t xml:space="preserve"> 1946 to Feb 2026</w:t>
            </w:r>
          </w:p>
          <w:p w14:paraId="2AF5FB3D" w14:textId="4A562BCC" w:rsidR="00421F30" w:rsidRDefault="00421F30" w:rsidP="00421F30">
            <w:pPr>
              <w:spacing w:line="480" w:lineRule="auto"/>
              <w:rPr>
                <w:rFonts w:ascii="Calibri" w:hAnsi="Calibri" w:cs="Calibri"/>
                <w:b/>
                <w:bCs/>
                <w:sz w:val="24"/>
                <w:szCs w:val="24"/>
                <w:highlight w:val="yellow"/>
              </w:rPr>
            </w:pPr>
            <w:r w:rsidRPr="00516E8E">
              <w:rPr>
                <w:rFonts w:ascii="Calibri" w:eastAsia="Arial Unicode MS" w:hAnsi="Calibri" w:cs="Calibri"/>
                <w:sz w:val="24"/>
                <w:szCs w:val="24"/>
              </w:rPr>
              <w:t>flood*.mp. or Floods/ and Pregnancy Complications/ or Pregnancy Trimester, First/ or Pregnancy Trimesters/ or Pregnancy/ or pregnancy.mp. or Pregnancy, Unwanted/ or Pregnancy Trimester, Third/ or Pregnancy in Adolescence/ or Pregnancy Trimester, Second/ or Pregnancy, Unplanned/ or Pregnancy, High-Risk/ or Pregnancy Outcome/ and qualitative.mp. / or Qualitative Research/</w:t>
            </w:r>
          </w:p>
        </w:tc>
      </w:tr>
      <w:tr w:rsidR="00421F30" w14:paraId="5C7944B8" w14:textId="77777777" w:rsidTr="003E6C44">
        <w:tc>
          <w:tcPr>
            <w:tcW w:w="9016" w:type="dxa"/>
          </w:tcPr>
          <w:p w14:paraId="7AA3D1E4" w14:textId="77777777" w:rsidR="00421F30" w:rsidRPr="00516E8E" w:rsidRDefault="00421F30" w:rsidP="00421F30">
            <w:pPr>
              <w:spacing w:line="480" w:lineRule="auto"/>
              <w:rPr>
                <w:rFonts w:ascii="Calibri" w:hAnsi="Calibri" w:cs="Calibri"/>
                <w:b/>
                <w:bCs/>
                <w:sz w:val="24"/>
                <w:szCs w:val="24"/>
              </w:rPr>
            </w:pPr>
            <w:r w:rsidRPr="00FC767A">
              <w:rPr>
                <w:rFonts w:ascii="Calibri" w:hAnsi="Calibri" w:cs="Calibri"/>
                <w:b/>
                <w:bCs/>
                <w:sz w:val="24"/>
                <w:szCs w:val="24"/>
              </w:rPr>
              <w:t>Maternity &amp; Infant Care Database (MIDIRS) 1971 to Feb, 2006</w:t>
            </w:r>
          </w:p>
          <w:p w14:paraId="6D1BBEF2" w14:textId="2B7249DD" w:rsidR="00421F30" w:rsidRPr="00421F30" w:rsidRDefault="00421F30" w:rsidP="003E6C44">
            <w:pPr>
              <w:spacing w:line="480" w:lineRule="auto"/>
              <w:rPr>
                <w:rFonts w:ascii="Calibri" w:hAnsi="Calibri" w:cs="Calibri"/>
                <w:sz w:val="24"/>
                <w:szCs w:val="24"/>
              </w:rPr>
            </w:pPr>
            <w:r>
              <w:rPr>
                <w:rFonts w:ascii="Calibri" w:hAnsi="Calibri" w:cs="Calibri"/>
                <w:sz w:val="24"/>
                <w:szCs w:val="24"/>
              </w:rPr>
              <w:lastRenderedPageBreak/>
              <w:t xml:space="preserve">*floods/ or </w:t>
            </w:r>
            <w:r w:rsidRPr="00FC767A">
              <w:rPr>
                <w:rFonts w:ascii="Calibri" w:hAnsi="Calibri" w:cs="Calibri"/>
                <w:sz w:val="24"/>
                <w:szCs w:val="24"/>
              </w:rPr>
              <w:t>flood.mp. [mp=abstract, subject heading word, title]</w:t>
            </w:r>
            <w:r>
              <w:rPr>
                <w:rFonts w:ascii="Calibri" w:hAnsi="Calibri" w:cs="Calibri"/>
                <w:sz w:val="24"/>
                <w:szCs w:val="24"/>
              </w:rPr>
              <w:t xml:space="preserve"> or exp *Disasters </w:t>
            </w:r>
            <w:r w:rsidRPr="00FC767A">
              <w:rPr>
                <w:rFonts w:ascii="Calibri" w:hAnsi="Calibri" w:cs="Calibri"/>
                <w:sz w:val="24"/>
                <w:szCs w:val="24"/>
              </w:rPr>
              <w:t>and pregnancy.mp. [mp=abstract, subject heading word, title] and qualitative.mp.</w:t>
            </w:r>
            <w:r>
              <w:rPr>
                <w:rFonts w:ascii="Calibri" w:hAnsi="Calibri" w:cs="Calibri"/>
                <w:sz w:val="24"/>
                <w:szCs w:val="24"/>
              </w:rPr>
              <w:t xml:space="preserve"> or qualitative research</w:t>
            </w:r>
            <w:r w:rsidRPr="00FC767A">
              <w:rPr>
                <w:rFonts w:ascii="Calibri" w:hAnsi="Calibri" w:cs="Calibri"/>
                <w:sz w:val="24"/>
                <w:szCs w:val="24"/>
              </w:rPr>
              <w:t xml:space="preserve"> [mp=abstract, subject heading word, title]</w:t>
            </w:r>
          </w:p>
        </w:tc>
      </w:tr>
      <w:tr w:rsidR="00421F30" w14:paraId="5B5EFC2C" w14:textId="77777777" w:rsidTr="003E6C44">
        <w:tc>
          <w:tcPr>
            <w:tcW w:w="9016" w:type="dxa"/>
          </w:tcPr>
          <w:p w14:paraId="07D159D6" w14:textId="77777777" w:rsidR="006C4491" w:rsidRPr="00516E8E" w:rsidRDefault="006C4491" w:rsidP="006C4491">
            <w:pPr>
              <w:spacing w:line="480" w:lineRule="auto"/>
              <w:rPr>
                <w:rFonts w:ascii="Calibri" w:hAnsi="Calibri" w:cs="Calibri"/>
                <w:b/>
                <w:bCs/>
                <w:sz w:val="24"/>
                <w:szCs w:val="24"/>
              </w:rPr>
            </w:pPr>
            <w:r w:rsidRPr="00516E8E">
              <w:rPr>
                <w:rFonts w:ascii="Calibri" w:hAnsi="Calibri" w:cs="Calibri"/>
                <w:b/>
                <w:bCs/>
                <w:sz w:val="24"/>
                <w:szCs w:val="24"/>
              </w:rPr>
              <w:lastRenderedPageBreak/>
              <w:t>PsycINFO</w:t>
            </w:r>
            <w:r>
              <w:rPr>
                <w:rFonts w:ascii="Calibri" w:hAnsi="Calibri" w:cs="Calibri"/>
                <w:b/>
                <w:bCs/>
                <w:sz w:val="24"/>
                <w:szCs w:val="24"/>
              </w:rPr>
              <w:t xml:space="preserve"> (APA)</w:t>
            </w:r>
            <w:r w:rsidRPr="00516E8E">
              <w:rPr>
                <w:rFonts w:ascii="Calibri" w:hAnsi="Calibri" w:cs="Calibri"/>
                <w:b/>
                <w:bCs/>
                <w:sz w:val="24"/>
                <w:szCs w:val="24"/>
              </w:rPr>
              <w:t xml:space="preserve"> 1806 to Feb 2026</w:t>
            </w:r>
          </w:p>
          <w:p w14:paraId="334E3BF5" w14:textId="05702829" w:rsidR="00421F30" w:rsidRDefault="006C4491" w:rsidP="006C4491">
            <w:pPr>
              <w:spacing w:line="480" w:lineRule="auto"/>
              <w:rPr>
                <w:rFonts w:ascii="Calibri" w:hAnsi="Calibri" w:cs="Calibri"/>
                <w:b/>
                <w:bCs/>
                <w:sz w:val="24"/>
                <w:szCs w:val="24"/>
                <w:highlight w:val="yellow"/>
              </w:rPr>
            </w:pPr>
            <w:r w:rsidRPr="00516E8E">
              <w:rPr>
                <w:rFonts w:ascii="Calibri" w:hAnsi="Calibri" w:cs="Calibri"/>
                <w:sz w:val="24"/>
                <w:szCs w:val="24"/>
              </w:rPr>
              <w:t>flood*.ab or flooding or floods.af or flood.mp flood*.mp. or Floods exp or *Floods or Flood.mp. or exp *Disasters/ and pregnan*.mp. or Pregnancy Trimester, First, Second, Third/ or Pregnancy Complications/ or Pregnancy in Adolescence/ or Pregnancy Prolonged/ or Pregnancy Complications, Infectious/ or Pregnancy Outcome/ or Pregnancy, High-Risk/ or Pregnancy, Unplanned/ preg*.ab or pregnan* or exp Pregnancy/ or exp Adolescent Pregnancy/ or pregnant.mp and qualitative.mp. or Qualitative Research/ or qualitative exp Qualitative Measures/ or qualitative.mp. or exp Qualitative Methods/</w:t>
            </w:r>
          </w:p>
        </w:tc>
      </w:tr>
      <w:tr w:rsidR="00421F30" w14:paraId="34FBA0D3" w14:textId="77777777" w:rsidTr="003E6C44">
        <w:tc>
          <w:tcPr>
            <w:tcW w:w="9016" w:type="dxa"/>
          </w:tcPr>
          <w:p w14:paraId="71B04016" w14:textId="77777777" w:rsidR="006C4491" w:rsidRPr="00516E8E" w:rsidRDefault="006C4491" w:rsidP="006C4491">
            <w:pPr>
              <w:spacing w:line="480" w:lineRule="auto"/>
              <w:rPr>
                <w:rFonts w:ascii="Calibri" w:hAnsi="Calibri" w:cs="Calibri"/>
                <w:b/>
                <w:bCs/>
                <w:sz w:val="24"/>
                <w:szCs w:val="24"/>
              </w:rPr>
            </w:pPr>
            <w:r w:rsidRPr="00091D37">
              <w:rPr>
                <w:rFonts w:ascii="Calibri" w:hAnsi="Calibri" w:cs="Calibri"/>
                <w:b/>
                <w:bCs/>
                <w:sz w:val="24"/>
                <w:szCs w:val="24"/>
              </w:rPr>
              <w:t xml:space="preserve">Scopus </w:t>
            </w:r>
          </w:p>
          <w:p w14:paraId="65FCF97A" w14:textId="5E37D1E5" w:rsidR="00421F30" w:rsidRPr="006C4491" w:rsidRDefault="006C4491" w:rsidP="003E6C44">
            <w:pPr>
              <w:spacing w:line="480" w:lineRule="auto"/>
              <w:rPr>
                <w:rFonts w:ascii="Calibri" w:hAnsi="Calibri" w:cs="Calibri"/>
                <w:b/>
                <w:bCs/>
                <w:sz w:val="24"/>
                <w:szCs w:val="24"/>
              </w:rPr>
            </w:pPr>
            <w:r w:rsidRPr="00516E8E">
              <w:rPr>
                <w:rFonts w:ascii="Calibri" w:hAnsi="Calibri" w:cs="Calibri"/>
                <w:color w:val="000000"/>
                <w:sz w:val="24"/>
                <w:szCs w:val="24"/>
              </w:rPr>
              <w:t>TITLE-ABS-KEY (flood OR floods OR flooding OR rain OR "tidal waves" OR deluge OR "flash flood" OR "flood plain" OR "seasonal flood" OR "flood event" ) AND ( "pregnancy Trimester First" OR "Pregnancy Trimesters" OR pregnancy/ OR "Pregnancy Trimester Third" OR pregnancy.mp. OR "Pregnancy Trimester Second" OR "first 1000 days" OR "maternal health services" OR "maternal-child health services" OR "perinatal care" OR "prenatal care" OR "pregnancy" OR "labour obstetric" / OR "pregnancy maintenance" OR "antenatal care" ) AND ( "Delivery of Health Care" / OR utili*ation.mp. OR access.mp. OR "Access to Primary Care" OR "Health Services Accessibility" OR "Patient Acceptance of Health Care" / OR "Community Health Services" OR "Primary Health Care" OR "secondary healthcare" AND “qualitative”</w:t>
            </w:r>
            <w:r>
              <w:rPr>
                <w:rFonts w:ascii="Calibri" w:hAnsi="Calibri" w:cs="Calibri"/>
                <w:color w:val="000000"/>
                <w:sz w:val="24"/>
                <w:szCs w:val="24"/>
              </w:rPr>
              <w:t>/OR qualitative research</w:t>
            </w:r>
            <w:r w:rsidRPr="00516E8E">
              <w:rPr>
                <w:rFonts w:ascii="Calibri" w:hAnsi="Calibri" w:cs="Calibri"/>
                <w:color w:val="000000"/>
                <w:sz w:val="24"/>
                <w:szCs w:val="24"/>
              </w:rPr>
              <w:t>)</w:t>
            </w:r>
          </w:p>
        </w:tc>
      </w:tr>
      <w:tr w:rsidR="00421F30" w14:paraId="5409DCF6" w14:textId="77777777" w:rsidTr="003E6C44">
        <w:tc>
          <w:tcPr>
            <w:tcW w:w="9016" w:type="dxa"/>
          </w:tcPr>
          <w:p w14:paraId="7723AA97" w14:textId="77777777" w:rsidR="006C4491" w:rsidRDefault="006C4491" w:rsidP="006C4491">
            <w:pPr>
              <w:spacing w:line="480" w:lineRule="auto"/>
              <w:rPr>
                <w:rFonts w:ascii="Calibri" w:hAnsi="Calibri" w:cs="Calibri"/>
                <w:b/>
                <w:bCs/>
                <w:sz w:val="24"/>
                <w:szCs w:val="24"/>
              </w:rPr>
            </w:pPr>
            <w:r w:rsidRPr="0046339D">
              <w:rPr>
                <w:rFonts w:ascii="Calibri" w:hAnsi="Calibri" w:cs="Calibri"/>
                <w:b/>
                <w:bCs/>
                <w:sz w:val="24"/>
                <w:szCs w:val="24"/>
              </w:rPr>
              <w:t>Web of Science</w:t>
            </w:r>
            <w:r w:rsidRPr="00516E8E">
              <w:rPr>
                <w:rFonts w:ascii="Calibri" w:hAnsi="Calibri" w:cs="Calibri"/>
                <w:b/>
                <w:bCs/>
                <w:sz w:val="24"/>
                <w:szCs w:val="24"/>
              </w:rPr>
              <w:t xml:space="preserve"> </w:t>
            </w:r>
          </w:p>
          <w:p w14:paraId="2E54696E" w14:textId="77777777" w:rsidR="006C4491" w:rsidRPr="00516E8E" w:rsidRDefault="006C4491" w:rsidP="006C4491">
            <w:pPr>
              <w:pStyle w:val="NormalWeb"/>
              <w:spacing w:before="0" w:beforeAutospacing="0" w:after="160" w:afterAutospacing="0" w:line="480" w:lineRule="auto"/>
              <w:rPr>
                <w:rFonts w:ascii="Calibri" w:hAnsi="Calibri" w:cs="Calibri"/>
              </w:rPr>
            </w:pPr>
            <w:r w:rsidRPr="00516E8E">
              <w:rPr>
                <w:rFonts w:ascii="Calibri" w:hAnsi="Calibri" w:cs="Calibri"/>
                <w:color w:val="000000"/>
              </w:rPr>
              <w:t>Flood* OR “flood event” OR “floodwaters” OR storms OR “tidal waves”</w:t>
            </w:r>
          </w:p>
          <w:p w14:paraId="3455A0E2" w14:textId="2D794FEC" w:rsidR="00421F30" w:rsidRPr="006C4491" w:rsidRDefault="006C4491" w:rsidP="003E6C44">
            <w:pPr>
              <w:spacing w:line="480" w:lineRule="auto"/>
              <w:rPr>
                <w:rFonts w:ascii="Calibri" w:hAnsi="Calibri" w:cs="Calibri"/>
                <w:sz w:val="24"/>
                <w:szCs w:val="24"/>
              </w:rPr>
            </w:pPr>
            <w:r w:rsidRPr="00270CB9">
              <w:rPr>
                <w:rFonts w:ascii="Calibri" w:hAnsi="Calibri" w:cs="Calibri"/>
                <w:sz w:val="24"/>
                <w:szCs w:val="24"/>
              </w:rPr>
              <w:t>(Topic) and pregn* (All Fields) and qualitative (All Fields)</w:t>
            </w:r>
          </w:p>
        </w:tc>
      </w:tr>
      <w:tr w:rsidR="00421F30" w14:paraId="4438BCC5" w14:textId="77777777" w:rsidTr="003E6C44">
        <w:tc>
          <w:tcPr>
            <w:tcW w:w="9016" w:type="dxa"/>
          </w:tcPr>
          <w:p w14:paraId="694EDABB" w14:textId="77777777" w:rsidR="006C4491" w:rsidRPr="00516E8E" w:rsidRDefault="006C4491" w:rsidP="006C4491">
            <w:pPr>
              <w:spacing w:line="480" w:lineRule="auto"/>
              <w:rPr>
                <w:rFonts w:ascii="Calibri" w:hAnsi="Calibri" w:cs="Calibri"/>
                <w:b/>
                <w:bCs/>
                <w:sz w:val="24"/>
                <w:szCs w:val="24"/>
              </w:rPr>
            </w:pPr>
            <w:r w:rsidRPr="00516E8E">
              <w:rPr>
                <w:rFonts w:ascii="Calibri" w:hAnsi="Calibri" w:cs="Calibri"/>
                <w:b/>
                <w:bCs/>
                <w:sz w:val="24"/>
                <w:szCs w:val="24"/>
              </w:rPr>
              <w:t>Google</w:t>
            </w:r>
            <w:r>
              <w:rPr>
                <w:rFonts w:ascii="Calibri" w:hAnsi="Calibri" w:cs="Calibri"/>
                <w:b/>
                <w:bCs/>
                <w:sz w:val="24"/>
                <w:szCs w:val="24"/>
              </w:rPr>
              <w:t xml:space="preserve"> (to Feb 26) First 10 pages</w:t>
            </w:r>
          </w:p>
          <w:p w14:paraId="196EA18F" w14:textId="10D3BC44" w:rsidR="00421F30" w:rsidRPr="006C4491" w:rsidRDefault="006C4491" w:rsidP="003E6C44">
            <w:pPr>
              <w:spacing w:line="480" w:lineRule="auto"/>
              <w:rPr>
                <w:rFonts w:ascii="Calibri" w:hAnsi="Calibri" w:cs="Calibri"/>
                <w:sz w:val="24"/>
                <w:szCs w:val="24"/>
              </w:rPr>
            </w:pPr>
            <w:r w:rsidRPr="00516E8E">
              <w:rPr>
                <w:rFonts w:ascii="Calibri" w:hAnsi="Calibri" w:cs="Calibri"/>
                <w:sz w:val="24"/>
                <w:szCs w:val="24"/>
              </w:rPr>
              <w:t>Floods, maternal health, qualitative</w:t>
            </w:r>
          </w:p>
        </w:tc>
      </w:tr>
      <w:tr w:rsidR="00421F30" w14:paraId="7CF7EF2C" w14:textId="77777777" w:rsidTr="003E6C44">
        <w:tc>
          <w:tcPr>
            <w:tcW w:w="9016" w:type="dxa"/>
          </w:tcPr>
          <w:p w14:paraId="773C648E" w14:textId="77777777" w:rsidR="006C4491" w:rsidRPr="00516E8E" w:rsidRDefault="006C4491" w:rsidP="006C4491">
            <w:pPr>
              <w:spacing w:line="480" w:lineRule="auto"/>
              <w:rPr>
                <w:rFonts w:ascii="Calibri" w:hAnsi="Calibri" w:cs="Calibri"/>
                <w:b/>
                <w:bCs/>
                <w:sz w:val="24"/>
                <w:szCs w:val="24"/>
              </w:rPr>
            </w:pPr>
            <w:r w:rsidRPr="00516E8E">
              <w:rPr>
                <w:rFonts w:ascii="Calibri" w:hAnsi="Calibri" w:cs="Calibri"/>
                <w:b/>
                <w:bCs/>
                <w:sz w:val="24"/>
                <w:szCs w:val="24"/>
              </w:rPr>
              <w:t xml:space="preserve">Undermind </w:t>
            </w:r>
            <w:r>
              <w:rPr>
                <w:rFonts w:ascii="Calibri" w:hAnsi="Calibri" w:cs="Calibri"/>
                <w:b/>
                <w:bCs/>
                <w:sz w:val="24"/>
                <w:szCs w:val="24"/>
              </w:rPr>
              <w:t>(to Feb 26)</w:t>
            </w:r>
          </w:p>
          <w:p w14:paraId="62EA9EEF" w14:textId="77777777" w:rsidR="006C4491" w:rsidRPr="00516E8E" w:rsidRDefault="006C4491" w:rsidP="006C4491">
            <w:pPr>
              <w:spacing w:line="480" w:lineRule="auto"/>
              <w:rPr>
                <w:rFonts w:ascii="Calibri" w:hAnsi="Calibri" w:cs="Calibri"/>
                <w:sz w:val="24"/>
                <w:szCs w:val="24"/>
              </w:rPr>
            </w:pPr>
            <w:r w:rsidRPr="00516E8E">
              <w:rPr>
                <w:rFonts w:ascii="Calibri" w:hAnsi="Calibri" w:cs="Calibri"/>
                <w:sz w:val="24"/>
                <w:szCs w:val="24"/>
              </w:rPr>
              <w:t>Prompt</w:t>
            </w:r>
            <w:r>
              <w:rPr>
                <w:rFonts w:ascii="Calibri" w:hAnsi="Calibri" w:cs="Calibri"/>
                <w:sz w:val="24"/>
                <w:szCs w:val="24"/>
              </w:rPr>
              <w:t xml:space="preserve"> </w:t>
            </w:r>
          </w:p>
          <w:p w14:paraId="4FAEB8E4" w14:textId="140DF573" w:rsidR="00421F30" w:rsidRPr="006C4491" w:rsidRDefault="006C4491" w:rsidP="006C4491">
            <w:pPr>
              <w:autoSpaceDE w:val="0"/>
              <w:autoSpaceDN w:val="0"/>
              <w:adjustRightInd w:val="0"/>
              <w:spacing w:line="480" w:lineRule="auto"/>
              <w:rPr>
                <w:rFonts w:ascii="Calibri" w:hAnsi="Calibri" w:cs="Calibri"/>
                <w:kern w:val="0"/>
                <w:sz w:val="24"/>
                <w:szCs w:val="24"/>
              </w:rPr>
            </w:pPr>
            <w:r w:rsidRPr="00516E8E">
              <w:rPr>
                <w:rFonts w:ascii="Calibri" w:hAnsi="Calibri" w:cs="Calibri"/>
                <w:kern w:val="0"/>
                <w:sz w:val="24"/>
                <w:szCs w:val="24"/>
              </w:rPr>
              <w:t>“I want to find peer-reviewed journal articles that use qualitative methods to explore the impacts of any type of flooding event on women who were pregnant at the time of the flood or are postpartum women reflecting on a pregnancy during which flooding occurred, in any geographic or sociocultural context”</w:t>
            </w:r>
          </w:p>
        </w:tc>
      </w:tr>
    </w:tbl>
    <w:p w14:paraId="0CE8EECF" w14:textId="77777777" w:rsidR="002C6E3E" w:rsidRDefault="002C6E3E" w:rsidP="00144629">
      <w:pPr>
        <w:spacing w:line="480" w:lineRule="auto"/>
        <w:rPr>
          <w:rFonts w:ascii="Calibri" w:hAnsi="Calibri" w:cs="Calibri"/>
          <w:b/>
          <w:bCs/>
          <w:sz w:val="24"/>
          <w:szCs w:val="24"/>
          <w:highlight w:val="yellow"/>
        </w:rPr>
      </w:pPr>
    </w:p>
    <w:p w14:paraId="0DB96E12" w14:textId="6E9FF879" w:rsidR="006D4908" w:rsidRPr="006D4908" w:rsidRDefault="00F6272D" w:rsidP="004D7596">
      <w:pPr>
        <w:spacing w:after="200"/>
      </w:pPr>
      <w:r>
        <w:rPr>
          <w:rFonts w:ascii="Calibri" w:eastAsia="Calibri" w:hAnsi="Calibri" w:cs="Calibri"/>
          <w:b/>
          <w:bCs/>
          <w:sz w:val="24"/>
          <w:szCs w:val="24"/>
        </w:rPr>
        <w:t xml:space="preserve">Online Resource </w:t>
      </w:r>
      <w:r w:rsidR="006D4908">
        <w:rPr>
          <w:rFonts w:ascii="Calibri" w:eastAsia="Calibri" w:hAnsi="Calibri" w:cs="Calibri"/>
          <w:b/>
          <w:bCs/>
          <w:sz w:val="24"/>
          <w:szCs w:val="24"/>
        </w:rPr>
        <w:t>2</w:t>
      </w:r>
      <w:r w:rsidR="006D4908" w:rsidRPr="00A02C95">
        <w:rPr>
          <w:rFonts w:ascii="Calibri" w:eastAsia="Calibri" w:hAnsi="Calibri" w:cs="Calibri"/>
          <w:b/>
          <w:bCs/>
          <w:sz w:val="24"/>
          <w:szCs w:val="24"/>
        </w:rPr>
        <w:t>: GRADE CERQual Assessment</w:t>
      </w:r>
    </w:p>
    <w:tbl>
      <w:tblPr>
        <w:tblW w:w="11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1500"/>
        <w:gridCol w:w="2000"/>
        <w:gridCol w:w="1900"/>
        <w:gridCol w:w="1900"/>
        <w:gridCol w:w="1900"/>
      </w:tblGrid>
      <w:tr w:rsidR="00FA6D6C" w:rsidRPr="00A02C95" w14:paraId="096ED931" w14:textId="77777777" w:rsidTr="005645FE">
        <w:trPr>
          <w:trHeight w:val="300"/>
          <w:jc w:val="center"/>
        </w:trPr>
        <w:tc>
          <w:tcPr>
            <w:tcW w:w="1900" w:type="dxa"/>
            <w:tcMar>
              <w:top w:w="80" w:type="dxa"/>
              <w:left w:w="100" w:type="dxa"/>
              <w:bottom w:w="80" w:type="dxa"/>
              <w:right w:w="100" w:type="dxa"/>
            </w:tcMar>
          </w:tcPr>
          <w:p w14:paraId="6AD55AEC" w14:textId="77777777" w:rsidR="00FA6D6C" w:rsidRPr="00A02C95" w:rsidRDefault="00FA6D6C" w:rsidP="005645FE">
            <w:r w:rsidRPr="00A02C95">
              <w:rPr>
                <w:rFonts w:ascii="Calibri" w:eastAsia="Calibri" w:hAnsi="Calibri" w:cs="Calibri"/>
                <w:b/>
                <w:bCs/>
                <w:sz w:val="18"/>
                <w:szCs w:val="18"/>
              </w:rPr>
              <w:t>Line of Argument</w:t>
            </w:r>
          </w:p>
        </w:tc>
        <w:tc>
          <w:tcPr>
            <w:tcW w:w="1500" w:type="dxa"/>
            <w:tcMar>
              <w:top w:w="80" w:type="dxa"/>
              <w:left w:w="100" w:type="dxa"/>
              <w:bottom w:w="80" w:type="dxa"/>
              <w:right w:w="100" w:type="dxa"/>
            </w:tcMar>
          </w:tcPr>
          <w:p w14:paraId="160E103D" w14:textId="77777777" w:rsidR="00FA6D6C" w:rsidRPr="00A02C95" w:rsidRDefault="00FA6D6C" w:rsidP="005645FE">
            <w:r w:rsidRPr="00A02C95">
              <w:rPr>
                <w:rFonts w:ascii="Calibri" w:eastAsia="Calibri" w:hAnsi="Calibri" w:cs="Calibri"/>
                <w:b/>
                <w:bCs/>
                <w:sz w:val="18"/>
                <w:szCs w:val="18"/>
              </w:rPr>
              <w:t>Contributing Studies</w:t>
            </w:r>
          </w:p>
        </w:tc>
        <w:tc>
          <w:tcPr>
            <w:tcW w:w="2000" w:type="dxa"/>
            <w:tcMar>
              <w:top w:w="80" w:type="dxa"/>
              <w:left w:w="100" w:type="dxa"/>
              <w:bottom w:w="80" w:type="dxa"/>
              <w:right w:w="100" w:type="dxa"/>
            </w:tcMar>
          </w:tcPr>
          <w:p w14:paraId="3491BB6B" w14:textId="77777777" w:rsidR="00FA6D6C" w:rsidRPr="00A02C95" w:rsidRDefault="00FA6D6C" w:rsidP="005645FE">
            <w:r w:rsidRPr="00A02C95">
              <w:rPr>
                <w:rFonts w:ascii="Calibri" w:eastAsia="Calibri" w:hAnsi="Calibri" w:cs="Calibri"/>
                <w:b/>
                <w:bCs/>
                <w:sz w:val="18"/>
                <w:szCs w:val="18"/>
              </w:rPr>
              <w:t>Methodological Limitations</w:t>
            </w:r>
          </w:p>
        </w:tc>
        <w:tc>
          <w:tcPr>
            <w:tcW w:w="1900" w:type="dxa"/>
            <w:tcMar>
              <w:top w:w="80" w:type="dxa"/>
              <w:left w:w="100" w:type="dxa"/>
              <w:bottom w:w="80" w:type="dxa"/>
              <w:right w:w="100" w:type="dxa"/>
            </w:tcMar>
          </w:tcPr>
          <w:p w14:paraId="55CFC7BE" w14:textId="77777777" w:rsidR="00FA6D6C" w:rsidRPr="00A02C95" w:rsidRDefault="00FA6D6C" w:rsidP="005645FE">
            <w:r w:rsidRPr="00A02C95">
              <w:rPr>
                <w:rFonts w:ascii="Calibri" w:eastAsia="Calibri" w:hAnsi="Calibri" w:cs="Calibri"/>
                <w:b/>
                <w:bCs/>
                <w:sz w:val="18"/>
                <w:szCs w:val="18"/>
              </w:rPr>
              <w:t>Coherence</w:t>
            </w:r>
          </w:p>
        </w:tc>
        <w:tc>
          <w:tcPr>
            <w:tcW w:w="1900" w:type="dxa"/>
            <w:tcMar>
              <w:top w:w="80" w:type="dxa"/>
              <w:left w:w="100" w:type="dxa"/>
              <w:bottom w:w="80" w:type="dxa"/>
              <w:right w:w="100" w:type="dxa"/>
            </w:tcMar>
          </w:tcPr>
          <w:p w14:paraId="1F2EB5FE" w14:textId="77777777" w:rsidR="00FA6D6C" w:rsidRPr="00A02C95" w:rsidRDefault="00FA6D6C" w:rsidP="005645FE">
            <w:r w:rsidRPr="00A02C95">
              <w:rPr>
                <w:rFonts w:ascii="Calibri" w:eastAsia="Calibri" w:hAnsi="Calibri" w:cs="Calibri"/>
                <w:b/>
                <w:bCs/>
                <w:sz w:val="18"/>
                <w:szCs w:val="18"/>
              </w:rPr>
              <w:t>Adequacy</w:t>
            </w:r>
          </w:p>
        </w:tc>
        <w:tc>
          <w:tcPr>
            <w:tcW w:w="1900" w:type="dxa"/>
            <w:tcMar>
              <w:top w:w="80" w:type="dxa"/>
              <w:left w:w="100" w:type="dxa"/>
              <w:bottom w:w="80" w:type="dxa"/>
              <w:right w:w="100" w:type="dxa"/>
            </w:tcMar>
          </w:tcPr>
          <w:p w14:paraId="5E088F50" w14:textId="77777777" w:rsidR="00FA6D6C" w:rsidRPr="00A02C95" w:rsidRDefault="00FA6D6C" w:rsidP="005645FE">
            <w:r w:rsidRPr="00A02C95">
              <w:rPr>
                <w:rFonts w:ascii="Calibri" w:eastAsia="Calibri" w:hAnsi="Calibri" w:cs="Calibri"/>
                <w:b/>
                <w:bCs/>
                <w:sz w:val="18"/>
                <w:szCs w:val="18"/>
              </w:rPr>
              <w:t>Relevance</w:t>
            </w:r>
          </w:p>
        </w:tc>
      </w:tr>
      <w:tr w:rsidR="00FA6D6C" w:rsidRPr="00A02C95" w14:paraId="354B96D8" w14:textId="77777777" w:rsidTr="005645FE">
        <w:trPr>
          <w:trHeight w:val="300"/>
          <w:jc w:val="center"/>
        </w:trPr>
        <w:tc>
          <w:tcPr>
            <w:tcW w:w="1900" w:type="dxa"/>
            <w:tcMar>
              <w:top w:w="80" w:type="dxa"/>
              <w:left w:w="100" w:type="dxa"/>
              <w:bottom w:w="80" w:type="dxa"/>
              <w:right w:w="100" w:type="dxa"/>
            </w:tcMar>
          </w:tcPr>
          <w:p w14:paraId="7C8EDA34" w14:textId="77777777" w:rsidR="00FA6D6C" w:rsidRPr="00A02C95" w:rsidRDefault="00FA6D6C" w:rsidP="005645FE">
            <w:r w:rsidRPr="00A02C95">
              <w:rPr>
                <w:rFonts w:ascii="Calibri" w:eastAsia="Calibri" w:hAnsi="Calibri" w:cs="Calibri"/>
                <w:b/>
                <w:bCs/>
                <w:sz w:val="18"/>
                <w:szCs w:val="18"/>
              </w:rPr>
              <w:t>The competing temporality of flooding and pregnancy</w:t>
            </w:r>
          </w:p>
        </w:tc>
        <w:tc>
          <w:tcPr>
            <w:tcW w:w="1500" w:type="dxa"/>
            <w:tcMar>
              <w:top w:w="80" w:type="dxa"/>
              <w:left w:w="100" w:type="dxa"/>
              <w:bottom w:w="80" w:type="dxa"/>
              <w:right w:w="100" w:type="dxa"/>
            </w:tcMar>
          </w:tcPr>
          <w:p w14:paraId="0F55FFF2" w14:textId="77777777" w:rsidR="00FA6D6C" w:rsidRPr="00A02C95" w:rsidRDefault="00FA6D6C" w:rsidP="005645FE">
            <w:pPr>
              <w:spacing w:after="60"/>
            </w:pPr>
            <w:r w:rsidRPr="00A02C95">
              <w:rPr>
                <w:rFonts w:ascii="Calibri" w:eastAsia="Calibri" w:hAnsi="Calibri" w:cs="Calibri"/>
                <w:sz w:val="18"/>
                <w:szCs w:val="18"/>
              </w:rPr>
              <w:t>Badakhsh 2010</w:t>
            </w:r>
          </w:p>
          <w:p w14:paraId="71488E8C" w14:textId="77777777" w:rsidR="00FA6D6C" w:rsidRPr="00A02C95" w:rsidRDefault="00FA6D6C" w:rsidP="005645FE">
            <w:pPr>
              <w:spacing w:after="60"/>
            </w:pPr>
            <w:r w:rsidRPr="00A02C95">
              <w:rPr>
                <w:rFonts w:ascii="Calibri" w:eastAsia="Calibri" w:hAnsi="Calibri" w:cs="Calibri"/>
                <w:sz w:val="18"/>
                <w:szCs w:val="18"/>
              </w:rPr>
              <w:t>Hilfinger</w:t>
            </w:r>
            <w:r>
              <w:rPr>
                <w:rFonts w:ascii="Calibri" w:eastAsia="Calibri" w:hAnsi="Calibri" w:cs="Calibri"/>
                <w:sz w:val="18"/>
                <w:szCs w:val="18"/>
              </w:rPr>
              <w:t>-</w:t>
            </w:r>
            <w:r w:rsidRPr="00A02C95">
              <w:rPr>
                <w:rFonts w:ascii="Calibri" w:eastAsia="Calibri" w:hAnsi="Calibri" w:cs="Calibri"/>
                <w:sz w:val="18"/>
                <w:szCs w:val="18"/>
              </w:rPr>
              <w:t>Messias 2007</w:t>
            </w:r>
          </w:p>
          <w:p w14:paraId="07919470" w14:textId="77777777" w:rsidR="00FA6D6C" w:rsidRPr="00D96207" w:rsidRDefault="00FA6D6C" w:rsidP="005645FE">
            <w:pPr>
              <w:spacing w:after="60"/>
            </w:pPr>
            <w:r w:rsidRPr="00A02C95">
              <w:rPr>
                <w:rFonts w:ascii="Calibri" w:eastAsia="Calibri" w:hAnsi="Calibri" w:cs="Calibri"/>
                <w:sz w:val="18"/>
                <w:szCs w:val="18"/>
              </w:rPr>
              <w:t>Jeffers 2022</w:t>
            </w:r>
          </w:p>
          <w:p w14:paraId="76F83EA9" w14:textId="77777777" w:rsidR="00FA6D6C" w:rsidRPr="00A02C95" w:rsidRDefault="00FA6D6C" w:rsidP="005645FE">
            <w:pPr>
              <w:spacing w:after="60"/>
            </w:pPr>
            <w:r w:rsidRPr="00A02C95">
              <w:rPr>
                <w:rFonts w:ascii="Calibri" w:eastAsia="Calibri" w:hAnsi="Calibri" w:cs="Calibri"/>
                <w:sz w:val="18"/>
                <w:szCs w:val="18"/>
              </w:rPr>
              <w:t>Maheen 2017</w:t>
            </w:r>
          </w:p>
          <w:p w14:paraId="2C88DF85" w14:textId="77777777" w:rsidR="00FA6D6C" w:rsidRPr="00A02C95" w:rsidRDefault="00FA6D6C" w:rsidP="005645FE">
            <w:pPr>
              <w:spacing w:after="60"/>
            </w:pPr>
            <w:r w:rsidRPr="00A02C95">
              <w:rPr>
                <w:rFonts w:ascii="Calibri" w:eastAsia="Calibri" w:hAnsi="Calibri" w:cs="Calibri"/>
                <w:sz w:val="18"/>
                <w:szCs w:val="18"/>
              </w:rPr>
              <w:t>Safajou 2023</w:t>
            </w:r>
          </w:p>
          <w:p w14:paraId="19F3AA31" w14:textId="77777777" w:rsidR="00FA6D6C" w:rsidRDefault="00FA6D6C" w:rsidP="005645FE">
            <w:pPr>
              <w:spacing w:after="60"/>
              <w:rPr>
                <w:rFonts w:ascii="Calibri" w:eastAsia="Calibri" w:hAnsi="Calibri" w:cs="Calibri"/>
                <w:sz w:val="18"/>
                <w:szCs w:val="18"/>
              </w:rPr>
            </w:pPr>
            <w:r w:rsidRPr="00A02C95">
              <w:rPr>
                <w:rFonts w:ascii="Calibri" w:eastAsia="Calibri" w:hAnsi="Calibri" w:cs="Calibri"/>
                <w:sz w:val="18"/>
                <w:szCs w:val="18"/>
              </w:rPr>
              <w:t>Samakya 2024</w:t>
            </w:r>
          </w:p>
          <w:p w14:paraId="33D4C81C" w14:textId="77777777" w:rsidR="00FA6D6C" w:rsidRPr="00A02C95" w:rsidRDefault="00FA6D6C" w:rsidP="005645FE">
            <w:pPr>
              <w:spacing w:after="60"/>
            </w:pPr>
            <w:r w:rsidRPr="00A02C95">
              <w:rPr>
                <w:rFonts w:ascii="Calibri" w:eastAsia="Calibri" w:hAnsi="Calibri" w:cs="Calibri"/>
                <w:sz w:val="18"/>
                <w:szCs w:val="18"/>
              </w:rPr>
              <w:t>Sato 2016</w:t>
            </w:r>
          </w:p>
          <w:p w14:paraId="050D9764" w14:textId="77777777" w:rsidR="00FA6D6C" w:rsidRDefault="00FA6D6C" w:rsidP="005645FE">
            <w:pPr>
              <w:spacing w:after="60"/>
              <w:rPr>
                <w:rFonts w:ascii="Calibri" w:eastAsia="Calibri" w:hAnsi="Calibri" w:cs="Calibri"/>
                <w:sz w:val="18"/>
                <w:szCs w:val="18"/>
              </w:rPr>
            </w:pPr>
            <w:r>
              <w:rPr>
                <w:rFonts w:ascii="Calibri" w:eastAsia="Calibri" w:hAnsi="Calibri" w:cs="Calibri"/>
                <w:sz w:val="18"/>
                <w:szCs w:val="18"/>
              </w:rPr>
              <w:t>Saulnier 2020</w:t>
            </w:r>
          </w:p>
          <w:p w14:paraId="75759A29" w14:textId="77777777" w:rsidR="00FA6D6C" w:rsidRPr="00A02C95" w:rsidRDefault="00FA6D6C" w:rsidP="005645FE">
            <w:pPr>
              <w:spacing w:after="60"/>
            </w:pPr>
            <w:r w:rsidRPr="00A02C95">
              <w:rPr>
                <w:rFonts w:ascii="Calibri" w:eastAsia="Calibri" w:hAnsi="Calibri" w:cs="Calibri"/>
                <w:sz w:val="18"/>
                <w:szCs w:val="18"/>
              </w:rPr>
              <w:t>Silva-Suarez 2021</w:t>
            </w:r>
          </w:p>
          <w:p w14:paraId="3BA817FF" w14:textId="77777777" w:rsidR="00FA6D6C" w:rsidRPr="00A02C95" w:rsidRDefault="00FA6D6C" w:rsidP="005645FE">
            <w:pPr>
              <w:spacing w:after="60"/>
            </w:pPr>
            <w:r w:rsidRPr="00A02C95">
              <w:rPr>
                <w:rFonts w:ascii="Calibri" w:eastAsia="Calibri" w:hAnsi="Calibri" w:cs="Calibri"/>
                <w:sz w:val="18"/>
                <w:szCs w:val="18"/>
              </w:rPr>
              <w:t>Suzuki 2024</w:t>
            </w:r>
          </w:p>
          <w:p w14:paraId="3AAD6A47" w14:textId="77777777" w:rsidR="00FA6D6C" w:rsidRPr="00A02C95" w:rsidRDefault="00FA6D6C" w:rsidP="005645FE"/>
        </w:tc>
        <w:tc>
          <w:tcPr>
            <w:tcW w:w="2000" w:type="dxa"/>
            <w:tcMar>
              <w:top w:w="80" w:type="dxa"/>
              <w:left w:w="100" w:type="dxa"/>
              <w:bottom w:w="80" w:type="dxa"/>
              <w:right w:w="100" w:type="dxa"/>
            </w:tcMar>
          </w:tcPr>
          <w:p w14:paraId="29D2FB10" w14:textId="77777777" w:rsidR="00FA6D6C" w:rsidRPr="00A02C95" w:rsidRDefault="00FA6D6C" w:rsidP="005645FE">
            <w:pPr>
              <w:spacing w:after="60"/>
            </w:pPr>
            <w:r w:rsidRPr="00A02C95">
              <w:rPr>
                <w:rFonts w:ascii="Calibri" w:eastAsia="Calibri" w:hAnsi="Calibri" w:cs="Calibri"/>
                <w:sz w:val="18"/>
                <w:szCs w:val="18"/>
              </w:rPr>
              <w:t>Minor concerns.</w:t>
            </w:r>
          </w:p>
          <w:p w14:paraId="1DF6636A" w14:textId="77777777" w:rsidR="00FA6D6C" w:rsidRPr="00A02C95" w:rsidRDefault="00FA6D6C" w:rsidP="005645FE">
            <w:pPr>
              <w:spacing w:after="60"/>
            </w:pPr>
          </w:p>
          <w:p w14:paraId="1050A1BE" w14:textId="77777777" w:rsidR="00FA6D6C" w:rsidRPr="00A02C95" w:rsidRDefault="00FA6D6C" w:rsidP="005645FE">
            <w:pPr>
              <w:spacing w:after="60"/>
            </w:pPr>
            <w:r>
              <w:rPr>
                <w:rFonts w:ascii="Calibri" w:eastAsia="Calibri" w:hAnsi="Calibri" w:cs="Calibri"/>
                <w:sz w:val="18"/>
                <w:szCs w:val="18"/>
              </w:rPr>
              <w:t>Four</w:t>
            </w:r>
            <w:r w:rsidRPr="00A02C95">
              <w:rPr>
                <w:rFonts w:ascii="Calibri" w:eastAsia="Calibri" w:hAnsi="Calibri" w:cs="Calibri"/>
                <w:sz w:val="18"/>
                <w:szCs w:val="18"/>
              </w:rPr>
              <w:t xml:space="preserve"> of nine contributing studies (Sato, Hilfinger</w:t>
            </w:r>
            <w:r>
              <w:rPr>
                <w:rFonts w:ascii="Calibri" w:eastAsia="Calibri" w:hAnsi="Calibri" w:cs="Calibri"/>
                <w:sz w:val="18"/>
                <w:szCs w:val="18"/>
              </w:rPr>
              <w:t>-</w:t>
            </w:r>
            <w:r w:rsidRPr="00A02C95">
              <w:rPr>
                <w:rFonts w:ascii="Calibri" w:eastAsia="Calibri" w:hAnsi="Calibri" w:cs="Calibri"/>
                <w:sz w:val="18"/>
                <w:szCs w:val="18"/>
              </w:rPr>
              <w:t>Messias, Maheen, and Safajou) did not report a named theoretical or analytical framework, relying on descriptive or inductive approaches.</w:t>
            </w:r>
          </w:p>
          <w:p w14:paraId="0059AD66" w14:textId="77777777" w:rsidR="00FA6D6C" w:rsidRPr="00A02C95" w:rsidRDefault="00FA6D6C" w:rsidP="005645FE"/>
        </w:tc>
        <w:tc>
          <w:tcPr>
            <w:tcW w:w="1900" w:type="dxa"/>
            <w:tcMar>
              <w:top w:w="80" w:type="dxa"/>
              <w:left w:w="100" w:type="dxa"/>
              <w:bottom w:w="80" w:type="dxa"/>
              <w:right w:w="100" w:type="dxa"/>
            </w:tcMar>
          </w:tcPr>
          <w:p w14:paraId="0B5DDE73" w14:textId="77777777" w:rsidR="00FA6D6C" w:rsidRPr="00A02C95" w:rsidRDefault="00FA6D6C" w:rsidP="005645FE">
            <w:pPr>
              <w:spacing w:after="60"/>
            </w:pPr>
            <w:r w:rsidRPr="00A02C95">
              <w:rPr>
                <w:rFonts w:ascii="Calibri" w:eastAsia="Calibri" w:hAnsi="Calibri" w:cs="Calibri"/>
                <w:sz w:val="18"/>
                <w:szCs w:val="18"/>
              </w:rPr>
              <w:t>No concerns.</w:t>
            </w:r>
          </w:p>
          <w:p w14:paraId="2B2BA4B1" w14:textId="77777777" w:rsidR="00FA6D6C" w:rsidRPr="00A02C95" w:rsidRDefault="00FA6D6C" w:rsidP="005645FE">
            <w:pPr>
              <w:spacing w:after="60"/>
            </w:pPr>
          </w:p>
          <w:p w14:paraId="4459E405" w14:textId="77777777" w:rsidR="00FA6D6C" w:rsidRPr="00A02C95" w:rsidRDefault="00FA6D6C" w:rsidP="005645FE">
            <w:r w:rsidRPr="00A02C95">
              <w:rPr>
                <w:rFonts w:ascii="Calibri" w:eastAsia="Calibri" w:hAnsi="Calibri" w:cs="Calibri"/>
                <w:sz w:val="18"/>
                <w:szCs w:val="18"/>
              </w:rPr>
              <w:t>All nine contributing studies provided coherent evidence of the dual temporal disruption imposed by flood and pregnancy occurring simultaneously. Four high-contribution studies (Badakhsh, Silva-Suarez, Sato, Suzuki) generated strong second-order interpretations of identity oscillation. Refutational translations were analytically consistent with the argument rather than contradictory to it, illustrating the same mechanism from opposite directions.</w:t>
            </w:r>
          </w:p>
        </w:tc>
        <w:tc>
          <w:tcPr>
            <w:tcW w:w="1900" w:type="dxa"/>
            <w:tcMar>
              <w:top w:w="80" w:type="dxa"/>
              <w:left w:w="100" w:type="dxa"/>
              <w:bottom w:w="80" w:type="dxa"/>
              <w:right w:w="100" w:type="dxa"/>
            </w:tcMar>
          </w:tcPr>
          <w:p w14:paraId="478D7A95" w14:textId="77777777" w:rsidR="00FA6D6C" w:rsidRPr="00A02C95" w:rsidRDefault="00FA6D6C" w:rsidP="005645FE">
            <w:pPr>
              <w:spacing w:after="60"/>
            </w:pPr>
            <w:r w:rsidRPr="00A02C95">
              <w:rPr>
                <w:rFonts w:ascii="Calibri" w:eastAsia="Calibri" w:hAnsi="Calibri" w:cs="Calibri"/>
                <w:sz w:val="18"/>
                <w:szCs w:val="18"/>
              </w:rPr>
              <w:t>Minor concerns.</w:t>
            </w:r>
          </w:p>
          <w:p w14:paraId="19A4715C" w14:textId="77777777" w:rsidR="00FA6D6C" w:rsidRPr="00A02C95" w:rsidRDefault="00FA6D6C" w:rsidP="005645FE">
            <w:pPr>
              <w:spacing w:after="60"/>
            </w:pPr>
          </w:p>
          <w:p w14:paraId="549D97FC" w14:textId="77777777" w:rsidR="00FA6D6C" w:rsidRPr="00A02C95" w:rsidRDefault="00FA6D6C" w:rsidP="005645FE">
            <w:r w:rsidRPr="00A02C95">
              <w:rPr>
                <w:rFonts w:ascii="Calibri" w:eastAsia="Calibri" w:hAnsi="Calibri" w:cs="Calibri"/>
                <w:sz w:val="18"/>
                <w:szCs w:val="18"/>
              </w:rPr>
              <w:t>The theoretical weight of this line of argument rest</w:t>
            </w:r>
            <w:r>
              <w:rPr>
                <w:rFonts w:ascii="Calibri" w:eastAsia="Calibri" w:hAnsi="Calibri" w:cs="Calibri"/>
                <w:sz w:val="18"/>
                <w:szCs w:val="18"/>
              </w:rPr>
              <w:t>ed</w:t>
            </w:r>
            <w:r w:rsidRPr="00A02C95">
              <w:rPr>
                <w:rFonts w:ascii="Calibri" w:eastAsia="Calibri" w:hAnsi="Calibri" w:cs="Calibri"/>
                <w:sz w:val="18"/>
                <w:szCs w:val="18"/>
              </w:rPr>
              <w:t xml:space="preserve"> primarily on the four high-contribution studies. Five contributing studies (Hilfinger</w:t>
            </w:r>
            <w:r>
              <w:rPr>
                <w:rFonts w:ascii="Calibri" w:eastAsia="Calibri" w:hAnsi="Calibri" w:cs="Calibri"/>
                <w:sz w:val="18"/>
                <w:szCs w:val="18"/>
              </w:rPr>
              <w:t>-</w:t>
            </w:r>
            <w:r w:rsidRPr="00A02C95">
              <w:rPr>
                <w:rFonts w:ascii="Calibri" w:eastAsia="Calibri" w:hAnsi="Calibri" w:cs="Calibri"/>
                <w:sz w:val="18"/>
                <w:szCs w:val="18"/>
              </w:rPr>
              <w:t>Messias, Jeffers, Maheen, Safajou, Samakya) contribute</w:t>
            </w:r>
            <w:r>
              <w:rPr>
                <w:rFonts w:ascii="Calibri" w:eastAsia="Calibri" w:hAnsi="Calibri" w:cs="Calibri"/>
                <w:sz w:val="18"/>
                <w:szCs w:val="18"/>
              </w:rPr>
              <w:t>d</w:t>
            </w:r>
            <w:r w:rsidRPr="00A02C95">
              <w:rPr>
                <w:rFonts w:ascii="Calibri" w:eastAsia="Calibri" w:hAnsi="Calibri" w:cs="Calibri"/>
                <w:sz w:val="18"/>
                <w:szCs w:val="18"/>
              </w:rPr>
              <w:t xml:space="preserve"> first-order supporting evidence rather than second-order constructs specifically addressing temporal disruption. The volume of data </w:t>
            </w:r>
            <w:r>
              <w:rPr>
                <w:rFonts w:ascii="Calibri" w:eastAsia="Calibri" w:hAnsi="Calibri" w:cs="Calibri"/>
                <w:sz w:val="18"/>
                <w:szCs w:val="18"/>
              </w:rPr>
              <w:t>wa</w:t>
            </w:r>
            <w:r w:rsidRPr="00A02C95">
              <w:rPr>
                <w:rFonts w:ascii="Calibri" w:eastAsia="Calibri" w:hAnsi="Calibri" w:cs="Calibri"/>
                <w:sz w:val="18"/>
                <w:szCs w:val="18"/>
              </w:rPr>
              <w:t xml:space="preserve">s substantial, but the interpretive depth </w:t>
            </w:r>
            <w:r>
              <w:rPr>
                <w:rFonts w:ascii="Calibri" w:eastAsia="Calibri" w:hAnsi="Calibri" w:cs="Calibri"/>
                <w:sz w:val="18"/>
                <w:szCs w:val="18"/>
              </w:rPr>
              <w:t>wa</w:t>
            </w:r>
            <w:r w:rsidRPr="00A02C95">
              <w:rPr>
                <w:rFonts w:ascii="Calibri" w:eastAsia="Calibri" w:hAnsi="Calibri" w:cs="Calibri"/>
                <w:sz w:val="18"/>
                <w:szCs w:val="18"/>
              </w:rPr>
              <w:t>s unevenly distributed.</w:t>
            </w:r>
          </w:p>
        </w:tc>
        <w:tc>
          <w:tcPr>
            <w:tcW w:w="1900" w:type="dxa"/>
            <w:tcMar>
              <w:top w:w="80" w:type="dxa"/>
              <w:left w:w="100" w:type="dxa"/>
              <w:bottom w:w="80" w:type="dxa"/>
              <w:right w:w="100" w:type="dxa"/>
            </w:tcMar>
          </w:tcPr>
          <w:p w14:paraId="3CDC75EA" w14:textId="77777777" w:rsidR="00FA6D6C" w:rsidRPr="00A02C95" w:rsidRDefault="00FA6D6C" w:rsidP="005645FE">
            <w:pPr>
              <w:spacing w:after="60"/>
            </w:pPr>
            <w:r w:rsidRPr="00A02C95">
              <w:rPr>
                <w:rFonts w:ascii="Calibri" w:eastAsia="Calibri" w:hAnsi="Calibri" w:cs="Calibri"/>
                <w:sz w:val="18"/>
                <w:szCs w:val="18"/>
              </w:rPr>
              <w:t>Minor concerns.</w:t>
            </w:r>
          </w:p>
          <w:p w14:paraId="70A463E7" w14:textId="77777777" w:rsidR="00FA6D6C" w:rsidRPr="00A02C95" w:rsidRDefault="00FA6D6C" w:rsidP="005645FE">
            <w:pPr>
              <w:spacing w:after="60"/>
            </w:pPr>
          </w:p>
          <w:p w14:paraId="6D998336" w14:textId="77777777" w:rsidR="00FA6D6C" w:rsidRPr="00A02C95" w:rsidRDefault="00FA6D6C" w:rsidP="005645FE">
            <w:r w:rsidRPr="00A02C95">
              <w:rPr>
                <w:rFonts w:ascii="Calibri" w:eastAsia="Calibri" w:hAnsi="Calibri" w:cs="Calibri"/>
                <w:sz w:val="18"/>
                <w:szCs w:val="18"/>
              </w:rPr>
              <w:t xml:space="preserve">All contributing studies were conducted with women who were pregnant during flood events and </w:t>
            </w:r>
            <w:r>
              <w:rPr>
                <w:rFonts w:ascii="Calibri" w:eastAsia="Calibri" w:hAnsi="Calibri" w:cs="Calibri"/>
                <w:sz w:val="18"/>
                <w:szCs w:val="18"/>
              </w:rPr>
              <w:t>we</w:t>
            </w:r>
            <w:r w:rsidRPr="00A02C95">
              <w:rPr>
                <w:rFonts w:ascii="Calibri" w:eastAsia="Calibri" w:hAnsi="Calibri" w:cs="Calibri"/>
                <w:sz w:val="18"/>
                <w:szCs w:val="18"/>
              </w:rPr>
              <w:t>re directly relevant to the review question. However, one study (Hilfinger</w:t>
            </w:r>
            <w:r>
              <w:rPr>
                <w:rFonts w:ascii="Calibri" w:eastAsia="Calibri" w:hAnsi="Calibri" w:cs="Calibri"/>
                <w:sz w:val="18"/>
                <w:szCs w:val="18"/>
              </w:rPr>
              <w:t>-</w:t>
            </w:r>
            <w:r w:rsidRPr="00A02C95">
              <w:rPr>
                <w:rFonts w:ascii="Calibri" w:eastAsia="Calibri" w:hAnsi="Calibri" w:cs="Calibri"/>
                <w:sz w:val="18"/>
                <w:szCs w:val="18"/>
              </w:rPr>
              <w:t>Messias 2007) included 93 Latino survivors of whom only one was pregnant, and another (Saulnier 2020) recruited community members including men and health workers alongside pregnant women. The experiences of pregnant women remain</w:t>
            </w:r>
            <w:r>
              <w:rPr>
                <w:rFonts w:ascii="Calibri" w:eastAsia="Calibri" w:hAnsi="Calibri" w:cs="Calibri"/>
                <w:sz w:val="18"/>
                <w:szCs w:val="18"/>
              </w:rPr>
              <w:t>ed</w:t>
            </w:r>
            <w:r w:rsidRPr="00A02C95">
              <w:rPr>
                <w:rFonts w:ascii="Calibri" w:eastAsia="Calibri" w:hAnsi="Calibri" w:cs="Calibri"/>
                <w:sz w:val="18"/>
                <w:szCs w:val="18"/>
              </w:rPr>
              <w:t xml:space="preserve"> identifiable within these studies, but the primary research focus was broader.</w:t>
            </w:r>
          </w:p>
        </w:tc>
      </w:tr>
      <w:tr w:rsidR="00FA6D6C" w:rsidRPr="00A02C95" w14:paraId="3EFE5C9E" w14:textId="77777777" w:rsidTr="005645FE">
        <w:trPr>
          <w:trHeight w:val="300"/>
          <w:jc w:val="center"/>
        </w:trPr>
        <w:tc>
          <w:tcPr>
            <w:tcW w:w="11100" w:type="dxa"/>
            <w:gridSpan w:val="6"/>
            <w:shd w:val="clear" w:color="auto" w:fill="F2F2F2"/>
            <w:tcMar>
              <w:top w:w="80" w:type="dxa"/>
              <w:left w:w="100" w:type="dxa"/>
              <w:bottom w:w="80" w:type="dxa"/>
              <w:right w:w="100" w:type="dxa"/>
            </w:tcMar>
          </w:tcPr>
          <w:p w14:paraId="2FE6A96C" w14:textId="77777777" w:rsidR="00FA6D6C" w:rsidRPr="00A02C95" w:rsidRDefault="00FA6D6C" w:rsidP="005645FE">
            <w:r w:rsidRPr="00A02C95">
              <w:rPr>
                <w:rFonts w:ascii="Calibri" w:eastAsia="Calibri" w:hAnsi="Calibri" w:cs="Calibri"/>
                <w:b/>
                <w:bCs/>
                <w:sz w:val="18"/>
                <w:szCs w:val="18"/>
              </w:rPr>
              <w:t>Final Assessment: High Confidence</w:t>
            </w:r>
          </w:p>
        </w:tc>
      </w:tr>
      <w:tr w:rsidR="00FA6D6C" w:rsidRPr="00A02C95" w14:paraId="01DBFDA1" w14:textId="77777777" w:rsidTr="005645FE">
        <w:trPr>
          <w:trHeight w:val="300"/>
          <w:jc w:val="center"/>
        </w:trPr>
        <w:tc>
          <w:tcPr>
            <w:tcW w:w="1900" w:type="dxa"/>
            <w:tcMar>
              <w:top w:w="80" w:type="dxa"/>
              <w:left w:w="100" w:type="dxa"/>
              <w:bottom w:w="80" w:type="dxa"/>
              <w:right w:w="100" w:type="dxa"/>
            </w:tcMar>
          </w:tcPr>
          <w:p w14:paraId="3F33DEB5" w14:textId="77777777" w:rsidR="00FA6D6C" w:rsidRPr="00A02C95" w:rsidRDefault="00FA6D6C" w:rsidP="005645FE">
            <w:r w:rsidRPr="00A02C95">
              <w:rPr>
                <w:rFonts w:ascii="Calibri" w:eastAsia="Calibri" w:hAnsi="Calibri" w:cs="Calibri"/>
                <w:b/>
                <w:bCs/>
                <w:sz w:val="18"/>
                <w:szCs w:val="18"/>
              </w:rPr>
              <w:t>The structural amplification of inequity</w:t>
            </w:r>
          </w:p>
        </w:tc>
        <w:tc>
          <w:tcPr>
            <w:tcW w:w="1500" w:type="dxa"/>
            <w:tcMar>
              <w:top w:w="80" w:type="dxa"/>
              <w:left w:w="100" w:type="dxa"/>
              <w:bottom w:w="80" w:type="dxa"/>
              <w:right w:w="100" w:type="dxa"/>
            </w:tcMar>
          </w:tcPr>
          <w:p w14:paraId="43F3A044" w14:textId="77777777" w:rsidR="00FA6D6C" w:rsidRPr="00A02C95" w:rsidRDefault="00FA6D6C" w:rsidP="005645FE">
            <w:pPr>
              <w:spacing w:after="60"/>
            </w:pPr>
            <w:r w:rsidRPr="00A02C95">
              <w:rPr>
                <w:rFonts w:ascii="Calibri" w:eastAsia="Calibri" w:hAnsi="Calibri" w:cs="Calibri"/>
                <w:sz w:val="18"/>
                <w:szCs w:val="18"/>
              </w:rPr>
              <w:t>Badakhsh 2010</w:t>
            </w:r>
          </w:p>
          <w:p w14:paraId="74583AB9" w14:textId="77777777" w:rsidR="00FA6D6C" w:rsidRPr="00A02C95" w:rsidRDefault="00FA6D6C" w:rsidP="005645FE">
            <w:pPr>
              <w:spacing w:after="60"/>
            </w:pPr>
            <w:r w:rsidRPr="00A02C95">
              <w:rPr>
                <w:rFonts w:ascii="Calibri" w:eastAsia="Calibri" w:hAnsi="Calibri" w:cs="Calibri"/>
                <w:sz w:val="18"/>
                <w:szCs w:val="18"/>
              </w:rPr>
              <w:t>Hilfinger</w:t>
            </w:r>
            <w:r>
              <w:rPr>
                <w:rFonts w:ascii="Calibri" w:eastAsia="Calibri" w:hAnsi="Calibri" w:cs="Calibri"/>
                <w:sz w:val="18"/>
                <w:szCs w:val="18"/>
              </w:rPr>
              <w:t>-</w:t>
            </w:r>
            <w:r w:rsidRPr="00A02C95">
              <w:rPr>
                <w:rFonts w:ascii="Calibri" w:eastAsia="Calibri" w:hAnsi="Calibri" w:cs="Calibri"/>
                <w:sz w:val="18"/>
                <w:szCs w:val="18"/>
              </w:rPr>
              <w:t>Messias 2007</w:t>
            </w:r>
          </w:p>
          <w:p w14:paraId="77D1CC3B" w14:textId="77777777" w:rsidR="00FA6D6C" w:rsidRPr="00A02C95" w:rsidRDefault="00FA6D6C" w:rsidP="005645FE">
            <w:pPr>
              <w:spacing w:after="60"/>
            </w:pPr>
            <w:r w:rsidRPr="00A02C95">
              <w:rPr>
                <w:rFonts w:ascii="Calibri" w:eastAsia="Calibri" w:hAnsi="Calibri" w:cs="Calibri"/>
                <w:sz w:val="18"/>
                <w:szCs w:val="18"/>
              </w:rPr>
              <w:t>Jeffers 2022</w:t>
            </w:r>
          </w:p>
          <w:p w14:paraId="4694EB8B" w14:textId="77777777" w:rsidR="00FA6D6C" w:rsidRDefault="00FA6D6C" w:rsidP="005645FE">
            <w:pPr>
              <w:spacing w:after="60"/>
              <w:rPr>
                <w:rFonts w:ascii="Calibri" w:eastAsia="Calibri" w:hAnsi="Calibri" w:cs="Calibri"/>
                <w:sz w:val="18"/>
                <w:szCs w:val="18"/>
              </w:rPr>
            </w:pPr>
            <w:r w:rsidRPr="0000408C">
              <w:rPr>
                <w:rFonts w:ascii="Calibri" w:eastAsia="Calibri" w:hAnsi="Calibri" w:cs="Calibri"/>
                <w:sz w:val="18"/>
                <w:szCs w:val="18"/>
              </w:rPr>
              <w:t>Kulkarni 2008</w:t>
            </w:r>
          </w:p>
          <w:p w14:paraId="5A1D13ED" w14:textId="77777777" w:rsidR="00FA6D6C" w:rsidRPr="00A02C95" w:rsidRDefault="00FA6D6C" w:rsidP="005645FE">
            <w:pPr>
              <w:spacing w:after="60"/>
            </w:pPr>
            <w:r w:rsidRPr="00A02C95">
              <w:rPr>
                <w:rFonts w:ascii="Calibri" w:eastAsia="Calibri" w:hAnsi="Calibri" w:cs="Calibri"/>
                <w:sz w:val="18"/>
                <w:szCs w:val="18"/>
              </w:rPr>
              <w:t>Maheen 2017</w:t>
            </w:r>
          </w:p>
          <w:p w14:paraId="28926289" w14:textId="77777777" w:rsidR="00FA6D6C" w:rsidRPr="00A02C95" w:rsidRDefault="00FA6D6C" w:rsidP="005645FE">
            <w:pPr>
              <w:spacing w:after="60"/>
            </w:pPr>
            <w:r w:rsidRPr="00A02C95">
              <w:rPr>
                <w:rFonts w:ascii="Calibri" w:eastAsia="Calibri" w:hAnsi="Calibri" w:cs="Calibri"/>
                <w:sz w:val="18"/>
                <w:szCs w:val="18"/>
              </w:rPr>
              <w:t>Safajou 2023</w:t>
            </w:r>
          </w:p>
          <w:p w14:paraId="12DAE9C7" w14:textId="77777777" w:rsidR="00FA6D6C" w:rsidRDefault="00FA6D6C" w:rsidP="005645FE">
            <w:pPr>
              <w:spacing w:after="60"/>
              <w:rPr>
                <w:rFonts w:ascii="Calibri" w:eastAsia="Calibri" w:hAnsi="Calibri" w:cs="Calibri"/>
                <w:sz w:val="18"/>
                <w:szCs w:val="18"/>
              </w:rPr>
            </w:pPr>
            <w:r w:rsidRPr="00A02C95">
              <w:rPr>
                <w:rFonts w:ascii="Calibri" w:eastAsia="Calibri" w:hAnsi="Calibri" w:cs="Calibri"/>
                <w:sz w:val="18"/>
                <w:szCs w:val="18"/>
              </w:rPr>
              <w:t>Samakya 2024</w:t>
            </w:r>
          </w:p>
          <w:p w14:paraId="7347401F" w14:textId="77777777" w:rsidR="00FA6D6C" w:rsidRPr="00A02C95" w:rsidRDefault="00FA6D6C" w:rsidP="005645FE">
            <w:pPr>
              <w:spacing w:after="60"/>
            </w:pPr>
            <w:r w:rsidRPr="00A02C95">
              <w:rPr>
                <w:rFonts w:ascii="Calibri" w:eastAsia="Calibri" w:hAnsi="Calibri" w:cs="Calibri"/>
                <w:sz w:val="18"/>
                <w:szCs w:val="18"/>
              </w:rPr>
              <w:t>Sato 2016</w:t>
            </w:r>
          </w:p>
          <w:p w14:paraId="0F73D462" w14:textId="77777777" w:rsidR="00FA6D6C" w:rsidRDefault="00FA6D6C" w:rsidP="005645FE">
            <w:pPr>
              <w:spacing w:after="60"/>
              <w:rPr>
                <w:rFonts w:ascii="Calibri" w:eastAsia="Calibri" w:hAnsi="Calibri" w:cs="Calibri"/>
                <w:sz w:val="18"/>
                <w:szCs w:val="18"/>
              </w:rPr>
            </w:pPr>
            <w:r>
              <w:rPr>
                <w:rFonts w:ascii="Calibri" w:eastAsia="Calibri" w:hAnsi="Calibri" w:cs="Calibri"/>
                <w:sz w:val="18"/>
                <w:szCs w:val="18"/>
              </w:rPr>
              <w:t>Saulnier 2020</w:t>
            </w:r>
          </w:p>
          <w:p w14:paraId="69A77576" w14:textId="77777777" w:rsidR="00FA6D6C" w:rsidRPr="00A02C95" w:rsidRDefault="00FA6D6C" w:rsidP="005645FE">
            <w:pPr>
              <w:spacing w:after="60"/>
            </w:pPr>
            <w:r w:rsidRPr="00A02C95">
              <w:rPr>
                <w:rFonts w:ascii="Calibri" w:eastAsia="Calibri" w:hAnsi="Calibri" w:cs="Calibri"/>
                <w:sz w:val="18"/>
                <w:szCs w:val="18"/>
              </w:rPr>
              <w:t>Suzuki 2024</w:t>
            </w:r>
          </w:p>
          <w:p w14:paraId="5852231B" w14:textId="77777777" w:rsidR="00FA6D6C" w:rsidRPr="00A02C95" w:rsidRDefault="00FA6D6C" w:rsidP="005645FE"/>
        </w:tc>
        <w:tc>
          <w:tcPr>
            <w:tcW w:w="2000" w:type="dxa"/>
            <w:tcMar>
              <w:top w:w="80" w:type="dxa"/>
              <w:left w:w="100" w:type="dxa"/>
              <w:bottom w:w="80" w:type="dxa"/>
              <w:right w:w="100" w:type="dxa"/>
            </w:tcMar>
          </w:tcPr>
          <w:p w14:paraId="6219AA95" w14:textId="77777777" w:rsidR="00FA6D6C" w:rsidRPr="00A02C95" w:rsidRDefault="00FA6D6C" w:rsidP="005645FE">
            <w:pPr>
              <w:spacing w:after="60"/>
            </w:pPr>
            <w:r w:rsidRPr="00A02C95">
              <w:rPr>
                <w:rFonts w:ascii="Calibri" w:eastAsia="Calibri" w:hAnsi="Calibri" w:cs="Calibri"/>
                <w:sz w:val="18"/>
                <w:szCs w:val="18"/>
              </w:rPr>
              <w:t>Minor concerns.</w:t>
            </w:r>
          </w:p>
          <w:p w14:paraId="0DB205ED" w14:textId="77777777" w:rsidR="00FA6D6C" w:rsidRPr="00A02C95" w:rsidRDefault="00FA6D6C" w:rsidP="005645FE">
            <w:pPr>
              <w:spacing w:after="60"/>
            </w:pPr>
          </w:p>
          <w:p w14:paraId="019A08E1" w14:textId="77777777" w:rsidR="00FA6D6C" w:rsidRPr="00A02C95" w:rsidRDefault="00FA6D6C" w:rsidP="005645FE">
            <w:pPr>
              <w:spacing w:after="60"/>
            </w:pPr>
            <w:r w:rsidRPr="00A02C95">
              <w:rPr>
                <w:rFonts w:ascii="Calibri" w:eastAsia="Calibri" w:hAnsi="Calibri" w:cs="Calibri"/>
                <w:sz w:val="18"/>
                <w:szCs w:val="18"/>
              </w:rPr>
              <w:t>F</w:t>
            </w:r>
            <w:r>
              <w:rPr>
                <w:rFonts w:ascii="Calibri" w:eastAsia="Calibri" w:hAnsi="Calibri" w:cs="Calibri"/>
                <w:sz w:val="18"/>
                <w:szCs w:val="18"/>
              </w:rPr>
              <w:t>our</w:t>
            </w:r>
            <w:r w:rsidRPr="00A02C95">
              <w:rPr>
                <w:rFonts w:ascii="Calibri" w:eastAsia="Calibri" w:hAnsi="Calibri" w:cs="Calibri"/>
                <w:sz w:val="18"/>
                <w:szCs w:val="18"/>
              </w:rPr>
              <w:t xml:space="preserve"> of ten contributing studies (Sato, Hilfinger</w:t>
            </w:r>
            <w:r>
              <w:rPr>
                <w:rFonts w:ascii="Calibri" w:eastAsia="Calibri" w:hAnsi="Calibri" w:cs="Calibri"/>
                <w:sz w:val="18"/>
                <w:szCs w:val="18"/>
              </w:rPr>
              <w:t>-</w:t>
            </w:r>
            <w:r w:rsidRPr="00A02C95">
              <w:rPr>
                <w:rFonts w:ascii="Calibri" w:eastAsia="Calibri" w:hAnsi="Calibri" w:cs="Calibri"/>
                <w:sz w:val="18"/>
                <w:szCs w:val="18"/>
              </w:rPr>
              <w:t>Messias, Maheen, and Safajou) did not report a named theoretical or analytical framework.</w:t>
            </w:r>
          </w:p>
          <w:p w14:paraId="0D53408F" w14:textId="77777777" w:rsidR="00FA6D6C" w:rsidRPr="00A02C95" w:rsidRDefault="00FA6D6C" w:rsidP="005645FE">
            <w:pPr>
              <w:spacing w:after="60"/>
            </w:pPr>
          </w:p>
          <w:p w14:paraId="4DE076DB" w14:textId="77777777" w:rsidR="00FA6D6C" w:rsidRPr="00A02C95" w:rsidRDefault="00FA6D6C" w:rsidP="005645FE"/>
        </w:tc>
        <w:tc>
          <w:tcPr>
            <w:tcW w:w="1900" w:type="dxa"/>
            <w:tcMar>
              <w:top w:w="80" w:type="dxa"/>
              <w:left w:w="100" w:type="dxa"/>
              <w:bottom w:w="80" w:type="dxa"/>
              <w:right w:w="100" w:type="dxa"/>
            </w:tcMar>
          </w:tcPr>
          <w:p w14:paraId="373C8AC9" w14:textId="77777777" w:rsidR="00FA6D6C" w:rsidRPr="00A02C95" w:rsidRDefault="00FA6D6C" w:rsidP="005645FE">
            <w:pPr>
              <w:spacing w:after="60"/>
            </w:pPr>
            <w:r w:rsidRPr="00A02C95">
              <w:rPr>
                <w:rFonts w:ascii="Calibri" w:eastAsia="Calibri" w:hAnsi="Calibri" w:cs="Calibri"/>
                <w:sz w:val="18"/>
                <w:szCs w:val="18"/>
              </w:rPr>
              <w:t>No concerns.</w:t>
            </w:r>
          </w:p>
          <w:p w14:paraId="28A50D4C" w14:textId="77777777" w:rsidR="00FA6D6C" w:rsidRPr="00A02C95" w:rsidRDefault="00FA6D6C" w:rsidP="005645FE">
            <w:pPr>
              <w:spacing w:after="60"/>
            </w:pPr>
          </w:p>
          <w:p w14:paraId="5EFBF300" w14:textId="77777777" w:rsidR="00FA6D6C" w:rsidRPr="00A02C95" w:rsidRDefault="00FA6D6C" w:rsidP="005645FE">
            <w:r w:rsidRPr="00A02C95">
              <w:rPr>
                <w:rFonts w:ascii="Calibri" w:eastAsia="Calibri" w:hAnsi="Calibri" w:cs="Calibri"/>
                <w:sz w:val="18"/>
                <w:szCs w:val="18"/>
              </w:rPr>
              <w:t xml:space="preserve">The contributing studies provided coherent evidence for the structural amplification argument across markedly different contexts. Reciprocal translations established the structural rather than cultural nature of the inequity. Refutational translations from Sato and Suzuki, documented </w:t>
            </w:r>
            <w:r>
              <w:rPr>
                <w:rFonts w:ascii="Calibri" w:eastAsia="Calibri" w:hAnsi="Calibri" w:cs="Calibri"/>
                <w:sz w:val="18"/>
                <w:szCs w:val="18"/>
              </w:rPr>
              <w:t xml:space="preserve">that </w:t>
            </w:r>
            <w:r w:rsidRPr="00A02C95">
              <w:rPr>
                <w:rFonts w:ascii="Calibri" w:eastAsia="Calibri" w:hAnsi="Calibri" w:cs="Calibri"/>
                <w:sz w:val="18"/>
                <w:szCs w:val="18"/>
              </w:rPr>
              <w:t>retained agency in Japan and the Philippines, strengthened rather than undermined coherence</w:t>
            </w:r>
            <w:r>
              <w:rPr>
                <w:rFonts w:ascii="Calibri" w:eastAsia="Calibri" w:hAnsi="Calibri" w:cs="Calibri"/>
                <w:sz w:val="18"/>
                <w:szCs w:val="18"/>
              </w:rPr>
              <w:t>.</w:t>
            </w:r>
            <w:r w:rsidRPr="00A02C95">
              <w:rPr>
                <w:rFonts w:ascii="Calibri" w:eastAsia="Calibri" w:hAnsi="Calibri" w:cs="Calibri"/>
                <w:sz w:val="18"/>
                <w:szCs w:val="18"/>
              </w:rPr>
              <w:t xml:space="preserve"> </w:t>
            </w:r>
            <w:r>
              <w:rPr>
                <w:rFonts w:ascii="Calibri" w:eastAsia="Calibri" w:hAnsi="Calibri" w:cs="Calibri"/>
                <w:sz w:val="18"/>
                <w:szCs w:val="18"/>
              </w:rPr>
              <w:t>T</w:t>
            </w:r>
            <w:r w:rsidRPr="00A02C95">
              <w:rPr>
                <w:rFonts w:ascii="Calibri" w:eastAsia="Calibri" w:hAnsi="Calibri" w:cs="Calibri"/>
                <w:sz w:val="18"/>
                <w:szCs w:val="18"/>
              </w:rPr>
              <w:t>hey demonstrated that agency was available where structural conditions permitted it, which is what this line of argument theorised.</w:t>
            </w:r>
          </w:p>
        </w:tc>
        <w:tc>
          <w:tcPr>
            <w:tcW w:w="1900" w:type="dxa"/>
            <w:tcMar>
              <w:top w:w="80" w:type="dxa"/>
              <w:left w:w="100" w:type="dxa"/>
              <w:bottom w:w="80" w:type="dxa"/>
              <w:right w:w="100" w:type="dxa"/>
            </w:tcMar>
          </w:tcPr>
          <w:p w14:paraId="02A63167" w14:textId="77777777" w:rsidR="00FA6D6C" w:rsidRPr="00A02C95" w:rsidRDefault="00FA6D6C" w:rsidP="005645FE">
            <w:pPr>
              <w:spacing w:after="60"/>
            </w:pPr>
            <w:r w:rsidRPr="00A02C95">
              <w:rPr>
                <w:rFonts w:ascii="Calibri" w:eastAsia="Calibri" w:hAnsi="Calibri" w:cs="Calibri"/>
                <w:sz w:val="18"/>
                <w:szCs w:val="18"/>
              </w:rPr>
              <w:t>No concerns.</w:t>
            </w:r>
          </w:p>
          <w:p w14:paraId="3CC1ED32" w14:textId="77777777" w:rsidR="00FA6D6C" w:rsidRPr="00A02C95" w:rsidRDefault="00FA6D6C" w:rsidP="005645FE">
            <w:pPr>
              <w:spacing w:after="60"/>
            </w:pPr>
          </w:p>
          <w:p w14:paraId="76B57A85" w14:textId="77777777" w:rsidR="00FA6D6C" w:rsidRPr="00A02C95" w:rsidRDefault="00FA6D6C" w:rsidP="005645FE">
            <w:r w:rsidRPr="00A02C95">
              <w:rPr>
                <w:rFonts w:ascii="Calibri" w:eastAsia="Calibri" w:hAnsi="Calibri" w:cs="Calibri"/>
                <w:sz w:val="18"/>
                <w:szCs w:val="18"/>
              </w:rPr>
              <w:t>The contributing studies provide</w:t>
            </w:r>
            <w:r>
              <w:rPr>
                <w:rFonts w:ascii="Calibri" w:eastAsia="Calibri" w:hAnsi="Calibri" w:cs="Calibri"/>
                <w:sz w:val="18"/>
                <w:szCs w:val="18"/>
              </w:rPr>
              <w:t>d</w:t>
            </w:r>
            <w:r w:rsidRPr="00A02C95">
              <w:rPr>
                <w:rFonts w:ascii="Calibri" w:eastAsia="Calibri" w:hAnsi="Calibri" w:cs="Calibri"/>
                <w:sz w:val="18"/>
                <w:szCs w:val="18"/>
              </w:rPr>
              <w:t xml:space="preserve"> substantial data addressing structural and gendered dimensions of the flood-pregnancy experience. Saulnier's governance framework generate</w:t>
            </w:r>
            <w:r>
              <w:rPr>
                <w:rFonts w:ascii="Calibri" w:eastAsia="Calibri" w:hAnsi="Calibri" w:cs="Calibri"/>
                <w:sz w:val="18"/>
                <w:szCs w:val="18"/>
              </w:rPr>
              <w:t>d</w:t>
            </w:r>
            <w:r w:rsidRPr="00A02C95">
              <w:rPr>
                <w:rFonts w:ascii="Calibri" w:eastAsia="Calibri" w:hAnsi="Calibri" w:cs="Calibri"/>
                <w:sz w:val="18"/>
                <w:szCs w:val="18"/>
              </w:rPr>
              <w:t xml:space="preserve"> particularly rich second-order constructs </w:t>
            </w:r>
            <w:r>
              <w:rPr>
                <w:rFonts w:ascii="Calibri" w:eastAsia="Calibri" w:hAnsi="Calibri" w:cs="Calibri"/>
                <w:sz w:val="18"/>
                <w:szCs w:val="18"/>
              </w:rPr>
              <w:t>around</w:t>
            </w:r>
            <w:r w:rsidRPr="00A02C95">
              <w:rPr>
                <w:rFonts w:ascii="Calibri" w:eastAsia="Calibri" w:hAnsi="Calibri" w:cs="Calibri"/>
                <w:sz w:val="18"/>
                <w:szCs w:val="18"/>
              </w:rPr>
              <w:t xml:space="preserve"> power dynamics and decision-making. Maheen, Samakya, and Kulkarni provide</w:t>
            </w:r>
            <w:r>
              <w:rPr>
                <w:rFonts w:ascii="Calibri" w:eastAsia="Calibri" w:hAnsi="Calibri" w:cs="Calibri"/>
                <w:sz w:val="18"/>
                <w:szCs w:val="18"/>
              </w:rPr>
              <w:t>d</w:t>
            </w:r>
            <w:r w:rsidRPr="00A02C95">
              <w:rPr>
                <w:rFonts w:ascii="Calibri" w:eastAsia="Calibri" w:hAnsi="Calibri" w:cs="Calibri"/>
                <w:sz w:val="18"/>
                <w:szCs w:val="18"/>
              </w:rPr>
              <w:t xml:space="preserve"> corroborating first-order evidence across three distinct cultural contexts. The combination of high-contribution theoretical studies and corroborating cross-contextual evidence </w:t>
            </w:r>
            <w:r>
              <w:rPr>
                <w:rFonts w:ascii="Calibri" w:eastAsia="Calibri" w:hAnsi="Calibri" w:cs="Calibri"/>
                <w:sz w:val="18"/>
                <w:szCs w:val="18"/>
              </w:rPr>
              <w:t>was considered</w:t>
            </w:r>
            <w:r w:rsidRPr="00A02C95">
              <w:rPr>
                <w:rFonts w:ascii="Calibri" w:eastAsia="Calibri" w:hAnsi="Calibri" w:cs="Calibri"/>
                <w:sz w:val="18"/>
                <w:szCs w:val="18"/>
              </w:rPr>
              <w:t xml:space="preserve"> adequate to sustain this line of argument.</w:t>
            </w:r>
          </w:p>
        </w:tc>
        <w:tc>
          <w:tcPr>
            <w:tcW w:w="1900" w:type="dxa"/>
            <w:tcMar>
              <w:top w:w="80" w:type="dxa"/>
              <w:left w:w="100" w:type="dxa"/>
              <w:bottom w:w="80" w:type="dxa"/>
              <w:right w:w="100" w:type="dxa"/>
            </w:tcMar>
          </w:tcPr>
          <w:p w14:paraId="2B2A2B9E" w14:textId="77777777" w:rsidR="00FA6D6C" w:rsidRPr="00A02C95" w:rsidRDefault="00FA6D6C" w:rsidP="005645FE">
            <w:pPr>
              <w:spacing w:after="60"/>
            </w:pPr>
            <w:r w:rsidRPr="00A02C95">
              <w:rPr>
                <w:rFonts w:ascii="Calibri" w:eastAsia="Calibri" w:hAnsi="Calibri" w:cs="Calibri"/>
                <w:sz w:val="18"/>
                <w:szCs w:val="18"/>
              </w:rPr>
              <w:t>Minor concerns.</w:t>
            </w:r>
          </w:p>
          <w:p w14:paraId="0BD80413" w14:textId="77777777" w:rsidR="00FA6D6C" w:rsidRPr="00A02C95" w:rsidRDefault="00FA6D6C" w:rsidP="005645FE">
            <w:pPr>
              <w:spacing w:after="60"/>
            </w:pPr>
          </w:p>
          <w:p w14:paraId="7920FECD" w14:textId="77777777" w:rsidR="00FA6D6C" w:rsidRPr="00A02C95" w:rsidRDefault="00FA6D6C" w:rsidP="005645FE">
            <w:r w:rsidRPr="00A02C95">
              <w:rPr>
                <w:rFonts w:ascii="Calibri" w:eastAsia="Calibri" w:hAnsi="Calibri" w:cs="Calibri"/>
                <w:sz w:val="18"/>
                <w:szCs w:val="18"/>
              </w:rPr>
              <w:t>Saulnier 2020 recruited broadly across the community, including men, village chiefs, and health workers, rather than focusing exclusively on pregnant women. Similarly, Kulkarni 2008 included service providers alongside evacuees, with only one participant confirmed as pregnant. Hilfinger</w:t>
            </w:r>
            <w:r>
              <w:rPr>
                <w:rFonts w:ascii="Calibri" w:eastAsia="Calibri" w:hAnsi="Calibri" w:cs="Calibri"/>
                <w:sz w:val="18"/>
                <w:szCs w:val="18"/>
              </w:rPr>
              <w:t>-</w:t>
            </w:r>
            <w:r w:rsidRPr="00A02C95">
              <w:rPr>
                <w:rFonts w:ascii="Calibri" w:eastAsia="Calibri" w:hAnsi="Calibri" w:cs="Calibri"/>
                <w:sz w:val="18"/>
                <w:szCs w:val="18"/>
              </w:rPr>
              <w:t>Messias 2007 had one pregnant participant among 93</w:t>
            </w:r>
            <w:r>
              <w:rPr>
                <w:rFonts w:ascii="Calibri" w:eastAsia="Calibri" w:hAnsi="Calibri" w:cs="Calibri"/>
                <w:sz w:val="18"/>
                <w:szCs w:val="18"/>
              </w:rPr>
              <w:t xml:space="preserve"> participants</w:t>
            </w:r>
            <w:r w:rsidRPr="00A02C95">
              <w:rPr>
                <w:rFonts w:ascii="Calibri" w:eastAsia="Calibri" w:hAnsi="Calibri" w:cs="Calibri"/>
                <w:sz w:val="18"/>
                <w:szCs w:val="18"/>
              </w:rPr>
              <w:t>. Whilst the structural argument benefit</w:t>
            </w:r>
            <w:r>
              <w:rPr>
                <w:rFonts w:ascii="Calibri" w:eastAsia="Calibri" w:hAnsi="Calibri" w:cs="Calibri"/>
                <w:sz w:val="18"/>
                <w:szCs w:val="18"/>
              </w:rPr>
              <w:t>ed</w:t>
            </w:r>
            <w:r w:rsidRPr="00A02C95">
              <w:rPr>
                <w:rFonts w:ascii="Calibri" w:eastAsia="Calibri" w:hAnsi="Calibri" w:cs="Calibri"/>
                <w:sz w:val="18"/>
                <w:szCs w:val="18"/>
              </w:rPr>
              <w:t xml:space="preserve"> analytically from multi-perspective evidence, women's voices remain</w:t>
            </w:r>
            <w:r>
              <w:rPr>
                <w:rFonts w:ascii="Calibri" w:eastAsia="Calibri" w:hAnsi="Calibri" w:cs="Calibri"/>
                <w:sz w:val="18"/>
                <w:szCs w:val="18"/>
              </w:rPr>
              <w:t xml:space="preserve">ed </w:t>
            </w:r>
            <w:r w:rsidRPr="00A02C95">
              <w:rPr>
                <w:rFonts w:ascii="Calibri" w:eastAsia="Calibri" w:hAnsi="Calibri" w:cs="Calibri"/>
                <w:sz w:val="18"/>
                <w:szCs w:val="18"/>
              </w:rPr>
              <w:t>identifiable within these studies, the broad participant composition of three contributing studies represent</w:t>
            </w:r>
            <w:r>
              <w:rPr>
                <w:rFonts w:ascii="Calibri" w:eastAsia="Calibri" w:hAnsi="Calibri" w:cs="Calibri"/>
                <w:sz w:val="18"/>
                <w:szCs w:val="18"/>
              </w:rPr>
              <w:t>ed</w:t>
            </w:r>
            <w:r w:rsidRPr="00A02C95">
              <w:rPr>
                <w:rFonts w:ascii="Calibri" w:eastAsia="Calibri" w:hAnsi="Calibri" w:cs="Calibri"/>
                <w:sz w:val="18"/>
                <w:szCs w:val="18"/>
              </w:rPr>
              <w:t xml:space="preserve"> a minor relevance consideration.</w:t>
            </w:r>
          </w:p>
        </w:tc>
      </w:tr>
      <w:tr w:rsidR="00FA6D6C" w:rsidRPr="00A02C95" w14:paraId="12D1511D" w14:textId="77777777" w:rsidTr="005645FE">
        <w:trPr>
          <w:trHeight w:val="300"/>
          <w:jc w:val="center"/>
        </w:trPr>
        <w:tc>
          <w:tcPr>
            <w:tcW w:w="11100" w:type="dxa"/>
            <w:gridSpan w:val="6"/>
            <w:shd w:val="clear" w:color="auto" w:fill="F2F2F2"/>
            <w:tcMar>
              <w:top w:w="80" w:type="dxa"/>
              <w:left w:w="100" w:type="dxa"/>
              <w:bottom w:w="80" w:type="dxa"/>
              <w:right w:w="100" w:type="dxa"/>
            </w:tcMar>
          </w:tcPr>
          <w:p w14:paraId="6F9DC667" w14:textId="77777777" w:rsidR="00FA6D6C" w:rsidRPr="00A02C95" w:rsidRDefault="00FA6D6C" w:rsidP="005645FE">
            <w:r w:rsidRPr="00A02C95">
              <w:rPr>
                <w:rFonts w:ascii="Calibri" w:eastAsia="Calibri" w:hAnsi="Calibri" w:cs="Calibri"/>
                <w:b/>
                <w:bCs/>
                <w:sz w:val="18"/>
                <w:szCs w:val="18"/>
              </w:rPr>
              <w:t>Final Assessment: High Confidence</w:t>
            </w:r>
          </w:p>
        </w:tc>
      </w:tr>
      <w:tr w:rsidR="00FA6D6C" w:rsidRPr="00A02C95" w14:paraId="13D902C3" w14:textId="77777777" w:rsidTr="005645FE">
        <w:trPr>
          <w:trHeight w:val="300"/>
          <w:jc w:val="center"/>
        </w:trPr>
        <w:tc>
          <w:tcPr>
            <w:tcW w:w="1900" w:type="dxa"/>
            <w:tcMar>
              <w:top w:w="80" w:type="dxa"/>
              <w:left w:w="100" w:type="dxa"/>
              <w:bottom w:w="80" w:type="dxa"/>
              <w:right w:w="100" w:type="dxa"/>
            </w:tcMar>
          </w:tcPr>
          <w:p w14:paraId="03217B1D" w14:textId="77777777" w:rsidR="00FA6D6C" w:rsidRPr="00A02C95" w:rsidRDefault="00FA6D6C" w:rsidP="005645FE">
            <w:r w:rsidRPr="00A02C95">
              <w:rPr>
                <w:rFonts w:ascii="Calibri" w:eastAsia="Calibri" w:hAnsi="Calibri" w:cs="Calibri"/>
                <w:b/>
                <w:bCs/>
                <w:sz w:val="18"/>
                <w:szCs w:val="18"/>
              </w:rPr>
              <w:t>The Vulnerability-Resilience Paradox</w:t>
            </w:r>
          </w:p>
        </w:tc>
        <w:tc>
          <w:tcPr>
            <w:tcW w:w="1500" w:type="dxa"/>
            <w:tcMar>
              <w:top w:w="80" w:type="dxa"/>
              <w:left w:w="100" w:type="dxa"/>
              <w:bottom w:w="80" w:type="dxa"/>
              <w:right w:w="100" w:type="dxa"/>
            </w:tcMar>
          </w:tcPr>
          <w:p w14:paraId="367CB624" w14:textId="77777777" w:rsidR="00FA6D6C" w:rsidRPr="00A02C95" w:rsidRDefault="00FA6D6C" w:rsidP="005645FE">
            <w:pPr>
              <w:spacing w:after="60"/>
            </w:pPr>
            <w:r w:rsidRPr="00A02C95">
              <w:rPr>
                <w:rFonts w:ascii="Calibri" w:eastAsia="Calibri" w:hAnsi="Calibri" w:cs="Calibri"/>
                <w:sz w:val="18"/>
                <w:szCs w:val="18"/>
              </w:rPr>
              <w:t>Badakhsh 2010</w:t>
            </w:r>
          </w:p>
          <w:p w14:paraId="69645C2B" w14:textId="77777777" w:rsidR="00FA6D6C" w:rsidRPr="00A02C95" w:rsidRDefault="00FA6D6C" w:rsidP="005645FE">
            <w:pPr>
              <w:spacing w:after="60"/>
            </w:pPr>
            <w:r w:rsidRPr="00A02C95">
              <w:rPr>
                <w:rFonts w:ascii="Calibri" w:eastAsia="Calibri" w:hAnsi="Calibri" w:cs="Calibri"/>
                <w:sz w:val="18"/>
                <w:szCs w:val="18"/>
              </w:rPr>
              <w:t>Hilfinger</w:t>
            </w:r>
            <w:r>
              <w:rPr>
                <w:rFonts w:ascii="Calibri" w:eastAsia="Calibri" w:hAnsi="Calibri" w:cs="Calibri"/>
                <w:sz w:val="18"/>
                <w:szCs w:val="18"/>
              </w:rPr>
              <w:t>-</w:t>
            </w:r>
            <w:r w:rsidRPr="00A02C95">
              <w:rPr>
                <w:rFonts w:ascii="Calibri" w:eastAsia="Calibri" w:hAnsi="Calibri" w:cs="Calibri"/>
                <w:sz w:val="18"/>
                <w:szCs w:val="18"/>
              </w:rPr>
              <w:t>Messias 2007</w:t>
            </w:r>
          </w:p>
          <w:p w14:paraId="4A30CD57" w14:textId="77777777" w:rsidR="00FA6D6C" w:rsidRPr="00D96207" w:rsidRDefault="00FA6D6C" w:rsidP="005645FE">
            <w:pPr>
              <w:spacing w:after="60"/>
            </w:pPr>
            <w:r w:rsidRPr="00A02C95">
              <w:rPr>
                <w:rFonts w:ascii="Calibri" w:eastAsia="Calibri" w:hAnsi="Calibri" w:cs="Calibri"/>
                <w:sz w:val="18"/>
                <w:szCs w:val="18"/>
              </w:rPr>
              <w:t>Jeffers 2022</w:t>
            </w:r>
          </w:p>
          <w:p w14:paraId="4D4255C6" w14:textId="77777777" w:rsidR="00FA6D6C" w:rsidRPr="00A02C95" w:rsidRDefault="00FA6D6C" w:rsidP="005645FE">
            <w:pPr>
              <w:spacing w:after="60"/>
            </w:pPr>
            <w:r w:rsidRPr="00A02C95">
              <w:rPr>
                <w:rFonts w:ascii="Calibri" w:eastAsia="Calibri" w:hAnsi="Calibri" w:cs="Calibri"/>
                <w:sz w:val="18"/>
                <w:szCs w:val="18"/>
              </w:rPr>
              <w:t>Maheen 2017</w:t>
            </w:r>
          </w:p>
          <w:p w14:paraId="04E17E9A" w14:textId="77777777" w:rsidR="00FA6D6C" w:rsidRPr="00A02C95" w:rsidRDefault="00FA6D6C" w:rsidP="005645FE">
            <w:pPr>
              <w:spacing w:after="60"/>
            </w:pPr>
            <w:r w:rsidRPr="00A02C95">
              <w:rPr>
                <w:rFonts w:ascii="Calibri" w:eastAsia="Calibri" w:hAnsi="Calibri" w:cs="Calibri"/>
                <w:sz w:val="18"/>
                <w:szCs w:val="18"/>
              </w:rPr>
              <w:t>Safajou 2023</w:t>
            </w:r>
          </w:p>
          <w:p w14:paraId="59C27C1D" w14:textId="77777777" w:rsidR="00FA6D6C" w:rsidRDefault="00FA6D6C" w:rsidP="005645FE">
            <w:pPr>
              <w:spacing w:after="60"/>
              <w:rPr>
                <w:rFonts w:ascii="Calibri" w:eastAsia="Calibri" w:hAnsi="Calibri" w:cs="Calibri"/>
                <w:sz w:val="18"/>
                <w:szCs w:val="18"/>
              </w:rPr>
            </w:pPr>
            <w:r w:rsidRPr="00A02C95">
              <w:rPr>
                <w:rFonts w:ascii="Calibri" w:eastAsia="Calibri" w:hAnsi="Calibri" w:cs="Calibri"/>
                <w:sz w:val="18"/>
                <w:szCs w:val="18"/>
              </w:rPr>
              <w:t>Samakya 2024</w:t>
            </w:r>
          </w:p>
          <w:p w14:paraId="152037C9" w14:textId="77777777" w:rsidR="00FA6D6C" w:rsidRPr="00A02C95" w:rsidRDefault="00FA6D6C" w:rsidP="005645FE">
            <w:pPr>
              <w:spacing w:after="60"/>
            </w:pPr>
            <w:r w:rsidRPr="00A02C95">
              <w:rPr>
                <w:rFonts w:ascii="Calibri" w:eastAsia="Calibri" w:hAnsi="Calibri" w:cs="Calibri"/>
                <w:sz w:val="18"/>
                <w:szCs w:val="18"/>
              </w:rPr>
              <w:t>Sato 2016</w:t>
            </w:r>
          </w:p>
          <w:p w14:paraId="1008C5EE" w14:textId="77777777" w:rsidR="00FA6D6C" w:rsidRDefault="00FA6D6C" w:rsidP="005645FE">
            <w:pPr>
              <w:spacing w:after="60"/>
              <w:rPr>
                <w:rFonts w:ascii="Calibri" w:eastAsia="Calibri" w:hAnsi="Calibri" w:cs="Calibri"/>
                <w:sz w:val="18"/>
                <w:szCs w:val="18"/>
              </w:rPr>
            </w:pPr>
            <w:r>
              <w:rPr>
                <w:rFonts w:ascii="Calibri" w:eastAsia="Calibri" w:hAnsi="Calibri" w:cs="Calibri"/>
                <w:sz w:val="18"/>
                <w:szCs w:val="18"/>
              </w:rPr>
              <w:t>Saulnier 2020</w:t>
            </w:r>
          </w:p>
          <w:p w14:paraId="3B9DFFDF" w14:textId="77777777" w:rsidR="00FA6D6C" w:rsidRPr="00A02C95" w:rsidRDefault="00FA6D6C" w:rsidP="005645FE">
            <w:pPr>
              <w:spacing w:after="60"/>
            </w:pPr>
            <w:r w:rsidRPr="00A02C95">
              <w:rPr>
                <w:rFonts w:ascii="Calibri" w:eastAsia="Calibri" w:hAnsi="Calibri" w:cs="Calibri"/>
                <w:sz w:val="18"/>
                <w:szCs w:val="18"/>
              </w:rPr>
              <w:t>Silva-Suarez 2021</w:t>
            </w:r>
          </w:p>
          <w:p w14:paraId="376DE1A2" w14:textId="77777777" w:rsidR="00FA6D6C" w:rsidRPr="00A02C95" w:rsidRDefault="00FA6D6C" w:rsidP="005645FE">
            <w:pPr>
              <w:spacing w:after="60"/>
            </w:pPr>
            <w:r w:rsidRPr="00A02C95">
              <w:rPr>
                <w:rFonts w:ascii="Calibri" w:eastAsia="Calibri" w:hAnsi="Calibri" w:cs="Calibri"/>
                <w:sz w:val="18"/>
                <w:szCs w:val="18"/>
              </w:rPr>
              <w:t>Suzuki 2024</w:t>
            </w:r>
          </w:p>
          <w:p w14:paraId="0D75D29B" w14:textId="77777777" w:rsidR="00FA6D6C" w:rsidRPr="00A02C95" w:rsidRDefault="00FA6D6C" w:rsidP="005645FE"/>
        </w:tc>
        <w:tc>
          <w:tcPr>
            <w:tcW w:w="2000" w:type="dxa"/>
            <w:tcMar>
              <w:top w:w="80" w:type="dxa"/>
              <w:left w:w="100" w:type="dxa"/>
              <w:bottom w:w="80" w:type="dxa"/>
              <w:right w:w="100" w:type="dxa"/>
            </w:tcMar>
          </w:tcPr>
          <w:p w14:paraId="7C1D341C" w14:textId="77777777" w:rsidR="00FA6D6C" w:rsidRPr="00A02C95" w:rsidRDefault="00FA6D6C" w:rsidP="005645FE">
            <w:pPr>
              <w:spacing w:after="60"/>
            </w:pPr>
            <w:r w:rsidRPr="00A02C95">
              <w:rPr>
                <w:rFonts w:ascii="Calibri" w:eastAsia="Calibri" w:hAnsi="Calibri" w:cs="Calibri"/>
                <w:sz w:val="18"/>
                <w:szCs w:val="18"/>
              </w:rPr>
              <w:t>Minor concerns.</w:t>
            </w:r>
          </w:p>
          <w:p w14:paraId="07651208" w14:textId="77777777" w:rsidR="00FA6D6C" w:rsidRPr="00A02C95" w:rsidRDefault="00FA6D6C" w:rsidP="005645FE">
            <w:pPr>
              <w:spacing w:after="60"/>
            </w:pPr>
          </w:p>
          <w:p w14:paraId="4B717A1F" w14:textId="77777777" w:rsidR="00FA6D6C" w:rsidRPr="00A02C95" w:rsidRDefault="00FA6D6C" w:rsidP="005645FE">
            <w:pPr>
              <w:spacing w:after="60"/>
            </w:pPr>
            <w:r w:rsidRPr="00A02C95">
              <w:rPr>
                <w:rFonts w:ascii="Calibri" w:eastAsia="Calibri" w:hAnsi="Calibri" w:cs="Calibri"/>
                <w:sz w:val="18"/>
                <w:szCs w:val="18"/>
              </w:rPr>
              <w:t>F</w:t>
            </w:r>
            <w:r>
              <w:rPr>
                <w:rFonts w:ascii="Calibri" w:eastAsia="Calibri" w:hAnsi="Calibri" w:cs="Calibri"/>
                <w:sz w:val="18"/>
                <w:szCs w:val="18"/>
              </w:rPr>
              <w:t>our</w:t>
            </w:r>
            <w:r w:rsidRPr="00A02C95">
              <w:rPr>
                <w:rFonts w:ascii="Calibri" w:eastAsia="Calibri" w:hAnsi="Calibri" w:cs="Calibri"/>
                <w:sz w:val="18"/>
                <w:szCs w:val="18"/>
              </w:rPr>
              <w:t xml:space="preserve"> of ten contributing studies (Sato, Hilfinger</w:t>
            </w:r>
            <w:r>
              <w:rPr>
                <w:rFonts w:ascii="Calibri" w:eastAsia="Calibri" w:hAnsi="Calibri" w:cs="Calibri"/>
                <w:sz w:val="18"/>
                <w:szCs w:val="18"/>
              </w:rPr>
              <w:t>-</w:t>
            </w:r>
            <w:r w:rsidRPr="00A02C95">
              <w:rPr>
                <w:rFonts w:ascii="Calibri" w:eastAsia="Calibri" w:hAnsi="Calibri" w:cs="Calibri"/>
                <w:sz w:val="18"/>
                <w:szCs w:val="18"/>
              </w:rPr>
              <w:t>Messias, Maheen, and Safajou) did not report a named theoretical or analytical framework.</w:t>
            </w:r>
          </w:p>
          <w:p w14:paraId="5B66E076" w14:textId="77777777" w:rsidR="00FA6D6C" w:rsidRPr="00A02C95" w:rsidRDefault="00FA6D6C" w:rsidP="005645FE"/>
        </w:tc>
        <w:tc>
          <w:tcPr>
            <w:tcW w:w="1900" w:type="dxa"/>
            <w:tcMar>
              <w:top w:w="80" w:type="dxa"/>
              <w:left w:w="100" w:type="dxa"/>
              <w:bottom w:w="80" w:type="dxa"/>
              <w:right w:w="100" w:type="dxa"/>
            </w:tcMar>
          </w:tcPr>
          <w:p w14:paraId="14BDE99C" w14:textId="77777777" w:rsidR="00FA6D6C" w:rsidRPr="00A02C95" w:rsidRDefault="00FA6D6C" w:rsidP="005645FE">
            <w:pPr>
              <w:spacing w:after="60"/>
            </w:pPr>
            <w:r w:rsidRPr="00A02C95">
              <w:rPr>
                <w:rFonts w:ascii="Calibri" w:eastAsia="Calibri" w:hAnsi="Calibri" w:cs="Calibri"/>
                <w:sz w:val="18"/>
                <w:szCs w:val="18"/>
              </w:rPr>
              <w:t>No concerns.</w:t>
            </w:r>
          </w:p>
          <w:p w14:paraId="54B7B7DF" w14:textId="77777777" w:rsidR="00FA6D6C" w:rsidRPr="00A02C95" w:rsidRDefault="00FA6D6C" w:rsidP="005645FE">
            <w:pPr>
              <w:spacing w:after="60"/>
            </w:pPr>
          </w:p>
          <w:p w14:paraId="2715DAAD" w14:textId="77777777" w:rsidR="00FA6D6C" w:rsidRPr="00A02C95" w:rsidRDefault="00FA6D6C" w:rsidP="005645FE">
            <w:r w:rsidRPr="00A02C95">
              <w:rPr>
                <w:rFonts w:ascii="Calibri" w:eastAsia="Calibri" w:hAnsi="Calibri" w:cs="Calibri"/>
                <w:sz w:val="18"/>
                <w:szCs w:val="18"/>
              </w:rPr>
              <w:t xml:space="preserve">All contributing studies provided coherent evidence that resilience and vulnerability co-existed within the </w:t>
            </w:r>
            <w:r>
              <w:rPr>
                <w:rFonts w:ascii="Calibri" w:eastAsia="Calibri" w:hAnsi="Calibri" w:cs="Calibri"/>
                <w:sz w:val="18"/>
                <w:szCs w:val="18"/>
              </w:rPr>
              <w:t>participants’ lives</w:t>
            </w:r>
            <w:r w:rsidRPr="00A02C95">
              <w:rPr>
                <w:rFonts w:ascii="Calibri" w:eastAsia="Calibri" w:hAnsi="Calibri" w:cs="Calibri"/>
                <w:sz w:val="18"/>
                <w:szCs w:val="18"/>
              </w:rPr>
              <w:t xml:space="preserve"> and </w:t>
            </w:r>
            <w:r>
              <w:rPr>
                <w:rFonts w:ascii="Calibri" w:eastAsia="Calibri" w:hAnsi="Calibri" w:cs="Calibri"/>
                <w:sz w:val="18"/>
                <w:szCs w:val="18"/>
              </w:rPr>
              <w:t xml:space="preserve">their </w:t>
            </w:r>
            <w:r w:rsidRPr="00A02C95">
              <w:rPr>
                <w:rFonts w:ascii="Calibri" w:eastAsia="Calibri" w:hAnsi="Calibri" w:cs="Calibri"/>
                <w:sz w:val="18"/>
                <w:szCs w:val="18"/>
              </w:rPr>
              <w:t>communities simultaneously. The refutational finding from Sato (communal food-sharing documented alongside looting) illustrate</w:t>
            </w:r>
            <w:r>
              <w:rPr>
                <w:rFonts w:ascii="Calibri" w:eastAsia="Calibri" w:hAnsi="Calibri" w:cs="Calibri"/>
                <w:sz w:val="18"/>
                <w:szCs w:val="18"/>
              </w:rPr>
              <w:t>d</w:t>
            </w:r>
            <w:r w:rsidRPr="00A02C95">
              <w:rPr>
                <w:rFonts w:ascii="Calibri" w:eastAsia="Calibri" w:hAnsi="Calibri" w:cs="Calibri"/>
                <w:sz w:val="18"/>
                <w:szCs w:val="18"/>
              </w:rPr>
              <w:t xml:space="preserve"> th</w:t>
            </w:r>
            <w:r>
              <w:rPr>
                <w:rFonts w:ascii="Calibri" w:eastAsia="Calibri" w:hAnsi="Calibri" w:cs="Calibri"/>
                <w:sz w:val="18"/>
                <w:szCs w:val="18"/>
              </w:rPr>
              <w:t>is</w:t>
            </w:r>
            <w:r w:rsidRPr="00A02C95">
              <w:rPr>
                <w:rFonts w:ascii="Calibri" w:eastAsia="Calibri" w:hAnsi="Calibri" w:cs="Calibri"/>
                <w:sz w:val="18"/>
                <w:szCs w:val="18"/>
              </w:rPr>
              <w:t xml:space="preserve"> paradox directly: it mark</w:t>
            </w:r>
            <w:r>
              <w:rPr>
                <w:rFonts w:ascii="Calibri" w:eastAsia="Calibri" w:hAnsi="Calibri" w:cs="Calibri"/>
                <w:sz w:val="18"/>
                <w:szCs w:val="18"/>
              </w:rPr>
              <w:t>ed</w:t>
            </w:r>
            <w:r w:rsidRPr="00A02C95">
              <w:rPr>
                <w:rFonts w:ascii="Calibri" w:eastAsia="Calibri" w:hAnsi="Calibri" w:cs="Calibri"/>
                <w:sz w:val="18"/>
                <w:szCs w:val="18"/>
              </w:rPr>
              <w:t xml:space="preserve"> the threshold at which legitimate coping strategies were exhausted, which </w:t>
            </w:r>
            <w:r>
              <w:rPr>
                <w:rFonts w:ascii="Calibri" w:eastAsia="Calibri" w:hAnsi="Calibri" w:cs="Calibri"/>
                <w:sz w:val="18"/>
                <w:szCs w:val="18"/>
              </w:rPr>
              <w:t>wa</w:t>
            </w:r>
            <w:r w:rsidRPr="00A02C95">
              <w:rPr>
                <w:rFonts w:ascii="Calibri" w:eastAsia="Calibri" w:hAnsi="Calibri" w:cs="Calibri"/>
                <w:sz w:val="18"/>
                <w:szCs w:val="18"/>
              </w:rPr>
              <w:t>s the central claim of this line of argument. This finding strengthen</w:t>
            </w:r>
            <w:r>
              <w:rPr>
                <w:rFonts w:ascii="Calibri" w:eastAsia="Calibri" w:hAnsi="Calibri" w:cs="Calibri"/>
                <w:sz w:val="18"/>
                <w:szCs w:val="18"/>
              </w:rPr>
              <w:t>ed</w:t>
            </w:r>
            <w:r w:rsidRPr="00A02C95">
              <w:rPr>
                <w:rFonts w:ascii="Calibri" w:eastAsia="Calibri" w:hAnsi="Calibri" w:cs="Calibri"/>
                <w:sz w:val="18"/>
                <w:szCs w:val="18"/>
              </w:rPr>
              <w:t xml:space="preserve"> rather than disrupt</w:t>
            </w:r>
            <w:r>
              <w:rPr>
                <w:rFonts w:ascii="Calibri" w:eastAsia="Calibri" w:hAnsi="Calibri" w:cs="Calibri"/>
                <w:sz w:val="18"/>
                <w:szCs w:val="18"/>
              </w:rPr>
              <w:t>ed</w:t>
            </w:r>
            <w:r w:rsidRPr="00A02C95">
              <w:rPr>
                <w:rFonts w:ascii="Calibri" w:eastAsia="Calibri" w:hAnsi="Calibri" w:cs="Calibri"/>
                <w:sz w:val="18"/>
                <w:szCs w:val="18"/>
              </w:rPr>
              <w:t xml:space="preserve"> coherence. No contributing study produced evidence that contradict</w:t>
            </w:r>
            <w:r>
              <w:rPr>
                <w:rFonts w:ascii="Calibri" w:eastAsia="Calibri" w:hAnsi="Calibri" w:cs="Calibri"/>
                <w:sz w:val="18"/>
                <w:szCs w:val="18"/>
              </w:rPr>
              <w:t>ed</w:t>
            </w:r>
            <w:r w:rsidRPr="00A02C95">
              <w:rPr>
                <w:rFonts w:ascii="Calibri" w:eastAsia="Calibri" w:hAnsi="Calibri" w:cs="Calibri"/>
                <w:sz w:val="18"/>
                <w:szCs w:val="18"/>
              </w:rPr>
              <w:t xml:space="preserve"> th</w:t>
            </w:r>
            <w:r>
              <w:rPr>
                <w:rFonts w:ascii="Calibri" w:eastAsia="Calibri" w:hAnsi="Calibri" w:cs="Calibri"/>
                <w:sz w:val="18"/>
                <w:szCs w:val="18"/>
              </w:rPr>
              <w:t>is</w:t>
            </w:r>
            <w:r w:rsidRPr="00A02C95">
              <w:rPr>
                <w:rFonts w:ascii="Calibri" w:eastAsia="Calibri" w:hAnsi="Calibri" w:cs="Calibri"/>
                <w:sz w:val="18"/>
                <w:szCs w:val="18"/>
              </w:rPr>
              <w:t xml:space="preserve"> paradox.</w:t>
            </w:r>
          </w:p>
        </w:tc>
        <w:tc>
          <w:tcPr>
            <w:tcW w:w="1900" w:type="dxa"/>
            <w:tcMar>
              <w:top w:w="80" w:type="dxa"/>
              <w:left w:w="100" w:type="dxa"/>
              <w:bottom w:w="80" w:type="dxa"/>
              <w:right w:w="100" w:type="dxa"/>
            </w:tcMar>
          </w:tcPr>
          <w:p w14:paraId="0C72F192" w14:textId="77777777" w:rsidR="00FA6D6C" w:rsidRPr="00A02C95" w:rsidRDefault="00FA6D6C" w:rsidP="005645FE">
            <w:pPr>
              <w:spacing w:after="60"/>
            </w:pPr>
            <w:r w:rsidRPr="00A02C95">
              <w:rPr>
                <w:rFonts w:ascii="Calibri" w:eastAsia="Calibri" w:hAnsi="Calibri" w:cs="Calibri"/>
                <w:sz w:val="18"/>
                <w:szCs w:val="18"/>
              </w:rPr>
              <w:t>No concerns.</w:t>
            </w:r>
          </w:p>
          <w:p w14:paraId="30AA35E6" w14:textId="77777777" w:rsidR="00FA6D6C" w:rsidRPr="00A02C95" w:rsidRDefault="00FA6D6C" w:rsidP="005645FE">
            <w:pPr>
              <w:spacing w:after="60"/>
            </w:pPr>
          </w:p>
          <w:p w14:paraId="0CE27374" w14:textId="77777777" w:rsidR="00FA6D6C" w:rsidRPr="00A02C95" w:rsidRDefault="00FA6D6C" w:rsidP="005645FE">
            <w:r w:rsidRPr="00A02C95">
              <w:rPr>
                <w:rFonts w:ascii="Calibri" w:eastAsia="Calibri" w:hAnsi="Calibri" w:cs="Calibri"/>
                <w:sz w:val="18"/>
                <w:szCs w:val="18"/>
              </w:rPr>
              <w:t xml:space="preserve">This </w:t>
            </w:r>
            <w:r>
              <w:rPr>
                <w:rFonts w:ascii="Calibri" w:eastAsia="Calibri" w:hAnsi="Calibri" w:cs="Calibri"/>
                <w:sz w:val="18"/>
                <w:szCs w:val="18"/>
              </w:rPr>
              <w:t>wa</w:t>
            </w:r>
            <w:r w:rsidRPr="00A02C95">
              <w:rPr>
                <w:rFonts w:ascii="Calibri" w:eastAsia="Calibri" w:hAnsi="Calibri" w:cs="Calibri"/>
                <w:sz w:val="18"/>
                <w:szCs w:val="18"/>
              </w:rPr>
              <w:t xml:space="preserve">s the most data-rich line of argument in the synthesis. All ten contributing studies generated findings relevant to coping, resilience, or the conditions under which coping succeeded or failed. Second-order constructs from Badakhsh, Saulnier, Suzuki, and Sato </w:t>
            </w:r>
            <w:r>
              <w:rPr>
                <w:rFonts w:ascii="Calibri" w:eastAsia="Calibri" w:hAnsi="Calibri" w:cs="Calibri"/>
                <w:sz w:val="18"/>
                <w:szCs w:val="18"/>
              </w:rPr>
              <w:t>we</w:t>
            </w:r>
            <w:r w:rsidRPr="00A02C95">
              <w:rPr>
                <w:rFonts w:ascii="Calibri" w:eastAsia="Calibri" w:hAnsi="Calibri" w:cs="Calibri"/>
                <w:sz w:val="18"/>
                <w:szCs w:val="18"/>
              </w:rPr>
              <w:t>re theoretically developed and directly address</w:t>
            </w:r>
            <w:r>
              <w:rPr>
                <w:rFonts w:ascii="Calibri" w:eastAsia="Calibri" w:hAnsi="Calibri" w:cs="Calibri"/>
                <w:sz w:val="18"/>
                <w:szCs w:val="18"/>
              </w:rPr>
              <w:t>ed</w:t>
            </w:r>
            <w:r w:rsidRPr="00A02C95">
              <w:rPr>
                <w:rFonts w:ascii="Calibri" w:eastAsia="Calibri" w:hAnsi="Calibri" w:cs="Calibri"/>
                <w:sz w:val="18"/>
                <w:szCs w:val="18"/>
              </w:rPr>
              <w:t xml:space="preserve"> the interaction between individual coping and structural conditions</w:t>
            </w:r>
            <w:r>
              <w:rPr>
                <w:rFonts w:ascii="Calibri" w:eastAsia="Calibri" w:hAnsi="Calibri" w:cs="Calibri"/>
                <w:sz w:val="18"/>
                <w:szCs w:val="18"/>
              </w:rPr>
              <w:t xml:space="preserve"> for survival</w:t>
            </w:r>
            <w:r w:rsidRPr="00A02C95">
              <w:rPr>
                <w:rFonts w:ascii="Calibri" w:eastAsia="Calibri" w:hAnsi="Calibri" w:cs="Calibri"/>
                <w:sz w:val="18"/>
                <w:szCs w:val="18"/>
              </w:rPr>
              <w:t>. Jeffers and Samakya extend</w:t>
            </w:r>
            <w:r>
              <w:rPr>
                <w:rFonts w:ascii="Calibri" w:eastAsia="Calibri" w:hAnsi="Calibri" w:cs="Calibri"/>
                <w:sz w:val="18"/>
                <w:szCs w:val="18"/>
              </w:rPr>
              <w:t>ed</w:t>
            </w:r>
            <w:r w:rsidRPr="00A02C95">
              <w:rPr>
                <w:rFonts w:ascii="Calibri" w:eastAsia="Calibri" w:hAnsi="Calibri" w:cs="Calibri"/>
                <w:sz w:val="18"/>
                <w:szCs w:val="18"/>
              </w:rPr>
              <w:t xml:space="preserve"> the argument with additional coping dimensions </w:t>
            </w:r>
            <w:r>
              <w:rPr>
                <w:rFonts w:ascii="Calibri" w:eastAsia="Calibri" w:hAnsi="Calibri" w:cs="Calibri"/>
                <w:sz w:val="18"/>
                <w:szCs w:val="18"/>
              </w:rPr>
              <w:t xml:space="preserve">which were </w:t>
            </w:r>
            <w:r w:rsidRPr="00A02C95">
              <w:rPr>
                <w:rFonts w:ascii="Calibri" w:eastAsia="Calibri" w:hAnsi="Calibri" w:cs="Calibri"/>
                <w:sz w:val="18"/>
                <w:szCs w:val="18"/>
              </w:rPr>
              <w:t>not present in the high-contribution studies.</w:t>
            </w:r>
          </w:p>
        </w:tc>
        <w:tc>
          <w:tcPr>
            <w:tcW w:w="1900" w:type="dxa"/>
            <w:tcMar>
              <w:top w:w="80" w:type="dxa"/>
              <w:left w:w="100" w:type="dxa"/>
              <w:bottom w:w="80" w:type="dxa"/>
              <w:right w:w="100" w:type="dxa"/>
            </w:tcMar>
          </w:tcPr>
          <w:p w14:paraId="6673D3C6" w14:textId="77777777" w:rsidR="00FA6D6C" w:rsidRPr="00A02C95" w:rsidRDefault="00FA6D6C" w:rsidP="005645FE">
            <w:pPr>
              <w:spacing w:after="60"/>
            </w:pPr>
            <w:r w:rsidRPr="00A02C95">
              <w:rPr>
                <w:rFonts w:ascii="Calibri" w:eastAsia="Calibri" w:hAnsi="Calibri" w:cs="Calibri"/>
                <w:sz w:val="18"/>
                <w:szCs w:val="18"/>
              </w:rPr>
              <w:t>Minor concerns.</w:t>
            </w:r>
          </w:p>
          <w:p w14:paraId="04903A56" w14:textId="77777777" w:rsidR="00FA6D6C" w:rsidRPr="00A02C95" w:rsidRDefault="00FA6D6C" w:rsidP="005645FE">
            <w:pPr>
              <w:spacing w:after="60"/>
            </w:pPr>
          </w:p>
          <w:p w14:paraId="2C1A9BD5" w14:textId="77777777" w:rsidR="00FA6D6C" w:rsidRPr="00A02C95" w:rsidRDefault="00FA6D6C" w:rsidP="005645FE">
            <w:r w:rsidRPr="00A02C95">
              <w:rPr>
                <w:rFonts w:ascii="Calibri" w:eastAsia="Calibri" w:hAnsi="Calibri" w:cs="Calibri"/>
                <w:sz w:val="18"/>
                <w:szCs w:val="18"/>
              </w:rPr>
              <w:t>All contributing studies involved pregnant women in flood-affected settings, directly relevant to the review question. Saulnier 2020 and Hilfinger</w:t>
            </w:r>
            <w:r>
              <w:rPr>
                <w:rFonts w:ascii="Calibri" w:eastAsia="Calibri" w:hAnsi="Calibri" w:cs="Calibri"/>
                <w:sz w:val="18"/>
                <w:szCs w:val="18"/>
              </w:rPr>
              <w:t>-</w:t>
            </w:r>
            <w:r w:rsidRPr="00A02C95">
              <w:rPr>
                <w:rFonts w:ascii="Calibri" w:eastAsia="Calibri" w:hAnsi="Calibri" w:cs="Calibri"/>
                <w:sz w:val="18"/>
                <w:szCs w:val="18"/>
              </w:rPr>
              <w:t xml:space="preserve">Messias 2007 included broader community participants alongside pregnant women. For this line of argument, the multi-perspective data from Saulnier </w:t>
            </w:r>
            <w:r>
              <w:rPr>
                <w:rFonts w:ascii="Calibri" w:eastAsia="Calibri" w:hAnsi="Calibri" w:cs="Calibri"/>
                <w:sz w:val="18"/>
                <w:szCs w:val="18"/>
              </w:rPr>
              <w:t>wa</w:t>
            </w:r>
            <w:r w:rsidRPr="00A02C95">
              <w:rPr>
                <w:rFonts w:ascii="Calibri" w:eastAsia="Calibri" w:hAnsi="Calibri" w:cs="Calibri"/>
                <w:sz w:val="18"/>
                <w:szCs w:val="18"/>
              </w:rPr>
              <w:t>s particularly informative, mitigating the broader population concern. The experiences of pregnant women remain</w:t>
            </w:r>
            <w:r>
              <w:rPr>
                <w:rFonts w:ascii="Calibri" w:eastAsia="Calibri" w:hAnsi="Calibri" w:cs="Calibri"/>
                <w:sz w:val="18"/>
                <w:szCs w:val="18"/>
              </w:rPr>
              <w:t>ed</w:t>
            </w:r>
            <w:r w:rsidRPr="00A02C95">
              <w:rPr>
                <w:rFonts w:ascii="Calibri" w:eastAsia="Calibri" w:hAnsi="Calibri" w:cs="Calibri"/>
                <w:sz w:val="18"/>
                <w:szCs w:val="18"/>
              </w:rPr>
              <w:t xml:space="preserve"> identifiable throughout.</w:t>
            </w:r>
          </w:p>
        </w:tc>
      </w:tr>
      <w:tr w:rsidR="00FA6D6C" w:rsidRPr="00A02C95" w14:paraId="7EE46451" w14:textId="77777777" w:rsidTr="005645FE">
        <w:trPr>
          <w:trHeight w:val="300"/>
          <w:jc w:val="center"/>
        </w:trPr>
        <w:tc>
          <w:tcPr>
            <w:tcW w:w="11100" w:type="dxa"/>
            <w:gridSpan w:val="6"/>
            <w:shd w:val="clear" w:color="auto" w:fill="F2F2F2"/>
            <w:tcMar>
              <w:top w:w="80" w:type="dxa"/>
              <w:left w:w="100" w:type="dxa"/>
              <w:bottom w:w="80" w:type="dxa"/>
              <w:right w:w="100" w:type="dxa"/>
            </w:tcMar>
          </w:tcPr>
          <w:p w14:paraId="074BB827" w14:textId="77777777" w:rsidR="00FA6D6C" w:rsidRPr="00A02C95" w:rsidRDefault="00FA6D6C" w:rsidP="005645FE">
            <w:r w:rsidRPr="00A02C95">
              <w:rPr>
                <w:rFonts w:ascii="Calibri" w:eastAsia="Calibri" w:hAnsi="Calibri" w:cs="Calibri"/>
                <w:b/>
                <w:bCs/>
                <w:sz w:val="18"/>
                <w:szCs w:val="18"/>
              </w:rPr>
              <w:t>Final Assessment: High Confidence</w:t>
            </w:r>
          </w:p>
        </w:tc>
      </w:tr>
    </w:tbl>
    <w:p w14:paraId="5BB141B3" w14:textId="358B9806" w:rsidR="00463893" w:rsidRPr="00FC767A" w:rsidRDefault="001B0787" w:rsidP="00421F30">
      <w:pPr>
        <w:spacing w:line="480" w:lineRule="auto"/>
        <w:rPr>
          <w:rFonts w:ascii="Calibri" w:hAnsi="Calibri" w:cs="Calibri"/>
          <w:sz w:val="24"/>
          <w:szCs w:val="24"/>
        </w:rPr>
      </w:pPr>
      <w:r w:rsidRPr="00516E8E">
        <w:rPr>
          <w:rFonts w:ascii="Calibri" w:eastAsia="Arial Unicode MS" w:hAnsi="Calibri" w:cs="Calibri"/>
          <w:sz w:val="24"/>
          <w:szCs w:val="24"/>
        </w:rPr>
        <w:br/>
      </w:r>
    </w:p>
    <w:p w14:paraId="7D339B87" w14:textId="74F57689" w:rsidR="00071A56" w:rsidRPr="00516E8E" w:rsidRDefault="00071A56" w:rsidP="00144629">
      <w:pPr>
        <w:spacing w:line="480" w:lineRule="auto"/>
        <w:rPr>
          <w:rFonts w:ascii="Calibri" w:hAnsi="Calibri" w:cs="Calibri"/>
          <w:sz w:val="24"/>
          <w:szCs w:val="24"/>
        </w:rPr>
      </w:pPr>
      <w:r w:rsidRPr="00516E8E">
        <w:rPr>
          <w:rFonts w:ascii="Calibri" w:hAnsi="Calibri" w:cs="Calibri"/>
          <w:sz w:val="24"/>
          <w:szCs w:val="24"/>
        </w:rPr>
        <w:tab/>
      </w:r>
    </w:p>
    <w:p w14:paraId="23900537" w14:textId="77777777" w:rsidR="009D7519" w:rsidRDefault="009D7519" w:rsidP="00144629">
      <w:pPr>
        <w:spacing w:line="480" w:lineRule="auto"/>
        <w:rPr>
          <w:rFonts w:ascii="Calibri" w:hAnsi="Calibri" w:cs="Calibri"/>
          <w:b/>
          <w:bCs/>
          <w:sz w:val="24"/>
          <w:szCs w:val="24"/>
        </w:rPr>
      </w:pPr>
    </w:p>
    <w:p w14:paraId="63959E1E" w14:textId="768DFCB0" w:rsidR="006F34F0" w:rsidRPr="00516E8E" w:rsidRDefault="006F34F0" w:rsidP="00144629">
      <w:pPr>
        <w:spacing w:line="480" w:lineRule="auto"/>
        <w:rPr>
          <w:rFonts w:ascii="Calibri" w:hAnsi="Calibri" w:cs="Calibri"/>
          <w:b/>
          <w:bCs/>
          <w:sz w:val="24"/>
          <w:szCs w:val="24"/>
        </w:rPr>
      </w:pPr>
    </w:p>
    <w:sectPr w:rsidR="006F34F0" w:rsidRPr="00516E8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E9E0" w14:textId="77777777" w:rsidR="00896626" w:rsidRDefault="00896626" w:rsidP="00896626">
      <w:pPr>
        <w:spacing w:after="0" w:line="240" w:lineRule="auto"/>
      </w:pPr>
      <w:r>
        <w:separator/>
      </w:r>
    </w:p>
  </w:endnote>
  <w:endnote w:type="continuationSeparator" w:id="0">
    <w:p w14:paraId="34F5328E" w14:textId="77777777" w:rsidR="00896626" w:rsidRDefault="00896626" w:rsidP="0089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492409"/>
      <w:docPartObj>
        <w:docPartGallery w:val="Page Numbers (Bottom of Page)"/>
        <w:docPartUnique/>
      </w:docPartObj>
    </w:sdtPr>
    <w:sdtEndPr>
      <w:rPr>
        <w:noProof/>
      </w:rPr>
    </w:sdtEndPr>
    <w:sdtContent>
      <w:p w14:paraId="78221C0F" w14:textId="150E1EFE" w:rsidR="00896626" w:rsidRDefault="008966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5987B8" w14:textId="77777777" w:rsidR="00896626" w:rsidRDefault="00896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AA54" w14:textId="77777777" w:rsidR="00896626" w:rsidRDefault="00896626" w:rsidP="00896626">
      <w:pPr>
        <w:spacing w:after="0" w:line="240" w:lineRule="auto"/>
      </w:pPr>
      <w:r>
        <w:separator/>
      </w:r>
    </w:p>
  </w:footnote>
  <w:footnote w:type="continuationSeparator" w:id="0">
    <w:p w14:paraId="3C71384D" w14:textId="77777777" w:rsidR="00896626" w:rsidRDefault="00896626" w:rsidP="00896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B6"/>
    <w:rsid w:val="00000514"/>
    <w:rsid w:val="000307D4"/>
    <w:rsid w:val="00030ABD"/>
    <w:rsid w:val="0004634A"/>
    <w:rsid w:val="00071A56"/>
    <w:rsid w:val="00090B64"/>
    <w:rsid w:val="00091D37"/>
    <w:rsid w:val="000A59B0"/>
    <w:rsid w:val="000C25E7"/>
    <w:rsid w:val="000C358D"/>
    <w:rsid w:val="000E2358"/>
    <w:rsid w:val="00122DB4"/>
    <w:rsid w:val="00136C0B"/>
    <w:rsid w:val="001409EB"/>
    <w:rsid w:val="00144629"/>
    <w:rsid w:val="00160ECA"/>
    <w:rsid w:val="00163EC8"/>
    <w:rsid w:val="0018165C"/>
    <w:rsid w:val="001B0787"/>
    <w:rsid w:val="001F4C68"/>
    <w:rsid w:val="00210869"/>
    <w:rsid w:val="00216918"/>
    <w:rsid w:val="00226948"/>
    <w:rsid w:val="00270CB9"/>
    <w:rsid w:val="00277D94"/>
    <w:rsid w:val="002C6E3E"/>
    <w:rsid w:val="00355ABA"/>
    <w:rsid w:val="00355DB0"/>
    <w:rsid w:val="003C0706"/>
    <w:rsid w:val="003D5151"/>
    <w:rsid w:val="003E046F"/>
    <w:rsid w:val="00400B32"/>
    <w:rsid w:val="00403309"/>
    <w:rsid w:val="00405E88"/>
    <w:rsid w:val="00412E35"/>
    <w:rsid w:val="0041337B"/>
    <w:rsid w:val="004153EC"/>
    <w:rsid w:val="00421F30"/>
    <w:rsid w:val="004552E6"/>
    <w:rsid w:val="0046339D"/>
    <w:rsid w:val="00463893"/>
    <w:rsid w:val="00473708"/>
    <w:rsid w:val="00487B6E"/>
    <w:rsid w:val="00494DDB"/>
    <w:rsid w:val="004A1AFE"/>
    <w:rsid w:val="004B1B3B"/>
    <w:rsid w:val="004C4476"/>
    <w:rsid w:val="004D7596"/>
    <w:rsid w:val="00505857"/>
    <w:rsid w:val="005069C7"/>
    <w:rsid w:val="00516E8E"/>
    <w:rsid w:val="00521735"/>
    <w:rsid w:val="0058085B"/>
    <w:rsid w:val="005A75C4"/>
    <w:rsid w:val="005C684C"/>
    <w:rsid w:val="005E2166"/>
    <w:rsid w:val="005E6E8F"/>
    <w:rsid w:val="006872D0"/>
    <w:rsid w:val="00696CCB"/>
    <w:rsid w:val="006A653E"/>
    <w:rsid w:val="006C4491"/>
    <w:rsid w:val="006C739C"/>
    <w:rsid w:val="006D1D1D"/>
    <w:rsid w:val="006D4908"/>
    <w:rsid w:val="006E35F0"/>
    <w:rsid w:val="006E57E4"/>
    <w:rsid w:val="006F34F0"/>
    <w:rsid w:val="00713783"/>
    <w:rsid w:val="00723F01"/>
    <w:rsid w:val="00735A8C"/>
    <w:rsid w:val="0077428F"/>
    <w:rsid w:val="007C017F"/>
    <w:rsid w:val="007C3998"/>
    <w:rsid w:val="007F0405"/>
    <w:rsid w:val="00810948"/>
    <w:rsid w:val="00824324"/>
    <w:rsid w:val="00826F5D"/>
    <w:rsid w:val="00835E19"/>
    <w:rsid w:val="00840AB7"/>
    <w:rsid w:val="0084687D"/>
    <w:rsid w:val="00873D46"/>
    <w:rsid w:val="00880FF5"/>
    <w:rsid w:val="008925EA"/>
    <w:rsid w:val="00896626"/>
    <w:rsid w:val="008A1076"/>
    <w:rsid w:val="008A359A"/>
    <w:rsid w:val="008B250A"/>
    <w:rsid w:val="0091383F"/>
    <w:rsid w:val="00916E35"/>
    <w:rsid w:val="0092064B"/>
    <w:rsid w:val="00924E8E"/>
    <w:rsid w:val="0092570E"/>
    <w:rsid w:val="009270BA"/>
    <w:rsid w:val="00933CCD"/>
    <w:rsid w:val="00942675"/>
    <w:rsid w:val="00962A73"/>
    <w:rsid w:val="0097308D"/>
    <w:rsid w:val="009B5923"/>
    <w:rsid w:val="009B5F1B"/>
    <w:rsid w:val="009C2AFC"/>
    <w:rsid w:val="009C534C"/>
    <w:rsid w:val="009D6C76"/>
    <w:rsid w:val="009D7519"/>
    <w:rsid w:val="009E745D"/>
    <w:rsid w:val="009F3007"/>
    <w:rsid w:val="009F570A"/>
    <w:rsid w:val="00A66E6F"/>
    <w:rsid w:val="00A95042"/>
    <w:rsid w:val="00AA1A4A"/>
    <w:rsid w:val="00AA2F34"/>
    <w:rsid w:val="00AC6925"/>
    <w:rsid w:val="00AD577E"/>
    <w:rsid w:val="00AF4034"/>
    <w:rsid w:val="00B16229"/>
    <w:rsid w:val="00B37388"/>
    <w:rsid w:val="00B43A87"/>
    <w:rsid w:val="00B47036"/>
    <w:rsid w:val="00B62139"/>
    <w:rsid w:val="00BA6F24"/>
    <w:rsid w:val="00BA728A"/>
    <w:rsid w:val="00BB51DA"/>
    <w:rsid w:val="00BD6383"/>
    <w:rsid w:val="00BF7958"/>
    <w:rsid w:val="00C37BD5"/>
    <w:rsid w:val="00CC6664"/>
    <w:rsid w:val="00CD3A4A"/>
    <w:rsid w:val="00D04E4C"/>
    <w:rsid w:val="00D20D19"/>
    <w:rsid w:val="00D3403F"/>
    <w:rsid w:val="00D50991"/>
    <w:rsid w:val="00D673D2"/>
    <w:rsid w:val="00D71FB5"/>
    <w:rsid w:val="00DA1524"/>
    <w:rsid w:val="00DD6405"/>
    <w:rsid w:val="00DF0167"/>
    <w:rsid w:val="00E57BC4"/>
    <w:rsid w:val="00E804A9"/>
    <w:rsid w:val="00E83845"/>
    <w:rsid w:val="00EA36C7"/>
    <w:rsid w:val="00EC5DAE"/>
    <w:rsid w:val="00EE7AB6"/>
    <w:rsid w:val="00F032D0"/>
    <w:rsid w:val="00F05530"/>
    <w:rsid w:val="00F27CF6"/>
    <w:rsid w:val="00F44A98"/>
    <w:rsid w:val="00F62173"/>
    <w:rsid w:val="00F6272D"/>
    <w:rsid w:val="00FA3B5C"/>
    <w:rsid w:val="00FA604C"/>
    <w:rsid w:val="00FA6D6C"/>
    <w:rsid w:val="00FC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2A80"/>
  <w15:chartTrackingRefBased/>
  <w15:docId w15:val="{16AC5717-9701-489C-8E33-18773C0C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A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A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A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A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A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A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A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A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AB6"/>
    <w:rPr>
      <w:rFonts w:eastAsiaTheme="majorEastAsia" w:cstheme="majorBidi"/>
      <w:color w:val="272727" w:themeColor="text1" w:themeTint="D8"/>
    </w:rPr>
  </w:style>
  <w:style w:type="paragraph" w:styleId="Title">
    <w:name w:val="Title"/>
    <w:basedOn w:val="Normal"/>
    <w:next w:val="Normal"/>
    <w:link w:val="TitleChar"/>
    <w:uiPriority w:val="10"/>
    <w:qFormat/>
    <w:rsid w:val="00EE7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AB6"/>
    <w:pPr>
      <w:spacing w:before="160"/>
      <w:jc w:val="center"/>
    </w:pPr>
    <w:rPr>
      <w:i/>
      <w:iCs/>
      <w:color w:val="404040" w:themeColor="text1" w:themeTint="BF"/>
    </w:rPr>
  </w:style>
  <w:style w:type="character" w:customStyle="1" w:styleId="QuoteChar">
    <w:name w:val="Quote Char"/>
    <w:basedOn w:val="DefaultParagraphFont"/>
    <w:link w:val="Quote"/>
    <w:uiPriority w:val="29"/>
    <w:rsid w:val="00EE7AB6"/>
    <w:rPr>
      <w:i/>
      <w:iCs/>
      <w:color w:val="404040" w:themeColor="text1" w:themeTint="BF"/>
    </w:rPr>
  </w:style>
  <w:style w:type="paragraph" w:styleId="ListParagraph">
    <w:name w:val="List Paragraph"/>
    <w:basedOn w:val="Normal"/>
    <w:uiPriority w:val="34"/>
    <w:qFormat/>
    <w:rsid w:val="00EE7AB6"/>
    <w:pPr>
      <w:ind w:left="720"/>
      <w:contextualSpacing/>
    </w:pPr>
  </w:style>
  <w:style w:type="character" w:styleId="IntenseEmphasis">
    <w:name w:val="Intense Emphasis"/>
    <w:basedOn w:val="DefaultParagraphFont"/>
    <w:uiPriority w:val="21"/>
    <w:qFormat/>
    <w:rsid w:val="00EE7AB6"/>
    <w:rPr>
      <w:i/>
      <w:iCs/>
      <w:color w:val="0F4761" w:themeColor="accent1" w:themeShade="BF"/>
    </w:rPr>
  </w:style>
  <w:style w:type="paragraph" w:styleId="IntenseQuote">
    <w:name w:val="Intense Quote"/>
    <w:basedOn w:val="Normal"/>
    <w:next w:val="Normal"/>
    <w:link w:val="IntenseQuoteChar"/>
    <w:uiPriority w:val="30"/>
    <w:qFormat/>
    <w:rsid w:val="00EE7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AB6"/>
    <w:rPr>
      <w:i/>
      <w:iCs/>
      <w:color w:val="0F4761" w:themeColor="accent1" w:themeShade="BF"/>
    </w:rPr>
  </w:style>
  <w:style w:type="character" w:styleId="IntenseReference">
    <w:name w:val="Intense Reference"/>
    <w:basedOn w:val="DefaultParagraphFont"/>
    <w:uiPriority w:val="32"/>
    <w:qFormat/>
    <w:rsid w:val="00EE7AB6"/>
    <w:rPr>
      <w:b/>
      <w:bCs/>
      <w:smallCaps/>
      <w:color w:val="0F4761" w:themeColor="accent1" w:themeShade="BF"/>
      <w:spacing w:val="5"/>
    </w:rPr>
  </w:style>
  <w:style w:type="character" w:styleId="Hyperlink">
    <w:name w:val="Hyperlink"/>
    <w:basedOn w:val="DefaultParagraphFont"/>
    <w:uiPriority w:val="99"/>
    <w:unhideWhenUsed/>
    <w:rsid w:val="00CC6664"/>
    <w:rPr>
      <w:color w:val="0000FF"/>
      <w:u w:val="single"/>
    </w:rPr>
  </w:style>
  <w:style w:type="character" w:customStyle="1" w:styleId="iconsbasesprite">
    <w:name w:val="icons_base_sprite"/>
    <w:basedOn w:val="DefaultParagraphFont"/>
    <w:rsid w:val="00CC6664"/>
  </w:style>
  <w:style w:type="character" w:styleId="UnresolvedMention">
    <w:name w:val="Unresolved Mention"/>
    <w:basedOn w:val="DefaultParagraphFont"/>
    <w:uiPriority w:val="99"/>
    <w:semiHidden/>
    <w:unhideWhenUsed/>
    <w:rsid w:val="009F570A"/>
    <w:rPr>
      <w:color w:val="605E5C"/>
      <w:shd w:val="clear" w:color="auto" w:fill="E1DFDD"/>
    </w:rPr>
  </w:style>
  <w:style w:type="paragraph" w:styleId="NormalWeb">
    <w:name w:val="Normal (Web)"/>
    <w:basedOn w:val="Normal"/>
    <w:uiPriority w:val="99"/>
    <w:unhideWhenUsed/>
    <w:rsid w:val="006E57E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21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626"/>
  </w:style>
  <w:style w:type="paragraph" w:styleId="Footer">
    <w:name w:val="footer"/>
    <w:basedOn w:val="Normal"/>
    <w:link w:val="FooterChar"/>
    <w:uiPriority w:val="99"/>
    <w:unhideWhenUsed/>
    <w:rsid w:val="00896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1728</Words>
  <Characters>9855</Characters>
  <Application>Microsoft Office Word</Application>
  <DocSecurity>0</DocSecurity>
  <Lines>82</Lines>
  <Paragraphs>23</Paragraphs>
  <ScaleCrop>false</ScaleCrop>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Mason-Jones</dc:creator>
  <cp:keywords/>
  <dc:description/>
  <cp:lastModifiedBy>Amanda Mason-Jones</cp:lastModifiedBy>
  <cp:revision>13</cp:revision>
  <dcterms:created xsi:type="dcterms:W3CDTF">2026-04-27T11:11:00Z</dcterms:created>
  <dcterms:modified xsi:type="dcterms:W3CDTF">2026-04-27T11:19:00Z</dcterms:modified>
</cp:coreProperties>
</file>