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0A345" w14:textId="77777777" w:rsidR="00C35CCA" w:rsidRPr="00C35CCA" w:rsidRDefault="00C35CCA" w:rsidP="00C35CCA">
      <w:pPr>
        <w:rPr>
          <w:b/>
          <w:bCs/>
          <w:lang w:val="en-US"/>
        </w:rPr>
      </w:pPr>
      <w:r w:rsidRPr="00C35CCA">
        <w:rPr>
          <w:b/>
          <w:bCs/>
          <w:lang w:val="en-US"/>
        </w:rPr>
        <w:t>SUPPLEMENTAL FIGURES</w:t>
      </w:r>
    </w:p>
    <w:p w14:paraId="21545626" w14:textId="4EA9C24F" w:rsidR="00C35CCA" w:rsidRPr="00C35CCA" w:rsidRDefault="00C35CCA" w:rsidP="00C35CCA">
      <w:pPr>
        <w:rPr>
          <w:b/>
          <w:bCs/>
          <w:lang w:val="en-US"/>
        </w:rPr>
      </w:pPr>
      <w:r w:rsidRPr="00C35CCA">
        <w:rPr>
          <w:b/>
          <w:lang w:val="en-US"/>
        </w:rPr>
        <w:drawing>
          <wp:inline distT="0" distB="0" distL="0" distR="0" wp14:anchorId="176A0BB4" wp14:editId="26D82FAD">
            <wp:extent cx="5731510" cy="3662045"/>
            <wp:effectExtent l="0" t="0" r="2540" b="0"/>
            <wp:docPr id="1364386740" name="Picture 8" descr="Ein Bild, das Text, Diagramm, Reihe, Schrift enthält.  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Ein Bild, das Text, Diagramm, Reihe, Schrift enthält.  KI-generierte Inhalte können fehlerhaft sei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662045"/>
                    </a:xfrm>
                    <a:prstGeom prst="rect">
                      <a:avLst/>
                    </a:prstGeom>
                    <a:noFill/>
                    <a:ln>
                      <a:noFill/>
                    </a:ln>
                  </pic:spPr>
                </pic:pic>
              </a:graphicData>
            </a:graphic>
          </wp:inline>
        </w:drawing>
      </w:r>
    </w:p>
    <w:p w14:paraId="3B79BF9B" w14:textId="77777777" w:rsidR="00C35CCA" w:rsidRPr="00C35CCA" w:rsidRDefault="00C35CCA" w:rsidP="00C35CCA">
      <w:pPr>
        <w:rPr>
          <w:lang w:val="en-US"/>
        </w:rPr>
      </w:pPr>
      <w:r w:rsidRPr="00C35CCA">
        <w:rPr>
          <w:b/>
          <w:bCs/>
          <w:lang w:val="en-US"/>
        </w:rPr>
        <w:t xml:space="preserve">Supplemental Figure 1: </w:t>
      </w:r>
      <w:r w:rsidRPr="00C35CCA">
        <w:rPr>
          <w:lang w:val="en-US"/>
        </w:rPr>
        <w:t xml:space="preserve">Comparison of the effect of the single doses and the combined doses. Combined analysis of proteomics data is blotted against the 0.4 or 2.0 results alone to show that treatment groups are similar and can be combined to increase group size and statistical power. </w:t>
      </w:r>
    </w:p>
    <w:p w14:paraId="48B861F1" w14:textId="77777777" w:rsidR="00C35CCA" w:rsidRPr="00C35CCA" w:rsidRDefault="00C35CCA" w:rsidP="00C35CCA">
      <w:pPr>
        <w:rPr>
          <w:b/>
          <w:bCs/>
          <w:lang w:val="en-US"/>
        </w:rPr>
      </w:pPr>
    </w:p>
    <w:p w14:paraId="64924313" w14:textId="429AD736" w:rsidR="00C35CCA" w:rsidRPr="00C35CCA" w:rsidRDefault="00C35CCA" w:rsidP="00C35CCA">
      <w:pPr>
        <w:rPr>
          <w:b/>
          <w:bCs/>
          <w:lang w:val="en-US"/>
        </w:rPr>
      </w:pPr>
      <w:r w:rsidRPr="00C35CCA">
        <w:rPr>
          <w:b/>
          <w:lang w:val="en-US"/>
        </w:rPr>
        <w:drawing>
          <wp:inline distT="0" distB="0" distL="0" distR="0" wp14:anchorId="5A4FA499" wp14:editId="3A1CF25F">
            <wp:extent cx="5731510" cy="3204845"/>
            <wp:effectExtent l="0" t="0" r="0" b="0"/>
            <wp:docPr id="840362188" name="Picture 7" descr="Ein Bild, das Screenshot, Design enthält.  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Ein Bild, das Screenshot, Design enthält.  KI-generierte Inhalte können fehlerhaft se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3204845"/>
                    </a:xfrm>
                    <a:prstGeom prst="rect">
                      <a:avLst/>
                    </a:prstGeom>
                    <a:noFill/>
                    <a:ln>
                      <a:noFill/>
                    </a:ln>
                  </pic:spPr>
                </pic:pic>
              </a:graphicData>
            </a:graphic>
          </wp:inline>
        </w:drawing>
      </w:r>
    </w:p>
    <w:p w14:paraId="5A2418A7" w14:textId="77777777" w:rsidR="00C35CCA" w:rsidRPr="00C35CCA" w:rsidRDefault="00C35CCA" w:rsidP="00C35CCA">
      <w:pPr>
        <w:rPr>
          <w:lang w:val="en-US"/>
        </w:rPr>
      </w:pPr>
      <w:r w:rsidRPr="00C35CCA">
        <w:rPr>
          <w:b/>
          <w:bCs/>
          <w:lang w:val="en-US"/>
        </w:rPr>
        <w:lastRenderedPageBreak/>
        <w:t xml:space="preserve">Supplemental Figure 2: </w:t>
      </w:r>
      <w:r w:rsidRPr="00C35CCA">
        <w:rPr>
          <w:lang w:val="en-US"/>
        </w:rPr>
        <w:t xml:space="preserve">Analysis of Acsl1 and Bscl2 </w:t>
      </w:r>
      <w:proofErr w:type="gramStart"/>
      <w:r w:rsidRPr="00C35CCA">
        <w:rPr>
          <w:lang w:val="en-US"/>
        </w:rPr>
        <w:t>expression</w:t>
      </w:r>
      <w:proofErr w:type="gramEnd"/>
      <w:r w:rsidRPr="00C35CCA">
        <w:rPr>
          <w:lang w:val="en-US"/>
        </w:rPr>
        <w:t xml:space="preserve"> in brain. (a) Acsl1 and (b) Bscl2 expression was analyzed by RT-qPCR in dorsal and ventral hippocampi and cortex of young, untreated mice and aged (24 months) mice either treated with AD04TM or untreated (n=9-10/group; ****=p&lt;0.0001).</w:t>
      </w:r>
    </w:p>
    <w:p w14:paraId="35D295F6" w14:textId="77777777" w:rsidR="00C35CCA" w:rsidRPr="00C35CCA" w:rsidRDefault="00C35CCA" w:rsidP="00C35CCA">
      <w:pPr>
        <w:rPr>
          <w:b/>
          <w:bCs/>
          <w:lang w:val="en-US"/>
        </w:rPr>
      </w:pPr>
    </w:p>
    <w:p w14:paraId="6ACFC94B" w14:textId="25E07198" w:rsidR="00C35CCA" w:rsidRPr="00C35CCA" w:rsidRDefault="00C35CCA" w:rsidP="00C35CCA">
      <w:pPr>
        <w:rPr>
          <w:b/>
          <w:bCs/>
          <w:lang w:val="en-US"/>
        </w:rPr>
      </w:pPr>
      <w:r w:rsidRPr="00C35CCA">
        <w:rPr>
          <w:b/>
          <w:lang w:val="en-US"/>
        </w:rPr>
        <w:drawing>
          <wp:inline distT="0" distB="0" distL="0" distR="0" wp14:anchorId="3C6A61DE" wp14:editId="0D420DED">
            <wp:extent cx="5731510" cy="5070475"/>
            <wp:effectExtent l="0" t="0" r="0" b="0"/>
            <wp:docPr id="1235769210" name="Picture 6" descr="Ein Bild, das Screenshot, Text, Design enthält.  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descr="Ein Bild, das Screenshot, Text, Design enthält.  KI-generierte Inhalte können fehlerhaft se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5070475"/>
                    </a:xfrm>
                    <a:prstGeom prst="rect">
                      <a:avLst/>
                    </a:prstGeom>
                    <a:noFill/>
                    <a:ln>
                      <a:noFill/>
                    </a:ln>
                  </pic:spPr>
                </pic:pic>
              </a:graphicData>
            </a:graphic>
          </wp:inline>
        </w:drawing>
      </w:r>
    </w:p>
    <w:p w14:paraId="406A34A9" w14:textId="77777777" w:rsidR="00C35CCA" w:rsidRPr="00C35CCA" w:rsidRDefault="00C35CCA" w:rsidP="00C35CCA">
      <w:pPr>
        <w:rPr>
          <w:lang w:val="en-US"/>
        </w:rPr>
      </w:pPr>
      <w:r w:rsidRPr="00C35CCA">
        <w:rPr>
          <w:b/>
          <w:bCs/>
          <w:lang w:val="en-US"/>
        </w:rPr>
        <w:t xml:space="preserve">Supplemental Figure 3: </w:t>
      </w:r>
      <w:r w:rsidRPr="00C35CCA">
        <w:rPr>
          <w:lang w:val="en-US"/>
        </w:rPr>
        <w:t>Expression of Clec7a and Trem2 in mouse brains. Expression of (a) Clec7a and (b) Trem2 was analyzed by RT-qPCR in dorsal and ventral hippocampi and cortex of young, untreated mice and aged (24 months) mice either treated with AD04TM or untreated (n=9-10/</w:t>
      </w:r>
      <w:proofErr w:type="gramStart"/>
      <w:r w:rsidRPr="00C35CCA">
        <w:rPr>
          <w:lang w:val="en-US"/>
        </w:rPr>
        <w:t>group; *</w:t>
      </w:r>
      <w:proofErr w:type="gramEnd"/>
      <w:r w:rsidRPr="00C35CCA">
        <w:rPr>
          <w:lang w:val="en-US"/>
        </w:rPr>
        <w:t>***=p&lt;0.0001).</w:t>
      </w:r>
    </w:p>
    <w:p w14:paraId="45731F52" w14:textId="77777777" w:rsidR="00C35CCA" w:rsidRPr="00C35CCA" w:rsidRDefault="00C35CCA" w:rsidP="00C35CCA">
      <w:pPr>
        <w:rPr>
          <w:bCs/>
          <w:lang w:val="en-US"/>
        </w:rPr>
      </w:pPr>
    </w:p>
    <w:p w14:paraId="6C856427" w14:textId="77777777" w:rsidR="00C35CCA" w:rsidRPr="00C35CCA" w:rsidRDefault="00C35CCA" w:rsidP="00C35CCA">
      <w:pPr>
        <w:rPr>
          <w:bCs/>
          <w:lang w:val="en-US"/>
        </w:rPr>
      </w:pPr>
    </w:p>
    <w:p w14:paraId="5460246D" w14:textId="111BA278" w:rsidR="00C35CCA" w:rsidRPr="00C35CCA" w:rsidRDefault="00C35CCA" w:rsidP="00C35CCA">
      <w:pPr>
        <w:rPr>
          <w:bCs/>
          <w:lang w:val="en-US"/>
        </w:rPr>
      </w:pPr>
      <w:r w:rsidRPr="00C35CCA">
        <w:rPr>
          <w:lang w:val="en-US"/>
        </w:rPr>
        <w:lastRenderedPageBreak/>
        <w:drawing>
          <wp:inline distT="0" distB="0" distL="0" distR="0" wp14:anchorId="583944C8" wp14:editId="46965A86">
            <wp:extent cx="5731510" cy="1437005"/>
            <wp:effectExtent l="0" t="0" r="2540" b="0"/>
            <wp:docPr id="1957710036" name="Picture 5" descr="Ein Bild, das Schwarz, Dunkelheit enthält.  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Schwarz, Dunkelheit enthält.  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437005"/>
                    </a:xfrm>
                    <a:prstGeom prst="rect">
                      <a:avLst/>
                    </a:prstGeom>
                    <a:noFill/>
                    <a:ln>
                      <a:noFill/>
                    </a:ln>
                  </pic:spPr>
                </pic:pic>
              </a:graphicData>
            </a:graphic>
          </wp:inline>
        </w:drawing>
      </w:r>
    </w:p>
    <w:p w14:paraId="076257F9" w14:textId="77777777" w:rsidR="00C35CCA" w:rsidRPr="00C35CCA" w:rsidRDefault="00C35CCA" w:rsidP="00C35CCA">
      <w:pPr>
        <w:rPr>
          <w:lang w:val="en-US"/>
        </w:rPr>
      </w:pPr>
      <w:r w:rsidRPr="00C35CCA">
        <w:rPr>
          <w:b/>
          <w:bCs/>
          <w:lang w:val="en-US"/>
        </w:rPr>
        <w:t xml:space="preserve">Supplemental Table 3: </w:t>
      </w:r>
      <w:r w:rsidRPr="00C35CCA">
        <w:rPr>
          <w:lang w:val="en-US"/>
        </w:rPr>
        <w:t>detailed schedule for the contextual and cue fear conditioning test regimen.</w:t>
      </w:r>
    </w:p>
    <w:p w14:paraId="62D58DEC" w14:textId="77777777" w:rsidR="00C35CCA" w:rsidRPr="00C35CCA" w:rsidRDefault="00C35CCA" w:rsidP="00C35CCA">
      <w:pPr>
        <w:rPr>
          <w:bCs/>
          <w:lang w:val="en-US"/>
        </w:rPr>
      </w:pPr>
    </w:p>
    <w:p w14:paraId="7DDA62E4" w14:textId="77777777" w:rsidR="00767E38" w:rsidRDefault="00767E38"/>
    <w:sectPr w:rsidR="00767E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CCA"/>
    <w:rsid w:val="00017163"/>
    <w:rsid w:val="00767E38"/>
    <w:rsid w:val="00866F7D"/>
    <w:rsid w:val="00C35CCA"/>
    <w:rsid w:val="00EE5C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D2620"/>
  <w15:chartTrackingRefBased/>
  <w15:docId w15:val="{44E6B566-03BF-4C68-86B8-D8D49C57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5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C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C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C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C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C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C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C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C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CCA"/>
    <w:rPr>
      <w:rFonts w:eastAsiaTheme="majorEastAsia" w:cstheme="majorBidi"/>
      <w:color w:val="272727" w:themeColor="text1" w:themeTint="D8"/>
    </w:rPr>
  </w:style>
  <w:style w:type="paragraph" w:styleId="Title">
    <w:name w:val="Title"/>
    <w:basedOn w:val="Normal"/>
    <w:next w:val="Normal"/>
    <w:link w:val="TitleChar"/>
    <w:uiPriority w:val="10"/>
    <w:qFormat/>
    <w:rsid w:val="00C35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CCA"/>
    <w:pPr>
      <w:spacing w:before="160"/>
      <w:jc w:val="center"/>
    </w:pPr>
    <w:rPr>
      <w:i/>
      <w:iCs/>
      <w:color w:val="404040" w:themeColor="text1" w:themeTint="BF"/>
    </w:rPr>
  </w:style>
  <w:style w:type="character" w:customStyle="1" w:styleId="QuoteChar">
    <w:name w:val="Quote Char"/>
    <w:basedOn w:val="DefaultParagraphFont"/>
    <w:link w:val="Quote"/>
    <w:uiPriority w:val="29"/>
    <w:rsid w:val="00C35CCA"/>
    <w:rPr>
      <w:i/>
      <w:iCs/>
      <w:color w:val="404040" w:themeColor="text1" w:themeTint="BF"/>
    </w:rPr>
  </w:style>
  <w:style w:type="paragraph" w:styleId="ListParagraph">
    <w:name w:val="List Paragraph"/>
    <w:basedOn w:val="Normal"/>
    <w:uiPriority w:val="34"/>
    <w:qFormat/>
    <w:rsid w:val="00C35CCA"/>
    <w:pPr>
      <w:ind w:left="720"/>
      <w:contextualSpacing/>
    </w:pPr>
  </w:style>
  <w:style w:type="character" w:styleId="IntenseEmphasis">
    <w:name w:val="Intense Emphasis"/>
    <w:basedOn w:val="DefaultParagraphFont"/>
    <w:uiPriority w:val="21"/>
    <w:qFormat/>
    <w:rsid w:val="00C35CCA"/>
    <w:rPr>
      <w:i/>
      <w:iCs/>
      <w:color w:val="0F4761" w:themeColor="accent1" w:themeShade="BF"/>
    </w:rPr>
  </w:style>
  <w:style w:type="paragraph" w:styleId="IntenseQuote">
    <w:name w:val="Intense Quote"/>
    <w:basedOn w:val="Normal"/>
    <w:next w:val="Normal"/>
    <w:link w:val="IntenseQuoteChar"/>
    <w:uiPriority w:val="30"/>
    <w:qFormat/>
    <w:rsid w:val="00C35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CCA"/>
    <w:rPr>
      <w:i/>
      <w:iCs/>
      <w:color w:val="0F4761" w:themeColor="accent1" w:themeShade="BF"/>
    </w:rPr>
  </w:style>
  <w:style w:type="character" w:styleId="IntenseReference">
    <w:name w:val="Intense Reference"/>
    <w:basedOn w:val="DefaultParagraphFont"/>
    <w:uiPriority w:val="32"/>
    <w:qFormat/>
    <w:rsid w:val="00C35C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Bhushan Tandale</dc:creator>
  <cp:keywords/>
  <dc:description/>
  <cp:lastModifiedBy>Bhushan Tandale</cp:lastModifiedBy>
  <cp:revision>1</cp:revision>
  <dcterms:created xsi:type="dcterms:W3CDTF">2026-05-25T15:13:00Z</dcterms:created>
  <dcterms:modified xsi:type="dcterms:W3CDTF">2026-05-25T15:13:00Z</dcterms:modified>
</cp:coreProperties>
</file>