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A4DD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hanging="402" w:hangingChars="200"/>
        <w:jc w:val="both"/>
        <w:textAlignment w:val="auto"/>
        <w:rPr>
          <w:rFonts w:hint="default" w:ascii="Times New Roman" w:hAnsi="Times New Roman" w:cs="Times New Roman" w:eastAsiaTheme="minorEastAsia"/>
          <w:b/>
          <w:bCs/>
          <w:color w:val="auto"/>
          <w:sz w:val="20"/>
          <w:szCs w:val="20"/>
          <w:highlight w:val="none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color w:val="auto"/>
          <w:sz w:val="20"/>
          <w:szCs w:val="20"/>
          <w:highlight w:val="none"/>
          <w:lang w:val="en-US" w:eastAsia="zh-CN"/>
        </w:rPr>
        <w:t xml:space="preserve">Appendix </w:t>
      </w:r>
    </w:p>
    <w:p w14:paraId="1C174B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hanging="402" w:hangingChars="200"/>
        <w:jc w:val="both"/>
        <w:textAlignment w:val="auto"/>
        <w:rPr>
          <w:rFonts w:hint="default" w:ascii="Times New Roman" w:hAnsi="Times New Roman" w:cs="Times New Roman" w:eastAsiaTheme="minorEastAsia"/>
          <w:b/>
          <w:bCs/>
          <w:color w:val="auto"/>
          <w:sz w:val="20"/>
          <w:szCs w:val="20"/>
          <w:highlight w:val="none"/>
          <w:lang w:val="en-US" w:eastAsia="zh-CN"/>
        </w:rPr>
      </w:pPr>
    </w:p>
    <w:p w14:paraId="30E916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hanging="400" w:hangingChars="200"/>
        <w:jc w:val="center"/>
        <w:textAlignment w:val="auto"/>
        <w:rPr>
          <w:rFonts w:hint="default" w:ascii="Times New Roman" w:hAnsi="Times New Roman" w:cs="Times New Roman" w:eastAsiaTheme="minorEastAsia"/>
          <w:b w:val="0"/>
          <w:bCs w:val="0"/>
          <w:color w:val="auto"/>
          <w:sz w:val="20"/>
          <w:szCs w:val="20"/>
          <w:highlight w:val="none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color w:val="auto"/>
          <w:sz w:val="20"/>
          <w:szCs w:val="20"/>
          <w:highlight w:val="none"/>
          <w:lang w:val="en-US" w:eastAsia="zh-CN"/>
        </w:rPr>
        <w:t>Table 1. Confirmatory Factor Analysis and Reliability and Validity Test Results of the Student Classroom Participation Measurement Scale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7"/>
        <w:gridCol w:w="2547"/>
        <w:gridCol w:w="2547"/>
        <w:gridCol w:w="2547"/>
      </w:tblGrid>
      <w:tr w14:paraId="0B678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56285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Item</w:t>
            </w:r>
          </w:p>
        </w:tc>
        <w:tc>
          <w:tcPr>
            <w:tcW w:w="2547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2F7F8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Behavioral</w:t>
            </w:r>
          </w:p>
        </w:tc>
        <w:tc>
          <w:tcPr>
            <w:tcW w:w="2547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21307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emotional</w:t>
            </w:r>
          </w:p>
        </w:tc>
        <w:tc>
          <w:tcPr>
            <w:tcW w:w="2547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101DB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cognitive</w:t>
            </w:r>
          </w:p>
        </w:tc>
      </w:tr>
      <w:tr w14:paraId="76A4D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D5E6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Items and standardized factor loadings</w:t>
            </w:r>
          </w:p>
        </w:tc>
        <w:tc>
          <w:tcPr>
            <w:tcW w:w="254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B118ABA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4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CA960AB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4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1E26FF0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</w:tr>
      <w:tr w14:paraId="074A6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BB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Q1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CD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0.70</w:t>
            </w: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***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4E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30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—</w:t>
            </w:r>
          </w:p>
        </w:tc>
      </w:tr>
      <w:tr w14:paraId="05479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70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Q2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CB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0.75</w:t>
            </w: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***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C3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1D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—</w:t>
            </w:r>
          </w:p>
        </w:tc>
      </w:tr>
      <w:tr w14:paraId="6E496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3C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Q3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F9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0.78</w:t>
            </w: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***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C9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12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—</w:t>
            </w:r>
          </w:p>
        </w:tc>
      </w:tr>
      <w:tr w14:paraId="7B691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7C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Q4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FF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0.73</w:t>
            </w: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***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2A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F2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—</w:t>
            </w:r>
          </w:p>
        </w:tc>
      </w:tr>
      <w:tr w14:paraId="20917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46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Q5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8B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0.68</w:t>
            </w: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***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ED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09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—</w:t>
            </w:r>
          </w:p>
        </w:tc>
      </w:tr>
      <w:tr w14:paraId="25665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0F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Q6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9C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EE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0.720***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99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—</w:t>
            </w:r>
          </w:p>
        </w:tc>
      </w:tr>
      <w:tr w14:paraId="5405E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07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Q7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23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1B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0.80</w:t>
            </w: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***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33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—</w:t>
            </w:r>
          </w:p>
        </w:tc>
      </w:tr>
      <w:tr w14:paraId="4FEB7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F8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Q8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B7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F7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0.77</w:t>
            </w: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***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6B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—</w:t>
            </w:r>
          </w:p>
        </w:tc>
      </w:tr>
      <w:tr w14:paraId="5056F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AA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Q9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2A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28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0.74</w:t>
            </w: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***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14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—</w:t>
            </w:r>
          </w:p>
        </w:tc>
      </w:tr>
      <w:tr w14:paraId="055D5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DB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Q10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0F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A8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0.71</w:t>
            </w: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***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E2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—</w:t>
            </w:r>
          </w:p>
        </w:tc>
      </w:tr>
      <w:tr w14:paraId="054C3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C7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Q11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8E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CC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7A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0.76</w:t>
            </w: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***</w:t>
            </w:r>
          </w:p>
        </w:tc>
      </w:tr>
      <w:tr w14:paraId="0278F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22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Q12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FB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9C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0E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0.79</w:t>
            </w: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***</w:t>
            </w:r>
          </w:p>
        </w:tc>
      </w:tr>
      <w:tr w14:paraId="71211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4E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Q13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71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D8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88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0.75</w:t>
            </w: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***</w:t>
            </w:r>
          </w:p>
        </w:tc>
      </w:tr>
      <w:tr w14:paraId="550AB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CA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Q14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D6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C0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30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0.72</w:t>
            </w: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***</w:t>
            </w:r>
          </w:p>
        </w:tc>
      </w:tr>
      <w:tr w14:paraId="25F5F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4E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Q15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F7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38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E3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0.690***</w:t>
            </w:r>
          </w:p>
        </w:tc>
      </w:tr>
      <w:tr w14:paraId="5045A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03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Reliability and Convergent Validity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C5DC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5053C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8AD5B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</w:tr>
      <w:tr w14:paraId="120B2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64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Cronbach’s α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8F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0.803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D6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0.817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95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0.805</w:t>
            </w:r>
          </w:p>
        </w:tc>
      </w:tr>
      <w:tr w14:paraId="6908A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7E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CR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19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0.849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27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0.864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4F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0.86</w:t>
            </w: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</w:t>
            </w:r>
          </w:p>
        </w:tc>
      </w:tr>
      <w:tr w14:paraId="40BD6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3F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AVE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65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0.531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68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0.561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6C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0.552</w:t>
            </w:r>
          </w:p>
        </w:tc>
      </w:tr>
      <w:tr w14:paraId="5513B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7768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bCs w:val="0"/>
                        <w:i/>
                        <w:color w:val="auto"/>
                        <w:sz w:val="20"/>
                        <w:szCs w:val="20"/>
                        <w:highlight w:val="none"/>
                        <w:vertAlign w:val="baseline"/>
                        <w:lang w:val="en-US"/>
                      </w:rPr>
                    </m:ctrlPr>
                  </m:radPr>
                  <m:deg>
                    <m:ctrlPr>
                      <w:rPr>
                        <w:rFonts w:ascii="Cambria Math" w:hAnsi="Cambria Math" w:cs="Times New Roman"/>
                        <w:bCs w:val="0"/>
                        <w:i/>
                        <w:color w:val="auto"/>
                        <w:sz w:val="20"/>
                        <w:szCs w:val="20"/>
                        <w:highlight w:val="none"/>
                        <w:vertAlign w:val="baseline"/>
                        <w:lang w:val="en-US"/>
                      </w:rPr>
                    </m:ctrlPr>
                  </m:deg>
                  <m:e>
                    <m:r>
                      <m:rPr/>
                      <w:rPr>
                        <w:rFonts w:hint="default" w:ascii="Cambria Math" w:hAnsi="Cambria Math" w:cs="Times New Roman"/>
                        <w:color w:val="auto"/>
                        <w:sz w:val="20"/>
                        <w:szCs w:val="20"/>
                        <w:highlight w:val="none"/>
                        <w:vertAlign w:val="baseline"/>
                        <w:lang w:val="en-US" w:eastAsia="zh-CN"/>
                      </w:rPr>
                      <m:t>AVE</m:t>
                    </m:r>
                    <m:ctrlPr>
                      <w:rPr>
                        <w:rFonts w:ascii="Cambria Math" w:hAnsi="Cambria Math" w:cs="Times New Roman"/>
                        <w:bCs w:val="0"/>
                        <w:i/>
                        <w:color w:val="auto"/>
                        <w:sz w:val="20"/>
                        <w:szCs w:val="20"/>
                        <w:highlight w:val="none"/>
                        <w:vertAlign w:val="baseline"/>
                        <w:lang w:val="en-US"/>
                      </w:rPr>
                    </m:ctrlPr>
                  </m:e>
                </m:rad>
              </m:oMath>
            </m:oMathPara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E169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0.729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0C80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0.749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783C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0.743</w:t>
            </w:r>
          </w:p>
        </w:tc>
      </w:tr>
    </w:tbl>
    <w:p w14:paraId="537A2F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hanging="400" w:hangingChars="200"/>
        <w:jc w:val="center"/>
        <w:textAlignment w:val="auto"/>
        <w:rPr>
          <w:rFonts w:hint="default" w:ascii="Times New Roman" w:hAnsi="Times New Roman" w:cs="Times New Roman" w:eastAsiaTheme="minorEastAsia"/>
          <w:b w:val="0"/>
          <w:bCs w:val="0"/>
          <w:color w:val="auto"/>
          <w:sz w:val="20"/>
          <w:szCs w:val="20"/>
          <w:highlight w:val="none"/>
          <w:lang w:val="en-US" w:eastAsia="zh-CN"/>
        </w:rPr>
      </w:pPr>
    </w:p>
    <w:tbl>
      <w:tblPr>
        <w:tblStyle w:val="3"/>
        <w:tblpPr w:leftFromText="180" w:rightFromText="180" w:vertAnchor="text" w:horzAnchor="page" w:tblpX="1146" w:tblpY="237"/>
        <w:tblOverlap w:val="never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8"/>
        <w:gridCol w:w="1698"/>
        <w:gridCol w:w="1698"/>
        <w:gridCol w:w="1698"/>
        <w:gridCol w:w="1698"/>
        <w:gridCol w:w="1698"/>
      </w:tblGrid>
      <w:tr w14:paraId="27744C6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tcBorders>
              <w:bottom w:val="single" w:color="auto" w:sz="4" w:space="0"/>
            </w:tcBorders>
            <w:vAlign w:val="center"/>
          </w:tcPr>
          <w:p w14:paraId="1AF5F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  <w:t>Indicator</w:t>
            </w:r>
          </w:p>
        </w:tc>
        <w:tc>
          <w:tcPr>
            <w:tcW w:w="1698" w:type="dxa"/>
            <w:tcBorders>
              <w:bottom w:val="single" w:color="auto" w:sz="4" w:space="0"/>
            </w:tcBorders>
            <w:vAlign w:val="center"/>
          </w:tcPr>
          <w:p w14:paraId="09387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χ²(df)</w:t>
            </w:r>
          </w:p>
        </w:tc>
        <w:tc>
          <w:tcPr>
            <w:tcW w:w="1698" w:type="dxa"/>
            <w:tcBorders>
              <w:bottom w:val="single" w:color="auto" w:sz="4" w:space="0"/>
            </w:tcBorders>
            <w:vAlign w:val="center"/>
          </w:tcPr>
          <w:p w14:paraId="19DB5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CFI</w:t>
            </w:r>
          </w:p>
        </w:tc>
        <w:tc>
          <w:tcPr>
            <w:tcW w:w="1698" w:type="dxa"/>
            <w:tcBorders>
              <w:bottom w:val="single" w:color="auto" w:sz="4" w:space="0"/>
            </w:tcBorders>
            <w:vAlign w:val="center"/>
          </w:tcPr>
          <w:p w14:paraId="58C18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TLI</w:t>
            </w:r>
          </w:p>
        </w:tc>
        <w:tc>
          <w:tcPr>
            <w:tcW w:w="1698" w:type="dxa"/>
            <w:tcBorders>
              <w:bottom w:val="single" w:color="auto" w:sz="4" w:space="0"/>
            </w:tcBorders>
            <w:vAlign w:val="center"/>
          </w:tcPr>
          <w:p w14:paraId="6C6A8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RMSEA [9</w:t>
            </w: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% CI]</w:t>
            </w:r>
          </w:p>
        </w:tc>
        <w:tc>
          <w:tcPr>
            <w:tcW w:w="1698" w:type="dxa"/>
            <w:tcBorders>
              <w:bottom w:val="single" w:color="auto" w:sz="4" w:space="0"/>
            </w:tcBorders>
            <w:vAlign w:val="center"/>
          </w:tcPr>
          <w:p w14:paraId="5DB23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SRMR</w:t>
            </w:r>
          </w:p>
        </w:tc>
      </w:tr>
      <w:tr w14:paraId="0F2977E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443B8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  <w:t xml:space="preserve">Value </w:t>
            </w:r>
          </w:p>
        </w:tc>
        <w:tc>
          <w:tcPr>
            <w:tcW w:w="1698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20FBB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186.34 (92)</w:t>
            </w:r>
          </w:p>
        </w:tc>
        <w:tc>
          <w:tcPr>
            <w:tcW w:w="1698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67FA4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0.942</w:t>
            </w:r>
          </w:p>
        </w:tc>
        <w:tc>
          <w:tcPr>
            <w:tcW w:w="1698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5A980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0.928</w:t>
            </w:r>
          </w:p>
        </w:tc>
        <w:tc>
          <w:tcPr>
            <w:tcW w:w="1698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41C44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0.063 [0.051–0.074]</w:t>
            </w:r>
          </w:p>
        </w:tc>
        <w:tc>
          <w:tcPr>
            <w:tcW w:w="1698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5A205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0.048</w:t>
            </w:r>
          </w:p>
        </w:tc>
      </w:tr>
      <w:tr w14:paraId="270F86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tcBorders>
              <w:tl2br w:val="nil"/>
              <w:tr2bl w:val="nil"/>
            </w:tcBorders>
            <w:vAlign w:val="center"/>
          </w:tcPr>
          <w:p w14:paraId="1FE9E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  <w:t>Criteria</w:t>
            </w:r>
          </w:p>
        </w:tc>
        <w:tc>
          <w:tcPr>
            <w:tcW w:w="1698" w:type="dxa"/>
            <w:tcBorders>
              <w:tl2br w:val="nil"/>
              <w:tr2bl w:val="nil"/>
            </w:tcBorders>
            <w:vAlign w:val="center"/>
          </w:tcPr>
          <w:p w14:paraId="2A149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/>
                <w:iCs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 xml:space="preserve"> &lt; 0.001</w:t>
            </w:r>
          </w:p>
        </w:tc>
        <w:tc>
          <w:tcPr>
            <w:tcW w:w="1698" w:type="dxa"/>
            <w:tcBorders>
              <w:tl2br w:val="nil"/>
              <w:tr2bl w:val="nil"/>
            </w:tcBorders>
            <w:vAlign w:val="center"/>
          </w:tcPr>
          <w:p w14:paraId="48458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&gt;0.90</w:t>
            </w:r>
          </w:p>
        </w:tc>
        <w:tc>
          <w:tcPr>
            <w:tcW w:w="1698" w:type="dxa"/>
            <w:tcBorders>
              <w:tl2br w:val="nil"/>
              <w:tr2bl w:val="nil"/>
            </w:tcBorders>
            <w:vAlign w:val="center"/>
          </w:tcPr>
          <w:p w14:paraId="14C85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&gt;0.90</w:t>
            </w:r>
          </w:p>
        </w:tc>
        <w:tc>
          <w:tcPr>
            <w:tcW w:w="1698" w:type="dxa"/>
            <w:tcBorders>
              <w:tl2br w:val="nil"/>
              <w:tr2bl w:val="nil"/>
            </w:tcBorders>
            <w:vAlign w:val="center"/>
          </w:tcPr>
          <w:p w14:paraId="63983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&lt;0.08</w:t>
            </w:r>
          </w:p>
        </w:tc>
        <w:tc>
          <w:tcPr>
            <w:tcW w:w="1698" w:type="dxa"/>
            <w:tcBorders>
              <w:tl2br w:val="nil"/>
              <w:tr2bl w:val="nil"/>
            </w:tcBorders>
            <w:vAlign w:val="center"/>
          </w:tcPr>
          <w:p w14:paraId="0BBE9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&lt;0.08</w:t>
            </w:r>
          </w:p>
        </w:tc>
      </w:tr>
    </w:tbl>
    <w:p w14:paraId="01D3B2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cs="Times New Roman"/>
          <w:b w:val="0"/>
          <w:bCs w:val="0"/>
          <w:color w:val="auto"/>
          <w:sz w:val="20"/>
          <w:szCs w:val="2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20"/>
          <w:szCs w:val="20"/>
          <w:highlight w:val="none"/>
          <w:lang w:val="en-US" w:eastAsia="zh-CN"/>
        </w:rPr>
        <w:t>Table 2.Overall model fit index</w:t>
      </w:r>
    </w:p>
    <w:p w14:paraId="090367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cs="Times New Roman"/>
          <w:b w:val="0"/>
          <w:bCs w:val="0"/>
          <w:color w:val="auto"/>
          <w:sz w:val="20"/>
          <w:szCs w:val="20"/>
          <w:highlight w:val="none"/>
          <w:lang w:val="en-US" w:eastAsia="zh-CN"/>
        </w:rPr>
      </w:pPr>
    </w:p>
    <w:p w14:paraId="46F0B0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cs="Times New Roman"/>
          <w:b w:val="0"/>
          <w:bCs w:val="0"/>
          <w:color w:val="auto"/>
          <w:sz w:val="20"/>
          <w:szCs w:val="20"/>
          <w:highlight w:val="none"/>
          <w:lang w:val="en-US" w:eastAsia="zh-CN"/>
        </w:rPr>
      </w:pPr>
    </w:p>
    <w:p w14:paraId="455503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0"/>
          <w:szCs w:val="2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20"/>
          <w:szCs w:val="20"/>
          <w:highlight w:val="none"/>
          <w:lang w:val="en-US" w:eastAsia="zh-CN"/>
        </w:rPr>
        <w:t>Table 3. Measurement invariance test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7"/>
        <w:gridCol w:w="2547"/>
        <w:gridCol w:w="2547"/>
        <w:gridCol w:w="2547"/>
      </w:tblGrid>
      <w:tr w14:paraId="3C9B0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547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4FB2D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Group comparison</w:t>
            </w:r>
          </w:p>
        </w:tc>
        <w:tc>
          <w:tcPr>
            <w:tcW w:w="2547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27F80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  <w:t>Test hierarchy</w:t>
            </w:r>
          </w:p>
        </w:tc>
        <w:tc>
          <w:tcPr>
            <w:tcW w:w="2547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59963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ΔCFI</w:t>
            </w:r>
          </w:p>
        </w:tc>
        <w:tc>
          <w:tcPr>
            <w:tcW w:w="2547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13BBD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  <w:t>Valid or not</w:t>
            </w:r>
          </w:p>
        </w:tc>
      </w:tr>
      <w:tr w14:paraId="2A398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A756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Female/Male</w:t>
            </w:r>
          </w:p>
        </w:tc>
        <w:tc>
          <w:tcPr>
            <w:tcW w:w="254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70F5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  <w:t>Configuration</w:t>
            </w:r>
          </w:p>
        </w:tc>
        <w:tc>
          <w:tcPr>
            <w:tcW w:w="254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3E98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0.003</w:t>
            </w:r>
          </w:p>
        </w:tc>
        <w:tc>
          <w:tcPr>
            <w:tcW w:w="254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0453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  <w:t xml:space="preserve">Valid </w:t>
            </w:r>
          </w:p>
        </w:tc>
      </w:tr>
      <w:tr w14:paraId="29E3A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83B8F3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41A5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  <w:t xml:space="preserve">Measurement 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03F1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0.006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AB2D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  <w:t xml:space="preserve">Valid </w:t>
            </w:r>
          </w:p>
        </w:tc>
      </w:tr>
    </w:tbl>
    <w:p w14:paraId="7CAA29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0"/>
          <w:szCs w:val="20"/>
          <w:highlight w:val="none"/>
          <w:lang w:val="en-US" w:eastAsia="zh-CN"/>
        </w:rPr>
      </w:pPr>
    </w:p>
    <w:p w14:paraId="31836414">
      <w:bookmarkStart w:id="0" w:name="_GoBack"/>
      <w:bookmarkEnd w:id="0"/>
    </w:p>
    <w:sectPr>
      <w:pgSz w:w="12240" w:h="15840"/>
      <w:pgMar w:top="1083" w:right="1134" w:bottom="1440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421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21"/>
    <w:basedOn w:val="4"/>
    <w:qFormat/>
    <w:uiPriority w:val="0"/>
    <w:rPr>
      <w:rFonts w:hint="default" w:ascii="helvetica" w:hAnsi="helvetica" w:eastAsia="helvetica" w:cs="helvetica"/>
      <w:color w:val="111133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2026-04-23T08:19:43Z</dcterms:created>
  <dc:creator>aiapguo</dc:creator>
  <cp:lastModifiedBy>gy</cp:lastModifiedBy>
  <dcterms:modified xsi:type="dcterms:W3CDTF">2026-04-23T08:20:07Z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eyJoZGlkIjoiYTc2ZGZiNzZiNDVlOGViOWVmM2JhOTY0NGJkNjUyYzgiLCJ1c2VySWQiOiI0NDYzNjE5NTkifQ==</vt:lpwstr>
  </property>
  <property fmtid="{D5CDD505-2E9C-101B-9397-08002B2CF9AE}" pid="4" name="ICV">
    <vt:lpwstr>5D53583AFE8C48478E0711CCFB797479_12</vt:lpwstr>
  </property>
</Properties>
</file>