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E8530">
      <w:pPr>
        <w:rPr>
          <w:rFonts w:hint="default" w:ascii="Arial Black" w:hAnsi="Arial Black" w:cs="Arial Black"/>
          <w:sz w:val="18"/>
          <w:szCs w:val="18"/>
        </w:rPr>
      </w:pPr>
    </w:p>
    <w:p w14:paraId="70EEA909">
      <w:pPr>
        <w:rPr>
          <w:rFonts w:hint="default" w:ascii="Arial Black" w:hAnsi="Arial Black" w:cs="Arial Black"/>
          <w:sz w:val="18"/>
          <w:szCs w:val="18"/>
        </w:rPr>
      </w:pPr>
    </w:p>
    <w:p w14:paraId="2DEF20C6">
      <w:pPr>
        <w:rPr>
          <w:rFonts w:hint="default" w:ascii="Arial Black" w:hAnsi="Arial Black" w:cs="Arial Black"/>
          <w:sz w:val="18"/>
          <w:szCs w:val="18"/>
        </w:rPr>
      </w:pPr>
    </w:p>
    <w:p w14:paraId="1F7FB926">
      <w:pPr>
        <w:rPr>
          <w:rFonts w:hint="default" w:ascii="Arial Black" w:hAnsi="Arial Black" w:cs="Arial Black"/>
          <w:sz w:val="18"/>
          <w:szCs w:val="18"/>
        </w:rPr>
      </w:pPr>
      <w:bookmarkStart w:id="0" w:name="_GoBack"/>
      <w:bookmarkEnd w:id="0"/>
      <w:r>
        <w:rPr>
          <w:rFonts w:hint="default" w:ascii="Arial Black" w:hAnsi="Arial Black" w:cs="Arial Black"/>
          <w:sz w:val="18"/>
          <w:szCs w:val="18"/>
        </w:rPr>
        <w:t xml:space="preserve">TABLE 2 Shoulder Pain and Disability Index (SPADI) scores at the baseline, </w:t>
      </w:r>
      <w:r>
        <w:rPr>
          <w:rFonts w:hint="eastAsia" w:ascii="Arial Black" w:hAnsi="Arial Black" w:cs="Arial Black"/>
          <w:sz w:val="18"/>
          <w:szCs w:val="18"/>
        </w:rPr>
        <w:t xml:space="preserve">1th week,3th week </w:t>
      </w:r>
      <w:r>
        <w:rPr>
          <w:rFonts w:hint="default" w:ascii="Arial Black" w:hAnsi="Arial Black" w:cs="Arial Black"/>
          <w:sz w:val="18"/>
          <w:szCs w:val="18"/>
        </w:rPr>
        <w:t>6th week and 12th week after the injection</w:t>
      </w:r>
      <w:r>
        <w:rPr>
          <w:rFonts w:hint="eastAsia" w:ascii="Arial Black" w:hAnsi="Arial Black" w:cs="Arial Black"/>
          <w:sz w:val="18"/>
          <w:szCs w:val="18"/>
        </w:rPr>
        <w:t xml:space="preserve"> , </w:t>
      </w:r>
      <w:r>
        <w:rPr>
          <w:rFonts w:hint="default" w:ascii="Arial Black" w:hAnsi="Arial Black" w:cs="Arial Black"/>
          <w:sz w:val="18"/>
          <w:szCs w:val="18"/>
        </w:rPr>
        <w:t xml:space="preserve">The </w:t>
      </w:r>
      <w:r>
        <w:rPr>
          <w:rFonts w:hint="eastAsia" w:ascii="Arial Black" w:hAnsi="Arial Black" w:cs="Arial Black"/>
          <w:sz w:val="18"/>
          <w:szCs w:val="18"/>
        </w:rPr>
        <w:t>Likert</w:t>
      </w:r>
      <w:r>
        <w:rPr>
          <w:rFonts w:hint="default" w:ascii="Arial Black" w:hAnsi="Arial Black" w:cs="Arial Black"/>
          <w:sz w:val="18"/>
          <w:szCs w:val="18"/>
        </w:rPr>
        <w:t xml:space="preserve"> scale</w:t>
      </w:r>
      <w:r>
        <w:rPr>
          <w:rFonts w:hint="eastAsia" w:ascii="Arial Black" w:hAnsi="Arial Black" w:cs="Arial Black"/>
          <w:sz w:val="18"/>
          <w:szCs w:val="18"/>
        </w:rPr>
        <w:t>, Adverse Events</w:t>
      </w:r>
      <w:r>
        <w:rPr>
          <w:rFonts w:hint="default" w:ascii="Arial Black" w:hAnsi="Arial Black" w:cs="Arial Black"/>
          <w:sz w:val="18"/>
          <w:szCs w:val="18"/>
        </w:rPr>
        <w:t>.</w:t>
      </w:r>
    </w:p>
    <w:tbl>
      <w:tblPr>
        <w:tblStyle w:val="3"/>
        <w:tblW w:w="8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2470"/>
        <w:gridCol w:w="2470"/>
        <w:gridCol w:w="812"/>
        <w:gridCol w:w="678"/>
      </w:tblGrid>
      <w:tr w14:paraId="7DE1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6E3D063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47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D3F3584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Group 2 (N = </w:t>
            </w:r>
            <w:r>
              <w:rPr>
                <w:rFonts w:hint="eastAsia" w:ascii="Times New Roman" w:hAnsi="Times New Roman" w:eastAsia="宋体" w:cs="Times New Roman"/>
              </w:rPr>
              <w:t>44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247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220D53B9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Group 1 (N = </w:t>
            </w:r>
            <w:r>
              <w:rPr>
                <w:rFonts w:hint="eastAsia" w:ascii="Times New Roman" w:hAnsi="Times New Roman" w:eastAsia="宋体" w:cs="Times New Roman"/>
              </w:rPr>
              <w:t>45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812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9AB93B9">
            <w:pPr>
              <w:ind w:firstLine="160" w:firstLineChars="100"/>
              <w:jc w:val="center"/>
              <w:rPr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t/x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/z</w:t>
            </w:r>
          </w:p>
        </w:tc>
        <w:tc>
          <w:tcPr>
            <w:tcW w:w="678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140D25B">
            <w:pPr>
              <w:ind w:firstLine="160" w:firstLineChars="100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5D6C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123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E7D38F5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SPADI(total) </w:t>
            </w:r>
            <w:r>
              <w:rPr>
                <w:rFonts w:hint="eastAsia" w:ascii="Segoe UI" w:hAnsi="Segoe UI" w:eastAsia="宋体" w:cs="Segoe UI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hint="eastAsia" w:ascii="Segoe UI" w:hAnsi="Segoe UI" w:eastAsia="Segoe UI" w:cs="Segoe UI"/>
                <w:b/>
                <w:bCs/>
                <w:sz w:val="13"/>
                <w:szCs w:val="13"/>
                <w:shd w:val="clear" w:color="auto" w:fill="FFFFFF"/>
              </w:rPr>
              <w:t>Baseline</w:t>
            </w:r>
          </w:p>
        </w:tc>
        <w:tc>
          <w:tcPr>
            <w:tcW w:w="247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FE96B35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60.20±4.26(58.91,61.50)</w:t>
            </w:r>
          </w:p>
        </w:tc>
        <w:tc>
          <w:tcPr>
            <w:tcW w:w="247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AFFEEA2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60.13±4.74(58.71,61.56)</w:t>
            </w:r>
          </w:p>
        </w:tc>
        <w:tc>
          <w:tcPr>
            <w:tcW w:w="812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E51162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-.074</w:t>
            </w:r>
          </w:p>
        </w:tc>
        <w:tc>
          <w:tcPr>
            <w:tcW w:w="678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D87C98D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.941</w:t>
            </w:r>
          </w:p>
        </w:tc>
      </w:tr>
      <w:tr w14:paraId="148C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B4899E8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SPADI (total) </w:t>
            </w:r>
            <w:r>
              <w:rPr>
                <w:rFonts w:hint="eastAsia" w:ascii="Segoe UI" w:hAnsi="Segoe UI" w:eastAsia="Segoe UI" w:cs="Segoe UI"/>
                <w:b/>
                <w:bCs/>
                <w:sz w:val="13"/>
                <w:szCs w:val="13"/>
                <w:shd w:val="clear" w:color="auto" w:fill="FFFFFF"/>
              </w:rPr>
              <w:t>1 week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626989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47.70±6.19(45.82,49.59)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254CC0E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48.98±4.74(47.55,50.40)</w:t>
            </w:r>
          </w:p>
        </w:tc>
        <w:tc>
          <w:tcPr>
            <w:tcW w:w="81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BC6149F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1.091</w:t>
            </w:r>
          </w:p>
        </w:tc>
        <w:tc>
          <w:tcPr>
            <w:tcW w:w="67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D1056AB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.278</w:t>
            </w:r>
          </w:p>
        </w:tc>
      </w:tr>
      <w:tr w14:paraId="2B67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FC6CBCB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SPADI (total) </w:t>
            </w:r>
            <w:r>
              <w:rPr>
                <w:rFonts w:hint="eastAsia" w:ascii="Segoe UI" w:hAnsi="Segoe UI" w:eastAsia="Segoe UI" w:cs="Segoe UI"/>
                <w:b/>
                <w:bCs/>
                <w:sz w:val="13"/>
                <w:szCs w:val="13"/>
                <w:shd w:val="clear" w:color="auto" w:fill="FFFFFF"/>
              </w:rPr>
              <w:t>3 week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735CF5E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44.64±7.69(42.30,46.97)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0854029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44.36±6.49(42.41,46.30)</w:t>
            </w:r>
          </w:p>
        </w:tc>
        <w:tc>
          <w:tcPr>
            <w:tcW w:w="81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0C26634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-1.86</w:t>
            </w:r>
          </w:p>
        </w:tc>
        <w:tc>
          <w:tcPr>
            <w:tcW w:w="67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C93683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.853</w:t>
            </w:r>
          </w:p>
        </w:tc>
      </w:tr>
      <w:tr w14:paraId="601D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4898D91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SPADI (total) </w:t>
            </w:r>
            <w:r>
              <w:rPr>
                <w:rFonts w:hint="eastAsia" w:ascii="Segoe UI" w:hAnsi="Segoe UI" w:eastAsia="Segoe UI" w:cs="Segoe UI"/>
                <w:b/>
                <w:bCs/>
                <w:sz w:val="13"/>
                <w:szCs w:val="13"/>
                <w:shd w:val="clear" w:color="auto" w:fill="FFFFFF"/>
              </w:rPr>
              <w:t>6 week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EED5876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43.23±6.44(41.27,45.19)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8D05DC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41.91±6.14(40.07,43.76)</w:t>
            </w:r>
          </w:p>
        </w:tc>
        <w:tc>
          <w:tcPr>
            <w:tcW w:w="81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9686859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-.986</w:t>
            </w:r>
          </w:p>
        </w:tc>
        <w:tc>
          <w:tcPr>
            <w:tcW w:w="67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E025FFD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.327</w:t>
            </w:r>
          </w:p>
        </w:tc>
      </w:tr>
      <w:tr w14:paraId="561D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8CC2F51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SPADI(total) </w:t>
            </w:r>
            <w:r>
              <w:rPr>
                <w:rFonts w:hint="eastAsia" w:ascii="Segoe UI" w:hAnsi="Segoe UI" w:eastAsia="Segoe UI" w:cs="Segoe UI"/>
                <w:b/>
                <w:bCs/>
                <w:sz w:val="13"/>
                <w:szCs w:val="13"/>
                <w:shd w:val="clear" w:color="auto" w:fill="FFFFFF"/>
              </w:rPr>
              <w:t>12 week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F3480BD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42.30±6.68(40.26,44.33)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3214269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40.96±5.07(39.43,42.48)</w:t>
            </w:r>
          </w:p>
        </w:tc>
        <w:tc>
          <w:tcPr>
            <w:tcW w:w="81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D0BFD3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-1.067</w:t>
            </w:r>
          </w:p>
        </w:tc>
        <w:tc>
          <w:tcPr>
            <w:tcW w:w="67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817CCA0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.289</w:t>
            </w:r>
          </w:p>
        </w:tc>
      </w:tr>
      <w:tr w14:paraId="2451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017E1CF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The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>Likert</w:t>
            </w: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 scale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7AFAD0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4(3,4)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53F17B4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4(3,4)</w:t>
            </w:r>
          </w:p>
        </w:tc>
        <w:tc>
          <w:tcPr>
            <w:tcW w:w="81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D3CDE4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-.736</w:t>
            </w:r>
          </w:p>
        </w:tc>
        <w:tc>
          <w:tcPr>
            <w:tcW w:w="67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A8621BA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.462</w:t>
            </w:r>
          </w:p>
        </w:tc>
      </w:tr>
      <w:tr w14:paraId="5B51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BA58A63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>postoperative acute pain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7FD6360C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11(25%)</w:t>
            </w:r>
          </w:p>
        </w:tc>
        <w:tc>
          <w:tcPr>
            <w:tcW w:w="24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2A9BB5E6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13(29%)</w:t>
            </w:r>
          </w:p>
        </w:tc>
        <w:tc>
          <w:tcPr>
            <w:tcW w:w="81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2A039814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0.171</w:t>
            </w:r>
            <w:r>
              <w:rPr>
                <w:rFonts w:hint="eastAsia"/>
                <w:b/>
                <w:bCs/>
                <w:color w:val="00000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67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250084D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.679</w:t>
            </w:r>
          </w:p>
        </w:tc>
      </w:tr>
    </w:tbl>
    <w:p w14:paraId="499E8D8D">
      <w:r>
        <w:rPr>
          <w:rFonts w:ascii="Arial Narrow" w:hAnsi="Arial Narrow" w:cs="Arial Narrow"/>
          <w:sz w:val="18"/>
          <w:szCs w:val="20"/>
        </w:rPr>
        <w:t>Scores are given as mean ± standard deviation (95% confidence interval of mean). p values pertain to between-group comparisons for differences from baseline. * indicates p &lt; 0.05. Group 1 indicates hydrodilatation though the posterior</w:t>
      </w:r>
      <w:r>
        <w:rPr>
          <w:rFonts w:hint="eastAsia" w:ascii="Arial Narrow" w:hAnsi="Arial Narrow" w:cs="Arial Narrow"/>
          <w:sz w:val="18"/>
          <w:szCs w:val="20"/>
        </w:rPr>
        <w:t xml:space="preserve"> </w:t>
      </w:r>
      <w:r>
        <w:rPr>
          <w:rFonts w:ascii="Arial Narrow" w:hAnsi="Arial Narrow" w:cs="Arial Narrow"/>
          <w:sz w:val="18"/>
          <w:szCs w:val="20"/>
        </w:rPr>
        <w:t>glenohumeral recess, whereas Group 2 indicates hydrodilatation through the rotator cuff</w:t>
      </w:r>
      <w:r>
        <w:rPr>
          <w:rFonts w:hint="eastAsia" w:ascii="Arial Narrow" w:hAnsi="Arial Narrow" w:cs="Arial Narrow"/>
          <w:sz w:val="18"/>
          <w:szCs w:val="20"/>
        </w:rPr>
        <w:t xml:space="preserve"> </w:t>
      </w:r>
      <w:r>
        <w:rPr>
          <w:rFonts w:ascii="Arial Narrow" w:hAnsi="Arial Narrow" w:cs="Arial Narrow"/>
          <w:sz w:val="18"/>
          <w:szCs w:val="20"/>
        </w:rPr>
        <w:t xml:space="preserve">interval.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8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2025-01-22T14:39:23Z</dcterms:created>
  <dc:creator>华为</dc:creator>
  <cp:lastModifiedBy>鬼马~倩</cp:lastModifiedBy>
  <dcterms:modified xsi:type="dcterms:W3CDTF">2025-01-22T14:39:41Z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eyJoZGlkIjoiNDFjMTljMDQ0OGE5YjAyNjE3MTFjZWIxNzhmZWZlOTkiLCJ1c2VySWQiOiIzNDk2NzAzNTcifQ==</vt:lpwstr>
  </property>
  <property fmtid="{D5CDD505-2E9C-101B-9397-08002B2CF9AE}" pid="4" name="ICV">
    <vt:lpwstr>7BDEC7B4F3FB4DCBA3D1AC83FCD44699_12</vt:lpwstr>
  </property>
</Properties>
</file>