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E609B">
      <w:pPr>
        <w:rPr>
          <w:rFonts w:hint="eastAsia" w:ascii="Arial Black" w:hAnsi="Arial Black" w:cs="Arial Black"/>
          <w:sz w:val="18"/>
          <w:szCs w:val="18"/>
        </w:rPr>
      </w:pPr>
    </w:p>
    <w:p w14:paraId="200AE170">
      <w:pPr>
        <w:rPr>
          <w:rFonts w:hint="eastAsia" w:ascii="Arial Black" w:hAnsi="Arial Black" w:cs="Arial Black"/>
          <w:sz w:val="18"/>
          <w:szCs w:val="18"/>
        </w:rPr>
      </w:pPr>
    </w:p>
    <w:p w14:paraId="411E57DB">
      <w:pPr>
        <w:rPr>
          <w:rFonts w:hint="eastAsia" w:ascii="Arial Black" w:hAnsi="Arial Black" w:cs="Arial Black"/>
          <w:sz w:val="18"/>
          <w:szCs w:val="18"/>
        </w:rPr>
      </w:pPr>
      <w:r>
        <w:rPr>
          <w:rFonts w:hint="eastAsia" w:ascii="Arial Black" w:hAnsi="Arial Black" w:cs="Arial Black"/>
          <w:sz w:val="18"/>
          <w:szCs w:val="18"/>
        </w:rPr>
        <w:t>T</w:t>
      </w:r>
      <w:r>
        <w:rPr>
          <w:rFonts w:hint="eastAsia" w:ascii="Arial Black" w:hAnsi="Arial Black" w:cs="Arial Black"/>
          <w:sz w:val="18"/>
          <w:szCs w:val="18"/>
          <w:lang w:val="en-US" w:eastAsia="zh-CN"/>
        </w:rPr>
        <w:t>ABLE</w:t>
      </w:r>
      <w:bookmarkStart w:id="0" w:name="_GoBack"/>
      <w:bookmarkEnd w:id="0"/>
      <w:r>
        <w:rPr>
          <w:rFonts w:hint="eastAsia" w:ascii="Arial Black" w:hAnsi="Arial Black" w:cs="Arial Black"/>
          <w:sz w:val="18"/>
          <w:szCs w:val="18"/>
        </w:rPr>
        <w:t xml:space="preserve"> 5</w:t>
      </w:r>
      <w:r>
        <w:rPr>
          <w:rFonts w:hint="eastAsia" w:ascii="Arial Black" w:hAnsi="Arial Black" w:cs="Arial Black"/>
          <w:sz w:val="18"/>
          <w:szCs w:val="18"/>
          <w:lang w:val="en-US" w:eastAsia="zh-CN"/>
        </w:rPr>
        <w:t xml:space="preserve"> </w:t>
      </w:r>
      <w:r>
        <w:rPr>
          <w:rFonts w:hint="eastAsia" w:ascii="Arial Black" w:hAnsi="Arial Black" w:cs="Arial Black"/>
          <w:sz w:val="18"/>
          <w:szCs w:val="18"/>
        </w:rPr>
        <w:t xml:space="preserve"> Blinding Assessment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197"/>
        <w:gridCol w:w="1050"/>
        <w:gridCol w:w="2259"/>
      </w:tblGrid>
      <w:tr w14:paraId="2A39E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5E94E257">
            <w:pPr>
              <w:jc w:val="center"/>
              <w:rPr>
                <w:rFonts w:ascii="Segoe UI" w:hAnsi="Segoe UI" w:eastAsia="Segoe UI" w:cs="Segoe UI"/>
                <w:b/>
                <w:bCs/>
                <w:sz w:val="14"/>
                <w:szCs w:val="14"/>
                <w:shd w:val="clear" w:color="auto" w:fill="FFFFFF"/>
              </w:rPr>
            </w:pPr>
          </w:p>
          <w:p w14:paraId="2115460F">
            <w:pPr>
              <w:jc w:val="center"/>
              <w:rPr>
                <w:color w:val="00000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shd w:val="clear" w:color="auto" w:fill="FFFFFF"/>
              </w:rPr>
              <w:t>Treatment guess</w:t>
            </w:r>
          </w:p>
        </w:tc>
        <w:tc>
          <w:tcPr>
            <w:tcW w:w="2247" w:type="dxa"/>
            <w:gridSpan w:val="2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7E77AC7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NO.(%)</w:t>
            </w:r>
          </w:p>
        </w:tc>
        <w:tc>
          <w:tcPr>
            <w:tcW w:w="2259" w:type="dxa"/>
            <w:vMerge w:val="restart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0958576F">
            <w:pPr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</w:p>
          <w:p w14:paraId="7F73A7EA">
            <w:pPr>
              <w:jc w:val="left"/>
              <w:rPr>
                <w:rFonts w:ascii="Segoe UI" w:hAnsi="Segoe UI" w:eastAsia="宋体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shd w:val="clear" w:color="auto" w:fill="FFFFFF"/>
              </w:rPr>
              <w:t>James blinding index(95%CI)a</w:t>
            </w:r>
          </w:p>
        </w:tc>
      </w:tr>
      <w:tr w14:paraId="12F43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191D3292">
            <w:pPr>
              <w:rPr>
                <w:color w:val="000000"/>
              </w:rPr>
            </w:pPr>
          </w:p>
        </w:tc>
        <w:tc>
          <w:tcPr>
            <w:tcW w:w="1197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6812AED7">
            <w:pPr>
              <w:rPr>
                <w:color w:val="000000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shd w:val="clear" w:color="auto" w:fill="FFFFFF"/>
              </w:rPr>
              <w:t>the RI and PG group</w:t>
            </w:r>
          </w:p>
        </w:tc>
        <w:tc>
          <w:tcPr>
            <w:tcW w:w="1050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4366CD8B">
            <w:pPr>
              <w:rPr>
                <w:color w:val="000000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shd w:val="clear" w:color="auto" w:fill="FFFFFF"/>
              </w:rPr>
              <w:t>the RI group</w:t>
            </w:r>
          </w:p>
        </w:tc>
        <w:tc>
          <w:tcPr>
            <w:tcW w:w="2259" w:type="dxa"/>
            <w:vMerge w:val="continue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1A40E37E">
            <w:pPr>
              <w:jc w:val="center"/>
              <w:rPr>
                <w:color w:val="000000"/>
              </w:rPr>
            </w:pPr>
          </w:p>
        </w:tc>
      </w:tr>
      <w:tr w14:paraId="6F15D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6" w:type="dxa"/>
            <w:gridSpan w:val="4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6D4D6BE7">
            <w:pPr>
              <w:rPr>
                <w:color w:val="00000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shd w:val="clear" w:color="auto" w:fill="FFFFFF"/>
              </w:rPr>
              <w:t>Week 1</w:t>
            </w:r>
          </w:p>
        </w:tc>
      </w:tr>
      <w:tr w14:paraId="0E12B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D1C7464">
            <w:pPr>
              <w:rPr>
                <w:color w:val="000000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shd w:val="clear" w:color="auto" w:fill="FFFFFF"/>
              </w:rPr>
              <w:t>the RI and PG group</w:t>
            </w:r>
          </w:p>
        </w:tc>
        <w:tc>
          <w:tcPr>
            <w:tcW w:w="1197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BE4F53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25(0.52)</w:t>
            </w:r>
          </w:p>
        </w:tc>
        <w:tc>
          <w:tcPr>
            <w:tcW w:w="1050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973861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7(0.16)</w:t>
            </w:r>
          </w:p>
        </w:tc>
        <w:tc>
          <w:tcPr>
            <w:tcW w:w="2259" w:type="dxa"/>
            <w:vMerge w:val="restart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0114ECB">
            <w:pPr>
              <w:jc w:val="center"/>
              <w:rPr>
                <w:color w:val="000000"/>
              </w:rPr>
            </w:pPr>
          </w:p>
          <w:p w14:paraId="1304981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0.5(0.3,0.7)</w:t>
            </w:r>
          </w:p>
        </w:tc>
      </w:tr>
      <w:tr w14:paraId="5BFFD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A3523CD">
            <w:pPr>
              <w:rPr>
                <w:color w:val="000000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shd w:val="clear" w:color="auto" w:fill="FFFFFF"/>
              </w:rPr>
              <w:t>the RI group</w:t>
            </w:r>
          </w:p>
        </w:tc>
        <w:tc>
          <w:tcPr>
            <w:tcW w:w="119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5F7B35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6(0.13)</w:t>
            </w:r>
          </w:p>
        </w:tc>
        <w:tc>
          <w:tcPr>
            <w:tcW w:w="105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5890FD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23(0.48)</w:t>
            </w:r>
          </w:p>
        </w:tc>
        <w:tc>
          <w:tcPr>
            <w:tcW w:w="2259" w:type="dxa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CE88B46">
            <w:pPr>
              <w:rPr>
                <w:color w:val="000000"/>
              </w:rPr>
            </w:pPr>
          </w:p>
        </w:tc>
      </w:tr>
      <w:tr w14:paraId="35BB2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themeColor="text1" w:sz="12" w:space="0"/>
              <w:right w:val="single" w:color="FFFFFF" w:themeColor="background1" w:sz="4" w:space="0"/>
            </w:tcBorders>
            <w:shd w:val="clear" w:color="auto" w:fill="FFFFFF"/>
          </w:tcPr>
          <w:p w14:paraId="692E4CD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Unsure</w:t>
            </w:r>
          </w:p>
        </w:tc>
        <w:tc>
          <w:tcPr>
            <w:tcW w:w="119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themeColor="text1" w:sz="12" w:space="0"/>
              <w:right w:val="single" w:color="FFFFFF" w:themeColor="background1" w:sz="4" w:space="0"/>
            </w:tcBorders>
            <w:shd w:val="clear" w:color="auto" w:fill="FFFFFF"/>
          </w:tcPr>
          <w:p w14:paraId="6EC4E95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17(0.35)</w:t>
            </w:r>
          </w:p>
        </w:tc>
        <w:tc>
          <w:tcPr>
            <w:tcW w:w="105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themeColor="text1" w:sz="12" w:space="0"/>
              <w:right w:val="single" w:color="FFFFFF" w:themeColor="background1" w:sz="4" w:space="0"/>
            </w:tcBorders>
            <w:shd w:val="clear" w:color="auto" w:fill="FFFFFF"/>
          </w:tcPr>
          <w:p w14:paraId="600870A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18(0.36)</w:t>
            </w:r>
          </w:p>
        </w:tc>
        <w:tc>
          <w:tcPr>
            <w:tcW w:w="2259" w:type="dxa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themeColor="text1" w:sz="12" w:space="0"/>
              <w:right w:val="single" w:color="FFFFFF" w:themeColor="background1" w:sz="4" w:space="0"/>
            </w:tcBorders>
            <w:shd w:val="clear" w:color="auto" w:fill="FFFFFF"/>
          </w:tcPr>
          <w:p w14:paraId="4B98DC86">
            <w:pPr>
              <w:rPr>
                <w:color w:val="000000"/>
              </w:rPr>
            </w:pPr>
          </w:p>
        </w:tc>
      </w:tr>
      <w:tr w14:paraId="2F6CA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6" w:type="dxa"/>
            <w:gridSpan w:val="4"/>
            <w:tcBorders>
              <w:top w:val="single" w:color="000000" w:themeColor="text1" w:sz="12" w:space="0"/>
              <w:left w:val="single" w:color="FFFFFF" w:themeColor="background1" w:sz="4" w:space="0"/>
              <w:bottom w:val="single" w:color="000000" w:themeColor="text1" w:sz="12" w:space="0"/>
              <w:right w:val="single" w:color="FFFFFF" w:themeColor="background1" w:sz="4" w:space="0"/>
            </w:tcBorders>
            <w:shd w:val="clear" w:color="auto" w:fill="FFFFFF"/>
          </w:tcPr>
          <w:p w14:paraId="236EC5B2">
            <w:pPr>
              <w:rPr>
                <w:color w:val="00000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shd w:val="clear" w:color="auto" w:fill="FFFFFF"/>
              </w:rPr>
              <w:t>Week 3</w:t>
            </w:r>
          </w:p>
        </w:tc>
      </w:tr>
      <w:tr w14:paraId="1C19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themeColor="text1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295C93B">
            <w:pPr>
              <w:rPr>
                <w:color w:val="000000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shd w:val="clear" w:color="auto" w:fill="FFFFFF"/>
              </w:rPr>
              <w:t>the RI and PG group</w:t>
            </w:r>
          </w:p>
        </w:tc>
        <w:tc>
          <w:tcPr>
            <w:tcW w:w="1197" w:type="dxa"/>
            <w:tcBorders>
              <w:top w:val="single" w:color="000000" w:themeColor="text1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F0A86C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25(0.53)</w:t>
            </w:r>
          </w:p>
        </w:tc>
        <w:tc>
          <w:tcPr>
            <w:tcW w:w="1050" w:type="dxa"/>
            <w:tcBorders>
              <w:top w:val="single" w:color="000000" w:themeColor="text1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30E3A28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13(0.28)</w:t>
            </w:r>
          </w:p>
        </w:tc>
        <w:tc>
          <w:tcPr>
            <w:tcW w:w="2259" w:type="dxa"/>
            <w:vMerge w:val="restart"/>
            <w:tcBorders>
              <w:top w:val="single" w:color="000000" w:themeColor="text1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7F597D4">
            <w:pPr>
              <w:jc w:val="center"/>
              <w:rPr>
                <w:color w:val="000000"/>
              </w:rPr>
            </w:pPr>
          </w:p>
          <w:p w14:paraId="216B08F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0.5(0.2,0.6)</w:t>
            </w:r>
          </w:p>
        </w:tc>
      </w:tr>
      <w:tr w14:paraId="14454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BE84067">
            <w:pPr>
              <w:rPr>
                <w:color w:val="000000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shd w:val="clear" w:color="auto" w:fill="FFFFFF"/>
              </w:rPr>
              <w:t>the RI group</w:t>
            </w:r>
          </w:p>
        </w:tc>
        <w:tc>
          <w:tcPr>
            <w:tcW w:w="119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B423FE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13(0.28)</w:t>
            </w:r>
          </w:p>
        </w:tc>
        <w:tc>
          <w:tcPr>
            <w:tcW w:w="105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A8EE04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24(0.51)</w:t>
            </w:r>
          </w:p>
        </w:tc>
        <w:tc>
          <w:tcPr>
            <w:tcW w:w="2259" w:type="dxa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A4C45DC">
            <w:pPr>
              <w:rPr>
                <w:color w:val="000000"/>
              </w:rPr>
            </w:pPr>
          </w:p>
        </w:tc>
      </w:tr>
      <w:tr w14:paraId="0497F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5134EEB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Unsure</w:t>
            </w:r>
          </w:p>
        </w:tc>
        <w:tc>
          <w:tcPr>
            <w:tcW w:w="119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167D784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9(0.19)</w:t>
            </w:r>
          </w:p>
        </w:tc>
        <w:tc>
          <w:tcPr>
            <w:tcW w:w="105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14D82D1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10(0.21)</w:t>
            </w:r>
          </w:p>
        </w:tc>
        <w:tc>
          <w:tcPr>
            <w:tcW w:w="2259" w:type="dxa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40004066">
            <w:pPr>
              <w:rPr>
                <w:color w:val="000000"/>
              </w:rPr>
            </w:pPr>
          </w:p>
        </w:tc>
      </w:tr>
    </w:tbl>
    <w:p w14:paraId="59AFD7C7">
      <w:r>
        <w:rPr>
          <w:rFonts w:ascii="Arial Narrow" w:hAnsi="Arial Narrow" w:cs="Arial Narrow"/>
          <w:sz w:val="18"/>
          <w:szCs w:val="20"/>
        </w:rPr>
        <w:t>“</w:t>
      </w:r>
      <w:r>
        <w:rPr>
          <w:rFonts w:hint="eastAsia" w:ascii="Arial Narrow" w:hAnsi="Arial Narrow" w:cs="Arial Narrow"/>
          <w:sz w:val="18"/>
          <w:szCs w:val="20"/>
        </w:rPr>
        <w:t>a</w:t>
      </w:r>
      <w:r>
        <w:rPr>
          <w:rFonts w:ascii="Arial Narrow" w:hAnsi="Arial Narrow" w:cs="Arial Narrow"/>
          <w:sz w:val="18"/>
          <w:szCs w:val="20"/>
        </w:rPr>
        <w:t>”</w:t>
      </w:r>
      <w:r>
        <w:rPr>
          <w:rFonts w:hint="eastAsia" w:ascii="Arial Narrow" w:hAnsi="Arial Narrow" w:cs="Arial Narrow"/>
          <w:sz w:val="18"/>
          <w:szCs w:val="20"/>
        </w:rPr>
        <w:t xml:space="preserve"> </w:t>
      </w:r>
      <w:r>
        <w:rPr>
          <w:rFonts w:ascii="Arial Narrow" w:hAnsi="Arial Narrow" w:cs="Arial Narrow"/>
          <w:sz w:val="18"/>
          <w:szCs w:val="20"/>
        </w:rPr>
        <w:t>Ranges from 0 to 1 (0 = total absence of blinding; 0.5 = completely random blinding; and 1 = complete blinding).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E5BCD"/>
    <w:rsid w:val="179F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379</Characters>
  <Lines>0</Lines>
  <Paragraphs>0</Paragraphs>
  <TotalTime>0</TotalTime>
  <ScaleCrop>false</ScaleCrop>
  <LinksUpToDate>false</LinksUpToDate>
  <CharactersWithSpaces>427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2025-01-22T14:41:00Z</dcterms:created>
  <dc:creator>华为</dc:creator>
  <cp:lastModifiedBy>鬼马~倩</cp:lastModifiedBy>
  <dcterms:modified xsi:type="dcterms:W3CDTF">2025-01-22T15:12:00Z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eyJoZGlkIjoiNDFjMTljMDQ0OGE5YjAyNjE3MTFjZWIxNzhmZWZlOTkiLCJ1c2VySWQiOiIzNDk2NzAzNTcifQ==</vt:lpwstr>
  </property>
  <property fmtid="{D5CDD505-2E9C-101B-9397-08002B2CF9AE}" pid="4" name="ICV">
    <vt:lpwstr>CB84A9D39007448C9595E7D7CA46CB62_12</vt:lpwstr>
  </property>
</Properties>
</file>