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89DB6">
      <w:pPr>
        <w:rPr>
          <w:rFonts w:hint="eastAsia" w:ascii="Arial Black" w:hAnsi="Arial Black" w:cs="Arial Black"/>
          <w:sz w:val="18"/>
          <w:szCs w:val="18"/>
        </w:rPr>
      </w:pPr>
    </w:p>
    <w:p w14:paraId="6B126621">
      <w:pPr>
        <w:rPr>
          <w:rFonts w:hint="eastAsia" w:ascii="Arial Black" w:hAnsi="Arial Black" w:cs="Arial Black"/>
          <w:sz w:val="18"/>
          <w:szCs w:val="18"/>
        </w:rPr>
      </w:pPr>
    </w:p>
    <w:p w14:paraId="1B586B51">
      <w:pPr>
        <w:rPr>
          <w:rFonts w:hint="eastAsia" w:ascii="Arial Black" w:hAnsi="Arial Black" w:cs="Arial Black"/>
          <w:sz w:val="18"/>
          <w:szCs w:val="18"/>
        </w:rPr>
      </w:pPr>
      <w:bookmarkStart w:id="0" w:name="_GoBack"/>
      <w:bookmarkEnd w:id="0"/>
      <w:r>
        <w:rPr>
          <w:rFonts w:hint="eastAsia" w:ascii="Arial Black" w:hAnsi="Arial Black" w:cs="Arial Black"/>
          <w:sz w:val="18"/>
          <w:szCs w:val="18"/>
        </w:rPr>
        <w:t>TABLE 3 Visual analogue scale of pain scores at the baseline, 1th week,3th week,6th weeks and 12th weeks after the injection.</w:t>
      </w:r>
    </w:p>
    <w:tbl>
      <w:tblPr>
        <w:tblStyle w:val="3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2645"/>
        <w:gridCol w:w="2499"/>
        <w:gridCol w:w="800"/>
        <w:gridCol w:w="660"/>
      </w:tblGrid>
      <w:tr w14:paraId="5733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1C11DA92">
            <w:pPr>
              <w:rPr>
                <w:color w:val="000000"/>
                <w:sz w:val="16"/>
                <w:szCs w:val="18"/>
              </w:rPr>
            </w:pPr>
          </w:p>
        </w:tc>
        <w:tc>
          <w:tcPr>
            <w:tcW w:w="2645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7CFE461E"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Group 2 (N = </w:t>
            </w:r>
            <w:r>
              <w:rPr>
                <w:rFonts w:hint="eastAsia" w:ascii="Times New Roman" w:hAnsi="Times New Roman" w:eastAsia="宋体" w:cs="Times New Roman"/>
                <w:color w:val="000000"/>
              </w:rPr>
              <w:t>44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W w:w="2499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4CA71D1A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Group 1 (N = </w:t>
            </w:r>
            <w:r>
              <w:rPr>
                <w:rFonts w:hint="eastAsia" w:ascii="Times New Roman" w:hAnsi="Times New Roman" w:eastAsia="宋体" w:cs="Times New Roman"/>
                <w:color w:val="000000"/>
              </w:rPr>
              <w:t>45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)</w:t>
            </w:r>
          </w:p>
        </w:tc>
        <w:tc>
          <w:tcPr>
            <w:tcW w:w="800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2C8F1BAB">
            <w:pPr>
              <w:rPr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t/x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/z</w:t>
            </w:r>
          </w:p>
        </w:tc>
        <w:tc>
          <w:tcPr>
            <w:tcW w:w="660" w:type="dxa"/>
            <w:tcBorders>
              <w:top w:val="single" w:color="000000" w:sz="12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1DB7A752">
            <w:pPr>
              <w:jc w:val="center"/>
              <w:rPr>
                <w:color w:val="000000"/>
                <w:sz w:val="16"/>
                <w:szCs w:val="18"/>
              </w:rPr>
            </w:pPr>
            <w:r>
              <w:rPr>
                <w:rFonts w:hint="eastAsia"/>
                <w:i/>
                <w:i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26E25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74517BF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rest </w:t>
            </w:r>
            <w:r>
              <w:rPr>
                <w:rFonts w:hint="eastAsia" w:ascii="Segoe UI" w:hAnsi="Segoe UI" w:eastAsia="Segoe UI" w:cs="Segoe UI"/>
                <w:sz w:val="11"/>
                <w:szCs w:val="11"/>
                <w:shd w:val="clear" w:color="auto" w:fill="FFFFFF"/>
              </w:rPr>
              <w:t xml:space="preserve">  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baseline</w:t>
            </w:r>
          </w:p>
        </w:tc>
        <w:tc>
          <w:tcPr>
            <w:tcW w:w="2645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67E09F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3(2,4)</w:t>
            </w:r>
          </w:p>
        </w:tc>
        <w:tc>
          <w:tcPr>
            <w:tcW w:w="2499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7CEF419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3(2,4)</w:t>
            </w:r>
          </w:p>
        </w:tc>
        <w:tc>
          <w:tcPr>
            <w:tcW w:w="80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B74A5A1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-.140</w:t>
            </w:r>
          </w:p>
        </w:tc>
        <w:tc>
          <w:tcPr>
            <w:tcW w:w="660" w:type="dxa"/>
            <w:tcBorders>
              <w:top w:val="single" w:color="000000" w:sz="12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5D6E004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.889</w:t>
            </w:r>
          </w:p>
        </w:tc>
      </w:tr>
      <w:tr w14:paraId="4DDBE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FDE6A14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night </w:t>
            </w:r>
            <w:r>
              <w:rPr>
                <w:rFonts w:hint="eastAsia" w:ascii="Segoe UI" w:hAnsi="Segoe UI" w:eastAsia="Segoe UI" w:cs="Segoe UI"/>
                <w:b/>
                <w:bCs/>
                <w:sz w:val="14"/>
                <w:szCs w:val="14"/>
                <w:shd w:val="clear" w:color="auto" w:fill="FFFFFF"/>
              </w:rPr>
              <w:t xml:space="preserve">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baseline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5E238A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5(5,6)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95A43C1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5(5,6)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66E1466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-979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A6F9886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.327</w:t>
            </w:r>
          </w:p>
        </w:tc>
      </w:tr>
      <w:tr w14:paraId="261EE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5207C80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during motion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baseline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9604A9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5(5,6)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F14DC17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5(5,6)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148D9C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-.244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4C85C49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.807</w:t>
            </w:r>
          </w:p>
        </w:tc>
      </w:tr>
      <w:tr w14:paraId="10FD3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5451304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rest 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1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104B2A4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2(2,3)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9FF8410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2(2,3)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54A2EEC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-.345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A859645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.730</w:t>
            </w:r>
          </w:p>
        </w:tc>
      </w:tr>
      <w:tr w14:paraId="3432E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0A1A90B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night </w:t>
            </w:r>
            <w:r>
              <w:rPr>
                <w:rFonts w:hint="eastAsia" w:ascii="Segoe UI" w:hAnsi="Segoe UI" w:eastAsia="Segoe UI" w:cs="Segoe UI"/>
                <w:sz w:val="11"/>
                <w:szCs w:val="11"/>
                <w:shd w:val="clear" w:color="auto" w:fill="FFFFFF"/>
              </w:rPr>
              <w:t xml:space="preserve">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1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2BCA97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4(2,4)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238E53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3(3,4)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198343C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-.407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1972B33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.684</w:t>
            </w:r>
          </w:p>
        </w:tc>
      </w:tr>
      <w:tr w14:paraId="06694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D80BBD2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during motion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1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9771E80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4(3,5)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4B2542A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4(4,4)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7724AB5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-.930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8161CE6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.352</w:t>
            </w:r>
          </w:p>
        </w:tc>
      </w:tr>
      <w:tr w14:paraId="6166C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B6C06E3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rest  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3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4E8E3C5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2(1,3)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603DA4D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2(2,3)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A3F9565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-.764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4D12F60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.445</w:t>
            </w:r>
          </w:p>
        </w:tc>
      </w:tr>
      <w:tr w14:paraId="457F9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693C3D8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night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3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D8427CF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3(2,3)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30D2A1CD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3(2,3)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9E588DE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-.986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86B621D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.324</w:t>
            </w:r>
          </w:p>
        </w:tc>
      </w:tr>
      <w:tr w14:paraId="3A4E3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EEBDA66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during motion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3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C3DD9E3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4(3,4)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0C199AC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4(3,4)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DB12EA9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-1.868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5EB40AD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.062</w:t>
            </w:r>
          </w:p>
        </w:tc>
      </w:tr>
      <w:tr w14:paraId="2ED8B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9204ABF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>VAS at rest</w:t>
            </w:r>
            <w:r>
              <w:rPr>
                <w:rFonts w:hint="eastAsia" w:ascii="Segoe UI" w:hAnsi="Segoe UI" w:eastAsia="宋体" w:cs="Segoe UI"/>
                <w:sz w:val="14"/>
                <w:szCs w:val="14"/>
                <w:shd w:val="clear" w:color="auto" w:fill="FFFFFF"/>
              </w:rPr>
              <w:t xml:space="preserve">  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6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28A531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2(1,2)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754B519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2(1,3)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46AD3C6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-.324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6D80CFE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.746</w:t>
            </w:r>
          </w:p>
        </w:tc>
      </w:tr>
      <w:tr w14:paraId="2722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72651AD9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night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6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FDD6A9A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3(2,3)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FAF7E06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3(2,3)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D1AB2D6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-.086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7E10414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.932</w:t>
            </w:r>
          </w:p>
        </w:tc>
      </w:tr>
      <w:tr w14:paraId="4C474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4D71E1F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during motion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6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AA28984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3(3,4)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531670F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3(3,3)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B601977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-2.386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04986CF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.017*</w:t>
            </w:r>
          </w:p>
        </w:tc>
      </w:tr>
      <w:tr w14:paraId="0544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278DA1DE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rest 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12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11DA2E9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1.5(1,2)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0755487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1(1,2)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0993E72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-.014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0E5E80CE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.989</w:t>
            </w:r>
          </w:p>
        </w:tc>
      </w:tr>
      <w:tr w14:paraId="4C3F7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4B289D4B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at night     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12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1F849EC7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2(1,3)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8654957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2(2,3)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54A8EDBC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-.350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/>
          </w:tcPr>
          <w:p w14:paraId="6A8160D6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.727</w:t>
            </w:r>
          </w:p>
        </w:tc>
      </w:tr>
      <w:tr w14:paraId="2B9D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583DCF65">
            <w:pPr>
              <w:jc w:val="center"/>
              <w:rPr>
                <w:rFonts w:ascii="Segoe UI" w:hAnsi="Segoe UI" w:eastAsia="Segoe UI" w:cs="Segoe UI"/>
                <w:sz w:val="14"/>
                <w:szCs w:val="14"/>
                <w:shd w:val="clear" w:color="auto" w:fill="FFFFFF"/>
              </w:rPr>
            </w:pPr>
            <w:r>
              <w:rPr>
                <w:rFonts w:hint="eastAsia" w:ascii="Segoe UI" w:hAnsi="Segoe UI" w:eastAsia="Segoe UI" w:cs="Segoe UI"/>
                <w:sz w:val="14"/>
                <w:szCs w:val="14"/>
                <w:shd w:val="clear" w:color="auto" w:fill="FFFFFF"/>
              </w:rPr>
              <w:t xml:space="preserve">VAS during motion </w:t>
            </w:r>
            <w:r>
              <w:rPr>
                <w:rFonts w:hint="eastAsia" w:ascii="Segoe UI" w:hAnsi="Segoe UI" w:eastAsia="Segoe UI" w:cs="Segoe UI"/>
                <w:b/>
                <w:bCs/>
                <w:sz w:val="11"/>
                <w:szCs w:val="11"/>
                <w:shd w:val="clear" w:color="auto" w:fill="FFFFFF"/>
              </w:rPr>
              <w:t>12 week</w:t>
            </w:r>
          </w:p>
        </w:tc>
        <w:tc>
          <w:tcPr>
            <w:tcW w:w="2645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625B6378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3(3,3)</w:t>
            </w:r>
          </w:p>
        </w:tc>
        <w:tc>
          <w:tcPr>
            <w:tcW w:w="2499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DB8C7CE">
            <w:pPr>
              <w:jc w:val="center"/>
              <w:rPr>
                <w:color w:val="000000"/>
                <w:sz w:val="18"/>
                <w:szCs w:val="20"/>
              </w:rPr>
            </w:pPr>
            <w:r>
              <w:rPr>
                <w:rFonts w:hint="eastAsia"/>
                <w:color w:val="000000"/>
                <w:sz w:val="18"/>
                <w:szCs w:val="20"/>
              </w:rPr>
              <w:t>3(3,3)</w:t>
            </w:r>
          </w:p>
        </w:tc>
        <w:tc>
          <w:tcPr>
            <w:tcW w:w="80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0A026A05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-.827</w:t>
            </w:r>
          </w:p>
        </w:tc>
        <w:tc>
          <w:tcPr>
            <w:tcW w:w="660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000000" w:sz="12" w:space="0"/>
              <w:right w:val="single" w:color="FFFFFF" w:themeColor="background1" w:sz="4" w:space="0"/>
            </w:tcBorders>
            <w:shd w:val="clear" w:color="auto" w:fill="FFFFFF"/>
          </w:tcPr>
          <w:p w14:paraId="62F527EA">
            <w:pPr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20"/>
              </w:rPr>
              <w:t>.408</w:t>
            </w:r>
          </w:p>
        </w:tc>
      </w:tr>
    </w:tbl>
    <w:p w14:paraId="041DFEF5">
      <w:pPr>
        <w:spacing w:line="360" w:lineRule="auto"/>
        <w:jc w:val="both"/>
        <w:rPr>
          <w:rFonts w:ascii="Arial Narrow" w:hAnsi="Arial Narrow" w:cs="Arial Narrow"/>
          <w:sz w:val="18"/>
          <w:szCs w:val="20"/>
        </w:rPr>
      </w:pPr>
      <w:r>
        <w:rPr>
          <w:rFonts w:ascii="Arial Narrow" w:hAnsi="Arial Narrow" w:cs="Arial Narrow"/>
          <w:sz w:val="18"/>
          <w:szCs w:val="20"/>
        </w:rPr>
        <w:t>VAS scores are presented as median (</w:t>
      </w:r>
      <w:r>
        <w:rPr>
          <w:rFonts w:hint="eastAsia" w:ascii="Arial Narrow" w:hAnsi="Arial Narrow" w:cs="Arial Narrow"/>
          <w:sz w:val="18"/>
          <w:szCs w:val="20"/>
          <w:lang w:eastAsia="zh-CN"/>
        </w:rPr>
        <w:t>inter quartile</w:t>
      </w:r>
      <w:r>
        <w:rPr>
          <w:rFonts w:ascii="Arial Narrow" w:hAnsi="Arial Narrow" w:cs="Arial Narrow"/>
          <w:sz w:val="18"/>
          <w:szCs w:val="20"/>
        </w:rPr>
        <w:t xml:space="preserve"> range), p values pertain to between-group comparison for difference from baseline. * indicates p &lt; 0.05</w:t>
      </w:r>
      <w:r>
        <w:rPr>
          <w:rFonts w:hint="eastAsia" w:ascii="Arial Narrow" w:hAnsi="Arial Narrow" w:cs="Arial Narrow"/>
          <w:sz w:val="18"/>
          <w:szCs w:val="20"/>
        </w:rPr>
        <w:t>.</w:t>
      </w:r>
      <w:r>
        <w:rPr>
          <w:rFonts w:ascii="Arial Narrow" w:hAnsi="Arial Narrow" w:cs="Arial Narrow"/>
          <w:sz w:val="18"/>
          <w:szCs w:val="20"/>
        </w:rPr>
        <w:t>Group 1 indicates hydrodilatation though the posterior glenohumeral recess, whereas Group 2 indicates hydrodilatation through the rotator cuff interval.</w:t>
      </w:r>
    </w:p>
    <w:p w14:paraId="5A4456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4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2025-01-22T14:39:48Z</dcterms:created>
  <dc:creator>华为</dc:creator>
  <cp:lastModifiedBy>鬼马~倩</cp:lastModifiedBy>
  <dcterms:modified xsi:type="dcterms:W3CDTF">2025-01-22T14:40:05Z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eyJoZGlkIjoiNDFjMTljMDQ0OGE5YjAyNjE3MTFjZWIxNzhmZWZlOTkiLCJ1c2VySWQiOiIzNDk2NzAzNTcifQ==</vt:lpwstr>
  </property>
  <property fmtid="{D5CDD505-2E9C-101B-9397-08002B2CF9AE}" pid="4" name="ICV">
    <vt:lpwstr>4783D6A8BF5C41239619B1B640BF00C6_12</vt:lpwstr>
  </property>
</Properties>
</file>