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C7BD2" w14:textId="2B8678E3" w:rsidR="00044C31" w:rsidRPr="00B862D4" w:rsidRDefault="00044C31" w:rsidP="00044C31">
      <w:pPr>
        <w:bidi w:val="0"/>
        <w:rPr>
          <w:b/>
          <w:bCs/>
        </w:rPr>
      </w:pPr>
      <w:r>
        <w:rPr>
          <w:b/>
          <w:bCs/>
        </w:rPr>
        <w:t xml:space="preserve">Supplementary </w:t>
      </w:r>
      <w:r w:rsidRPr="00B862D4">
        <w:rPr>
          <w:b/>
          <w:bCs/>
        </w:rPr>
        <w:t xml:space="preserve">Table </w:t>
      </w:r>
      <w:r>
        <w:rPr>
          <w:b/>
          <w:bCs/>
        </w:rPr>
        <w:t>1</w:t>
      </w:r>
      <w:r w:rsidRPr="00B862D4">
        <w:rPr>
          <w:b/>
          <w:bCs/>
        </w:rPr>
        <w:t xml:space="preserve">: </w:t>
      </w:r>
      <w:r w:rsidR="005752A3">
        <w:rPr>
          <w:i/>
          <w:iCs/>
        </w:rPr>
        <w:t>Lab</w:t>
      </w:r>
      <w:r w:rsidRPr="005F1E14">
        <w:rPr>
          <w:i/>
          <w:iCs/>
        </w:rPr>
        <w:t xml:space="preserve"> minimal medium: Quantities refer to 600ml substrate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76"/>
        <w:gridCol w:w="3022"/>
      </w:tblGrid>
      <w:tr w:rsidR="00044C31" w14:paraId="70DA3A0B" w14:textId="77777777" w:rsidTr="00DC30FE">
        <w:tc>
          <w:tcPr>
            <w:tcW w:w="2976" w:type="dxa"/>
          </w:tcPr>
          <w:p w14:paraId="19C6D3B9" w14:textId="77777777" w:rsidR="00044C31" w:rsidRPr="005F1E14" w:rsidRDefault="00044C31" w:rsidP="00DC30FE">
            <w:pPr>
              <w:bidi w:val="0"/>
              <w:rPr>
                <w:rFonts w:asciiTheme="majorBidi" w:hAnsiTheme="majorBidi" w:cstheme="majorBidi"/>
              </w:rPr>
            </w:pPr>
            <w:r w:rsidRPr="005F1E14">
              <w:rPr>
                <w:rFonts w:asciiTheme="majorBidi" w:hAnsiTheme="majorBidi" w:cstheme="majorBidi"/>
              </w:rPr>
              <w:t>ammonium sulphate</w:t>
            </w:r>
          </w:p>
        </w:tc>
        <w:tc>
          <w:tcPr>
            <w:tcW w:w="3022" w:type="dxa"/>
          </w:tcPr>
          <w:p w14:paraId="7BB52F08" w14:textId="77777777" w:rsidR="00044C31" w:rsidRPr="005F1E14" w:rsidRDefault="00044C31" w:rsidP="00DC30FE">
            <w:pPr>
              <w:bidi w:val="0"/>
              <w:rPr>
                <w:rFonts w:asciiTheme="majorBidi" w:hAnsiTheme="majorBidi" w:cstheme="majorBidi"/>
              </w:rPr>
            </w:pPr>
            <w:r w:rsidRPr="005F1E14">
              <w:rPr>
                <w:rFonts w:asciiTheme="majorBidi" w:hAnsiTheme="majorBidi" w:cstheme="majorBidi"/>
              </w:rPr>
              <w:t>0.6 gm</w:t>
            </w:r>
          </w:p>
        </w:tc>
      </w:tr>
      <w:tr w:rsidR="00044C31" w14:paraId="73DBBD3A" w14:textId="77777777" w:rsidTr="00DC30FE">
        <w:tc>
          <w:tcPr>
            <w:tcW w:w="2976" w:type="dxa"/>
          </w:tcPr>
          <w:p w14:paraId="7EF1A6D0" w14:textId="77777777" w:rsidR="00044C31" w:rsidRPr="005F1E14" w:rsidRDefault="00044C31" w:rsidP="00DC30FE">
            <w:pPr>
              <w:bidi w:val="0"/>
              <w:rPr>
                <w:rFonts w:asciiTheme="majorBidi" w:hAnsiTheme="majorBidi" w:cstheme="majorBidi"/>
              </w:rPr>
            </w:pPr>
            <w:r w:rsidRPr="005F1E14">
              <w:rPr>
                <w:rFonts w:asciiTheme="majorBidi" w:hAnsiTheme="majorBidi" w:cstheme="majorBidi"/>
              </w:rPr>
              <w:t>dipotassium phosphate</w:t>
            </w:r>
          </w:p>
        </w:tc>
        <w:tc>
          <w:tcPr>
            <w:tcW w:w="3022" w:type="dxa"/>
          </w:tcPr>
          <w:p w14:paraId="17996C48" w14:textId="77777777" w:rsidR="00044C31" w:rsidRPr="005F1E14" w:rsidRDefault="00044C31" w:rsidP="00DC30FE">
            <w:pPr>
              <w:bidi w:val="0"/>
              <w:rPr>
                <w:rFonts w:asciiTheme="majorBidi" w:hAnsiTheme="majorBidi" w:cstheme="majorBidi"/>
              </w:rPr>
            </w:pPr>
            <w:r w:rsidRPr="005F1E14">
              <w:rPr>
                <w:rFonts w:asciiTheme="majorBidi" w:hAnsiTheme="majorBidi" w:cstheme="majorBidi"/>
              </w:rPr>
              <w:t>4.2 gm</w:t>
            </w:r>
          </w:p>
        </w:tc>
      </w:tr>
      <w:tr w:rsidR="00044C31" w14:paraId="7959353C" w14:textId="77777777" w:rsidTr="00DC30FE">
        <w:tc>
          <w:tcPr>
            <w:tcW w:w="2976" w:type="dxa"/>
          </w:tcPr>
          <w:p w14:paraId="4FF74751" w14:textId="77777777" w:rsidR="00044C31" w:rsidRPr="005F1E14" w:rsidRDefault="00044C31" w:rsidP="00DC30FE">
            <w:pPr>
              <w:bidi w:val="0"/>
              <w:rPr>
                <w:rFonts w:asciiTheme="majorBidi" w:hAnsiTheme="majorBidi" w:cstheme="majorBidi"/>
              </w:rPr>
            </w:pPr>
            <w:r w:rsidRPr="005F1E14">
              <w:rPr>
                <w:rFonts w:asciiTheme="majorBidi" w:hAnsiTheme="majorBidi" w:cstheme="majorBidi"/>
              </w:rPr>
              <w:t>monopotassium phosphate</w:t>
            </w:r>
          </w:p>
        </w:tc>
        <w:tc>
          <w:tcPr>
            <w:tcW w:w="3022" w:type="dxa"/>
          </w:tcPr>
          <w:p w14:paraId="5C77C1F8" w14:textId="77777777" w:rsidR="00044C31" w:rsidRPr="005F1E14" w:rsidRDefault="00044C31" w:rsidP="00DC30FE">
            <w:pPr>
              <w:bidi w:val="0"/>
              <w:rPr>
                <w:rFonts w:asciiTheme="majorBidi" w:hAnsiTheme="majorBidi" w:cstheme="majorBidi"/>
              </w:rPr>
            </w:pPr>
            <w:r w:rsidRPr="005F1E14">
              <w:rPr>
                <w:rFonts w:asciiTheme="majorBidi" w:hAnsiTheme="majorBidi" w:cstheme="majorBidi"/>
              </w:rPr>
              <w:t>1.2 gm</w:t>
            </w:r>
          </w:p>
        </w:tc>
      </w:tr>
      <w:tr w:rsidR="00044C31" w14:paraId="2D6E5F2A" w14:textId="77777777" w:rsidTr="00DC30FE">
        <w:tc>
          <w:tcPr>
            <w:tcW w:w="2976" w:type="dxa"/>
          </w:tcPr>
          <w:p w14:paraId="6E5C3F72" w14:textId="77777777" w:rsidR="00044C31" w:rsidRPr="005F1E14" w:rsidRDefault="00044C31" w:rsidP="00DC30FE">
            <w:pPr>
              <w:bidi w:val="0"/>
              <w:rPr>
                <w:rFonts w:asciiTheme="majorBidi" w:hAnsiTheme="majorBidi" w:cstheme="majorBidi"/>
              </w:rPr>
            </w:pPr>
            <w:r w:rsidRPr="005F1E14">
              <w:rPr>
                <w:rFonts w:asciiTheme="majorBidi" w:hAnsiTheme="majorBidi" w:cstheme="majorBidi"/>
              </w:rPr>
              <w:t>sodium citrate</w:t>
            </w:r>
          </w:p>
        </w:tc>
        <w:tc>
          <w:tcPr>
            <w:tcW w:w="3022" w:type="dxa"/>
          </w:tcPr>
          <w:p w14:paraId="63FAF3F8" w14:textId="77777777" w:rsidR="00044C31" w:rsidRPr="005F1E14" w:rsidRDefault="00044C31" w:rsidP="00DC30FE">
            <w:pPr>
              <w:bidi w:val="0"/>
              <w:rPr>
                <w:rFonts w:asciiTheme="majorBidi" w:hAnsiTheme="majorBidi" w:cstheme="majorBidi"/>
              </w:rPr>
            </w:pPr>
            <w:r w:rsidRPr="005F1E14">
              <w:rPr>
                <w:rFonts w:asciiTheme="majorBidi" w:hAnsiTheme="majorBidi" w:cstheme="majorBidi"/>
              </w:rPr>
              <w:t>0.3 gm</w:t>
            </w:r>
          </w:p>
        </w:tc>
      </w:tr>
      <w:tr w:rsidR="00044C31" w14:paraId="55590117" w14:textId="77777777" w:rsidTr="00DC30FE">
        <w:tc>
          <w:tcPr>
            <w:tcW w:w="2976" w:type="dxa"/>
          </w:tcPr>
          <w:p w14:paraId="7E45A193" w14:textId="77777777" w:rsidR="00044C31" w:rsidRPr="005F1E14" w:rsidRDefault="00044C31" w:rsidP="00DC30FE">
            <w:pPr>
              <w:bidi w:val="0"/>
              <w:rPr>
                <w:rFonts w:asciiTheme="majorBidi" w:hAnsiTheme="majorBidi" w:cstheme="majorBidi"/>
              </w:rPr>
            </w:pPr>
            <w:r w:rsidRPr="005F1E14">
              <w:rPr>
                <w:rFonts w:asciiTheme="majorBidi" w:hAnsiTheme="majorBidi" w:cstheme="majorBidi"/>
              </w:rPr>
              <w:t>magnesium sulphate</w:t>
            </w:r>
          </w:p>
        </w:tc>
        <w:tc>
          <w:tcPr>
            <w:tcW w:w="3022" w:type="dxa"/>
          </w:tcPr>
          <w:p w14:paraId="50548401" w14:textId="77777777" w:rsidR="00044C31" w:rsidRPr="005F1E14" w:rsidRDefault="00044C31" w:rsidP="00DC30FE">
            <w:pPr>
              <w:bidi w:val="0"/>
              <w:rPr>
                <w:rFonts w:asciiTheme="majorBidi" w:hAnsiTheme="majorBidi" w:cstheme="majorBidi"/>
              </w:rPr>
            </w:pPr>
            <w:r w:rsidRPr="005F1E14">
              <w:rPr>
                <w:rFonts w:asciiTheme="majorBidi" w:hAnsiTheme="majorBidi" w:cstheme="majorBidi"/>
              </w:rPr>
              <w:t>0.06 gm</w:t>
            </w:r>
          </w:p>
        </w:tc>
      </w:tr>
      <w:tr w:rsidR="00044C31" w14:paraId="6DD4837D" w14:textId="77777777" w:rsidTr="00DC30FE">
        <w:tc>
          <w:tcPr>
            <w:tcW w:w="2976" w:type="dxa"/>
          </w:tcPr>
          <w:p w14:paraId="528BAA51" w14:textId="77777777" w:rsidR="00044C31" w:rsidRPr="005F1E14" w:rsidRDefault="00044C31" w:rsidP="00DC30FE">
            <w:pPr>
              <w:bidi w:val="0"/>
              <w:rPr>
                <w:rFonts w:asciiTheme="majorBidi" w:hAnsiTheme="majorBidi" w:cstheme="majorBidi"/>
              </w:rPr>
            </w:pPr>
            <w:r w:rsidRPr="005F1E14">
              <w:rPr>
                <w:rFonts w:asciiTheme="majorBidi" w:hAnsiTheme="majorBidi" w:cstheme="majorBidi"/>
              </w:rPr>
              <w:t>distilled water</w:t>
            </w:r>
          </w:p>
        </w:tc>
        <w:tc>
          <w:tcPr>
            <w:tcW w:w="3022" w:type="dxa"/>
          </w:tcPr>
          <w:p w14:paraId="5311D2E5" w14:textId="77777777" w:rsidR="00044C31" w:rsidRPr="005F1E14" w:rsidRDefault="00044C31" w:rsidP="00DC30FE">
            <w:pPr>
              <w:bidi w:val="0"/>
              <w:rPr>
                <w:rFonts w:asciiTheme="majorBidi" w:hAnsiTheme="majorBidi" w:cstheme="majorBidi"/>
              </w:rPr>
            </w:pPr>
            <w:r w:rsidRPr="005F1E14">
              <w:rPr>
                <w:rFonts w:asciiTheme="majorBidi" w:hAnsiTheme="majorBidi" w:cstheme="majorBidi"/>
              </w:rPr>
              <w:t>600 ml</w:t>
            </w:r>
          </w:p>
        </w:tc>
      </w:tr>
      <w:tr w:rsidR="00044C31" w14:paraId="48E51BC3" w14:textId="77777777" w:rsidTr="00DC30FE">
        <w:tc>
          <w:tcPr>
            <w:tcW w:w="2976" w:type="dxa"/>
          </w:tcPr>
          <w:p w14:paraId="0CC54C9F" w14:textId="77777777" w:rsidR="00044C31" w:rsidRPr="005F1E14" w:rsidRDefault="00044C31" w:rsidP="00DC30FE">
            <w:pPr>
              <w:bidi w:val="0"/>
              <w:rPr>
                <w:rFonts w:asciiTheme="majorBidi" w:hAnsiTheme="majorBidi" w:cstheme="majorBidi"/>
              </w:rPr>
            </w:pPr>
            <w:r w:rsidRPr="005F1E14">
              <w:rPr>
                <w:rFonts w:asciiTheme="majorBidi" w:hAnsiTheme="majorBidi" w:cstheme="majorBidi"/>
              </w:rPr>
              <w:t>Agar</w:t>
            </w:r>
          </w:p>
        </w:tc>
        <w:tc>
          <w:tcPr>
            <w:tcW w:w="3022" w:type="dxa"/>
          </w:tcPr>
          <w:p w14:paraId="08192D22" w14:textId="77777777" w:rsidR="00044C31" w:rsidRPr="005F1E14" w:rsidRDefault="00044C31" w:rsidP="00DC30FE">
            <w:pPr>
              <w:bidi w:val="0"/>
              <w:rPr>
                <w:rFonts w:asciiTheme="majorBidi" w:hAnsiTheme="majorBidi" w:cstheme="majorBidi"/>
              </w:rPr>
            </w:pPr>
            <w:r w:rsidRPr="005F1E14">
              <w:rPr>
                <w:rFonts w:asciiTheme="majorBidi" w:hAnsiTheme="majorBidi" w:cstheme="majorBidi"/>
              </w:rPr>
              <w:t>9 gm</w:t>
            </w:r>
          </w:p>
        </w:tc>
      </w:tr>
      <w:tr w:rsidR="00044C31" w14:paraId="0316AB36" w14:textId="77777777" w:rsidTr="00DC30FE">
        <w:tc>
          <w:tcPr>
            <w:tcW w:w="2976" w:type="dxa"/>
          </w:tcPr>
          <w:p w14:paraId="1866DA57" w14:textId="77777777" w:rsidR="00044C31" w:rsidRPr="005F1E14" w:rsidRDefault="00044C31" w:rsidP="00DC30FE">
            <w:pPr>
              <w:bidi w:val="0"/>
              <w:rPr>
                <w:rFonts w:asciiTheme="majorBidi" w:hAnsiTheme="majorBidi" w:cstheme="majorBidi"/>
              </w:rPr>
            </w:pPr>
            <w:r w:rsidRPr="005F1E14">
              <w:rPr>
                <w:rFonts w:asciiTheme="majorBidi" w:hAnsiTheme="majorBidi" w:cstheme="majorBidi"/>
              </w:rPr>
              <w:t>Sugar %2 (glucose/sucrose/fructose)</w:t>
            </w:r>
          </w:p>
        </w:tc>
        <w:tc>
          <w:tcPr>
            <w:tcW w:w="3022" w:type="dxa"/>
          </w:tcPr>
          <w:p w14:paraId="3CD2EE8F" w14:textId="77777777" w:rsidR="00044C31" w:rsidRPr="005F1E14" w:rsidRDefault="00044C31" w:rsidP="00DC30FE">
            <w:pPr>
              <w:bidi w:val="0"/>
              <w:rPr>
                <w:rFonts w:asciiTheme="majorBidi" w:hAnsiTheme="majorBidi" w:cstheme="majorBidi"/>
              </w:rPr>
            </w:pPr>
            <w:r w:rsidRPr="005F1E14">
              <w:rPr>
                <w:rFonts w:asciiTheme="majorBidi" w:hAnsiTheme="majorBidi" w:cstheme="majorBidi"/>
              </w:rPr>
              <w:t>120 gm</w:t>
            </w:r>
          </w:p>
        </w:tc>
      </w:tr>
    </w:tbl>
    <w:p w14:paraId="71ABFBE4" w14:textId="77777777" w:rsidR="00044C31" w:rsidRDefault="00044C31" w:rsidP="00800A97">
      <w:pPr>
        <w:bidi w:val="0"/>
        <w:rPr>
          <w:b/>
          <w:bCs/>
        </w:rPr>
      </w:pPr>
    </w:p>
    <w:p w14:paraId="69902432" w14:textId="50D47690" w:rsidR="00AB23A6" w:rsidRPr="00690EB9" w:rsidRDefault="00AB23A6" w:rsidP="00AB23A6">
      <w:pPr>
        <w:bidi w:val="0"/>
        <w:spacing w:line="276" w:lineRule="auto"/>
        <w:rPr>
          <w:b/>
          <w:bCs/>
        </w:rPr>
      </w:pPr>
      <w:r>
        <w:rPr>
          <w:b/>
          <w:bCs/>
        </w:rPr>
        <w:t xml:space="preserve">Supplementary </w:t>
      </w:r>
      <w:r w:rsidRPr="00690EB9">
        <w:rPr>
          <w:b/>
          <w:bCs/>
        </w:rPr>
        <w:t xml:space="preserve">Table </w:t>
      </w:r>
      <w:r>
        <w:rPr>
          <w:b/>
          <w:bCs/>
        </w:rPr>
        <w:t>2</w:t>
      </w:r>
      <w:r w:rsidRPr="00690EB9">
        <w:rPr>
          <w:b/>
          <w:bCs/>
        </w:rPr>
        <w:t xml:space="preserve">: </w:t>
      </w:r>
      <w:r w:rsidRPr="00643FCB">
        <w:rPr>
          <w:b/>
          <w:bCs/>
        </w:rPr>
        <w:t xml:space="preserve">Composition of the </w:t>
      </w:r>
      <w:r w:rsidRPr="00643FCB">
        <w:rPr>
          <w:b/>
          <w:bCs/>
          <w:i/>
          <w:iCs/>
        </w:rPr>
        <w:t>In Silico</w:t>
      </w:r>
      <w:r w:rsidRPr="00643FCB">
        <w:rPr>
          <w:b/>
          <w:bCs/>
        </w:rPr>
        <w:t xml:space="preserve"> Apple</w:t>
      </w:r>
      <w:r w:rsidR="007F123A">
        <w:rPr>
          <w:b/>
          <w:bCs/>
        </w:rPr>
        <w:t>-like</w:t>
      </w:r>
      <w:r w:rsidRPr="00643FCB">
        <w:rPr>
          <w:b/>
          <w:bCs/>
        </w:rPr>
        <w:t xml:space="preserve"> Medium </w:t>
      </w:r>
      <w:r w:rsidRPr="00643FCB">
        <w:rPr>
          <w:i/>
          <w:iCs/>
        </w:rPr>
        <w:t>Concentrations reflects the specific abundance of apple exudates</w:t>
      </w:r>
      <w:r>
        <w:rPr>
          <w:i/>
          <w:iCs/>
        </w:rPr>
        <w:t xml:space="preserve"> </w:t>
      </w:r>
      <w:sdt>
        <w:sdtPr>
          <w:rPr>
            <w:rFonts w:ascii="Calibri" w:hAnsi="Calibri" w:cs="Calibri"/>
            <w:i/>
            <w:iCs/>
            <w:color w:val="000000"/>
          </w:rPr>
          <w:tag w:val="MENDELEY_CITATION_v3_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"/>
          <w:id w:val="1452205726"/>
          <w:placeholder>
            <w:docPart w:val="22AB00FB8FEF4686A14950831C71343C"/>
          </w:placeholder>
        </w:sdtPr>
        <w:sdtEndPr/>
        <w:sdtContent>
          <w:r w:rsidR="00B93FEB" w:rsidRPr="00B93FEB">
            <w:rPr>
              <w:rFonts w:ascii="Calibri" w:hAnsi="Calibri" w:cs="Calibri"/>
              <w:i/>
              <w:iCs/>
              <w:color w:val="000000"/>
            </w:rPr>
            <w:t>(</w:t>
          </w:r>
          <w:r w:rsidR="006405C9">
            <w:rPr>
              <w:rFonts w:ascii="Calibri" w:hAnsi="Calibri" w:cs="Calibri"/>
              <w:i/>
              <w:iCs/>
              <w:color w:val="000000"/>
            </w:rPr>
            <w:t>45</w:t>
          </w:r>
          <w:r w:rsidR="00B93FEB" w:rsidRPr="00B93FEB">
            <w:rPr>
              <w:rFonts w:ascii="Calibri" w:hAnsi="Calibri" w:cs="Calibri"/>
              <w:i/>
              <w:iCs/>
              <w:color w:val="000000"/>
            </w:rPr>
            <w:t>)</w:t>
          </w:r>
        </w:sdtContent>
      </w:sdt>
      <w:r w:rsidRPr="00643FCB">
        <w:rPr>
          <w:i/>
          <w:iCs/>
        </w:rPr>
        <w:t>. Trace elements and vitamins were set to non-limiting bounds (1000.0) to prevent artificial limitation.</w:t>
      </w:r>
    </w:p>
    <w:tbl>
      <w:tblPr>
        <w:tblStyle w:val="PlainTable2"/>
        <w:tblW w:w="7435" w:type="dxa"/>
        <w:tblLayout w:type="fixed"/>
        <w:tblLook w:val="04A0" w:firstRow="1" w:lastRow="0" w:firstColumn="1" w:lastColumn="0" w:noHBand="0" w:noVBand="1"/>
      </w:tblPr>
      <w:tblGrid>
        <w:gridCol w:w="2966"/>
        <w:gridCol w:w="2414"/>
        <w:gridCol w:w="2055"/>
      </w:tblGrid>
      <w:tr w:rsidR="00AB23A6" w:rsidRPr="004727C2" w14:paraId="0E7D084C" w14:textId="77777777" w:rsidTr="00DC30F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tcPr>
          <w:p w14:paraId="59C9803C" w14:textId="77777777" w:rsidR="00AB23A6" w:rsidRPr="008F16B4" w:rsidRDefault="00AB23A6" w:rsidP="00DC30FE">
            <w:pPr>
              <w:bidi w:val="0"/>
              <w:jc w:val="center"/>
              <w:rPr>
                <w:rFonts w:asciiTheme="majorBidi" w:hAnsiTheme="majorBidi" w:cstheme="majorBidi"/>
              </w:rPr>
            </w:pPr>
          </w:p>
        </w:tc>
        <w:tc>
          <w:tcPr>
            <w:tcW w:w="2414" w:type="dxa"/>
            <w:hideMark/>
          </w:tcPr>
          <w:p w14:paraId="2249511F" w14:textId="77777777" w:rsidR="00AB23A6" w:rsidRPr="008F16B4" w:rsidRDefault="00AB23A6" w:rsidP="00DC30FE">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Compound</w:t>
            </w:r>
          </w:p>
        </w:tc>
        <w:tc>
          <w:tcPr>
            <w:tcW w:w="2055" w:type="dxa"/>
            <w:hideMark/>
          </w:tcPr>
          <w:p w14:paraId="71B9C523" w14:textId="77777777" w:rsidR="00AB23A6" w:rsidRPr="008F16B4" w:rsidRDefault="005B0F9B" w:rsidP="00DC30FE">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m:oMath>
              <m:sSub>
                <m:sSubPr>
                  <m:ctrlPr>
                    <w:rPr>
                      <w:rFonts w:ascii="Cambria Math" w:hAnsi="Cambria Math" w:cstheme="majorBidi"/>
                      <w:i/>
                    </w:rPr>
                  </m:ctrlPr>
                </m:sSubPr>
                <m:e>
                  <m:r>
                    <m:rPr>
                      <m:scr m:val="script"/>
                      <m:sty m:val="bi"/>
                    </m:rPr>
                    <w:rPr>
                      <w:rFonts w:ascii="Cambria Math" w:hAnsi="Cambria Math" w:cstheme="majorBidi"/>
                    </w:rPr>
                    <m:t>S</m:t>
                  </m:r>
                </m:e>
                <m:sub>
                  <m:r>
                    <m:rPr>
                      <m:sty m:val="bi"/>
                    </m:rPr>
                    <w:rPr>
                      <w:rFonts w:ascii="Cambria Math" w:hAnsi="Cambria Math" w:cstheme="majorBidi"/>
                    </w:rPr>
                    <m:t>0</m:t>
                  </m:r>
                </m:sub>
              </m:sSub>
            </m:oMath>
            <w:r w:rsidR="00AB23A6" w:rsidRPr="008F16B4">
              <w:rPr>
                <w:rFonts w:asciiTheme="majorBidi" w:hAnsiTheme="majorBidi" w:cstheme="majorBidi"/>
              </w:rPr>
              <w:t xml:space="preserve"> (Concentration)</w:t>
            </w:r>
          </w:p>
          <w:p w14:paraId="7ECCB65D" w14:textId="77777777" w:rsidR="00AB23A6" w:rsidRPr="008F16B4" w:rsidRDefault="00AB23A6" w:rsidP="00DC30FE">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r>
      <w:tr w:rsidR="00AB23A6" w:rsidRPr="004727C2" w14:paraId="46BFA526"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val="restart"/>
          </w:tcPr>
          <w:p w14:paraId="6DB3FE7C" w14:textId="77777777" w:rsidR="00AB23A6" w:rsidRPr="008F16B4" w:rsidRDefault="00AB23A6" w:rsidP="00DC30FE">
            <w:pPr>
              <w:bidi w:val="0"/>
              <w:jc w:val="center"/>
              <w:rPr>
                <w:rFonts w:asciiTheme="majorBidi" w:hAnsiTheme="majorBidi" w:cstheme="majorBidi"/>
              </w:rPr>
            </w:pPr>
            <w:r w:rsidRPr="008F16B4">
              <w:rPr>
                <w:rFonts w:asciiTheme="majorBidi" w:hAnsiTheme="majorBidi" w:cstheme="majorBidi"/>
              </w:rPr>
              <w:t>Sugars</w:t>
            </w:r>
          </w:p>
        </w:tc>
        <w:tc>
          <w:tcPr>
            <w:tcW w:w="2414" w:type="dxa"/>
            <w:hideMark/>
          </w:tcPr>
          <w:p w14:paraId="2D36C1B3"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D-Fructose</w:t>
            </w:r>
          </w:p>
        </w:tc>
        <w:tc>
          <w:tcPr>
            <w:tcW w:w="2055" w:type="dxa"/>
            <w:hideMark/>
          </w:tcPr>
          <w:p w14:paraId="28B1C42C"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350.0</w:t>
            </w:r>
          </w:p>
        </w:tc>
      </w:tr>
      <w:tr w:rsidR="00AB23A6" w:rsidRPr="004727C2" w14:paraId="2EBB02A4"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412F827D" w14:textId="77777777" w:rsidR="00AB23A6" w:rsidRPr="008F16B4" w:rsidRDefault="00AB23A6" w:rsidP="00DC30FE">
            <w:pPr>
              <w:bidi w:val="0"/>
              <w:jc w:val="center"/>
              <w:rPr>
                <w:rFonts w:asciiTheme="majorBidi" w:hAnsiTheme="majorBidi" w:cstheme="majorBidi"/>
              </w:rPr>
            </w:pPr>
          </w:p>
        </w:tc>
        <w:tc>
          <w:tcPr>
            <w:tcW w:w="2414" w:type="dxa"/>
            <w:hideMark/>
          </w:tcPr>
          <w:p w14:paraId="56ADCD86"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D-Glucose</w:t>
            </w:r>
          </w:p>
        </w:tc>
        <w:tc>
          <w:tcPr>
            <w:tcW w:w="2055" w:type="dxa"/>
            <w:hideMark/>
          </w:tcPr>
          <w:p w14:paraId="64B27EE5"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120.0</w:t>
            </w:r>
          </w:p>
        </w:tc>
      </w:tr>
      <w:tr w:rsidR="00AB23A6" w:rsidRPr="004727C2" w14:paraId="789301F1"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5761132F" w14:textId="77777777" w:rsidR="00AB23A6" w:rsidRPr="008F16B4" w:rsidRDefault="00AB23A6" w:rsidP="00DC30FE">
            <w:pPr>
              <w:bidi w:val="0"/>
              <w:jc w:val="center"/>
              <w:rPr>
                <w:rFonts w:asciiTheme="majorBidi" w:hAnsiTheme="majorBidi" w:cstheme="majorBidi"/>
              </w:rPr>
            </w:pPr>
          </w:p>
        </w:tc>
        <w:tc>
          <w:tcPr>
            <w:tcW w:w="2414" w:type="dxa"/>
            <w:hideMark/>
          </w:tcPr>
          <w:p w14:paraId="4229E876"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Sucrose</w:t>
            </w:r>
          </w:p>
        </w:tc>
        <w:tc>
          <w:tcPr>
            <w:tcW w:w="2055" w:type="dxa"/>
            <w:hideMark/>
          </w:tcPr>
          <w:p w14:paraId="5CC7D068"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80.0</w:t>
            </w:r>
          </w:p>
        </w:tc>
      </w:tr>
      <w:tr w:rsidR="00AB23A6" w:rsidRPr="004727C2" w14:paraId="1C5076D7"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3ABE646D" w14:textId="77777777" w:rsidR="00AB23A6" w:rsidRPr="008F16B4" w:rsidRDefault="00AB23A6" w:rsidP="00DC30FE">
            <w:pPr>
              <w:bidi w:val="0"/>
              <w:jc w:val="center"/>
              <w:rPr>
                <w:rFonts w:asciiTheme="majorBidi" w:hAnsiTheme="majorBidi" w:cstheme="majorBidi"/>
              </w:rPr>
            </w:pPr>
          </w:p>
        </w:tc>
        <w:tc>
          <w:tcPr>
            <w:tcW w:w="2414" w:type="dxa"/>
            <w:hideMark/>
          </w:tcPr>
          <w:p w14:paraId="351F7666"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D-Sorbitol</w:t>
            </w:r>
          </w:p>
        </w:tc>
        <w:tc>
          <w:tcPr>
            <w:tcW w:w="2055" w:type="dxa"/>
            <w:hideMark/>
          </w:tcPr>
          <w:p w14:paraId="130E07DD"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40.0</w:t>
            </w:r>
          </w:p>
        </w:tc>
      </w:tr>
      <w:tr w:rsidR="00AB23A6" w:rsidRPr="004727C2" w14:paraId="57C7434E"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55EBC981" w14:textId="77777777" w:rsidR="00AB23A6" w:rsidRPr="008F16B4" w:rsidRDefault="00AB23A6" w:rsidP="00DC30FE">
            <w:pPr>
              <w:bidi w:val="0"/>
              <w:jc w:val="center"/>
              <w:rPr>
                <w:rFonts w:asciiTheme="majorBidi" w:hAnsiTheme="majorBidi" w:cstheme="majorBidi"/>
              </w:rPr>
            </w:pPr>
          </w:p>
        </w:tc>
        <w:tc>
          <w:tcPr>
            <w:tcW w:w="2414" w:type="dxa"/>
          </w:tcPr>
          <w:p w14:paraId="519E4AEE"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L-Sorbitol</w:t>
            </w:r>
          </w:p>
        </w:tc>
        <w:tc>
          <w:tcPr>
            <w:tcW w:w="2055" w:type="dxa"/>
          </w:tcPr>
          <w:p w14:paraId="40AD69F9"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5.0</w:t>
            </w:r>
          </w:p>
        </w:tc>
      </w:tr>
      <w:tr w:rsidR="00AB23A6" w:rsidRPr="004727C2" w14:paraId="05ED04B6"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val="restart"/>
          </w:tcPr>
          <w:p w14:paraId="126DFCFA" w14:textId="77777777" w:rsidR="00AB23A6" w:rsidRPr="008F16B4" w:rsidRDefault="00AB23A6" w:rsidP="00DC30FE">
            <w:pPr>
              <w:bidi w:val="0"/>
              <w:jc w:val="center"/>
              <w:rPr>
                <w:rFonts w:asciiTheme="majorBidi" w:hAnsiTheme="majorBidi" w:cstheme="majorBidi"/>
              </w:rPr>
            </w:pPr>
            <w:r w:rsidRPr="008F16B4">
              <w:rPr>
                <w:rFonts w:asciiTheme="majorBidi" w:hAnsiTheme="majorBidi" w:cstheme="majorBidi"/>
              </w:rPr>
              <w:t>Organic Acids</w:t>
            </w:r>
          </w:p>
        </w:tc>
        <w:tc>
          <w:tcPr>
            <w:tcW w:w="2414" w:type="dxa"/>
            <w:hideMark/>
          </w:tcPr>
          <w:p w14:paraId="208EBD0B"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L-Malic acid</w:t>
            </w:r>
          </w:p>
        </w:tc>
        <w:tc>
          <w:tcPr>
            <w:tcW w:w="2055" w:type="dxa"/>
            <w:hideMark/>
          </w:tcPr>
          <w:p w14:paraId="1EF707A5"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45.0</w:t>
            </w:r>
          </w:p>
        </w:tc>
      </w:tr>
      <w:tr w:rsidR="00AB23A6" w:rsidRPr="004727C2" w14:paraId="58AB0370"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70DA5D55" w14:textId="77777777" w:rsidR="00AB23A6" w:rsidRPr="008F16B4" w:rsidRDefault="00AB23A6" w:rsidP="00DC30FE">
            <w:pPr>
              <w:bidi w:val="0"/>
              <w:jc w:val="center"/>
              <w:rPr>
                <w:rFonts w:asciiTheme="majorBidi" w:hAnsiTheme="majorBidi" w:cstheme="majorBidi"/>
              </w:rPr>
            </w:pPr>
          </w:p>
        </w:tc>
        <w:tc>
          <w:tcPr>
            <w:tcW w:w="2414" w:type="dxa"/>
            <w:hideMark/>
          </w:tcPr>
          <w:p w14:paraId="043B6DF5"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Citric acid</w:t>
            </w:r>
          </w:p>
        </w:tc>
        <w:tc>
          <w:tcPr>
            <w:tcW w:w="2055" w:type="dxa"/>
            <w:hideMark/>
          </w:tcPr>
          <w:p w14:paraId="76F60F04"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2.0</w:t>
            </w:r>
          </w:p>
        </w:tc>
      </w:tr>
      <w:tr w:rsidR="00AB23A6" w:rsidRPr="004727C2" w14:paraId="4FC9C18B"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33AFCA9C" w14:textId="77777777" w:rsidR="00AB23A6" w:rsidRPr="008F16B4" w:rsidRDefault="00AB23A6" w:rsidP="00DC30FE">
            <w:pPr>
              <w:bidi w:val="0"/>
              <w:jc w:val="center"/>
              <w:rPr>
                <w:rFonts w:asciiTheme="majorBidi" w:hAnsiTheme="majorBidi" w:cstheme="majorBidi"/>
              </w:rPr>
            </w:pPr>
          </w:p>
        </w:tc>
        <w:tc>
          <w:tcPr>
            <w:tcW w:w="2414" w:type="dxa"/>
            <w:hideMark/>
          </w:tcPr>
          <w:p w14:paraId="79FCA43A"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Succinic acid</w:t>
            </w:r>
          </w:p>
        </w:tc>
        <w:tc>
          <w:tcPr>
            <w:tcW w:w="2055" w:type="dxa"/>
            <w:hideMark/>
          </w:tcPr>
          <w:p w14:paraId="6C3531F0"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0.5</w:t>
            </w:r>
          </w:p>
        </w:tc>
      </w:tr>
      <w:tr w:rsidR="00AB23A6" w:rsidRPr="004727C2" w14:paraId="17FE3886"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0A12C6FE" w14:textId="77777777" w:rsidR="00AB23A6" w:rsidRPr="008F16B4" w:rsidRDefault="00AB23A6" w:rsidP="00DC30FE">
            <w:pPr>
              <w:bidi w:val="0"/>
              <w:jc w:val="center"/>
              <w:rPr>
                <w:rFonts w:asciiTheme="majorBidi" w:hAnsiTheme="majorBidi" w:cstheme="majorBidi"/>
              </w:rPr>
            </w:pPr>
          </w:p>
        </w:tc>
        <w:tc>
          <w:tcPr>
            <w:tcW w:w="2414" w:type="dxa"/>
            <w:hideMark/>
          </w:tcPr>
          <w:p w14:paraId="0D68BB6B"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Fumaric acid</w:t>
            </w:r>
          </w:p>
        </w:tc>
        <w:tc>
          <w:tcPr>
            <w:tcW w:w="2055" w:type="dxa"/>
            <w:hideMark/>
          </w:tcPr>
          <w:p w14:paraId="05EAB3BE"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0.1</w:t>
            </w:r>
          </w:p>
        </w:tc>
      </w:tr>
      <w:tr w:rsidR="00AB23A6" w:rsidRPr="004727C2" w14:paraId="69AD37EB"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val="restart"/>
          </w:tcPr>
          <w:p w14:paraId="0ECB1E83" w14:textId="77777777" w:rsidR="00AB23A6" w:rsidRPr="008F16B4" w:rsidRDefault="00AB23A6" w:rsidP="00DC30FE">
            <w:pPr>
              <w:bidi w:val="0"/>
              <w:jc w:val="center"/>
              <w:rPr>
                <w:rFonts w:asciiTheme="majorBidi" w:hAnsiTheme="majorBidi" w:cstheme="majorBidi"/>
              </w:rPr>
            </w:pPr>
            <w:r w:rsidRPr="008F16B4">
              <w:rPr>
                <w:rFonts w:asciiTheme="majorBidi" w:hAnsiTheme="majorBidi" w:cstheme="majorBidi"/>
              </w:rPr>
              <w:t>Amino Acids</w:t>
            </w:r>
          </w:p>
        </w:tc>
        <w:tc>
          <w:tcPr>
            <w:tcW w:w="2414" w:type="dxa"/>
            <w:hideMark/>
          </w:tcPr>
          <w:p w14:paraId="215E330D"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L-Asparagine</w:t>
            </w:r>
          </w:p>
        </w:tc>
        <w:tc>
          <w:tcPr>
            <w:tcW w:w="2055" w:type="dxa"/>
            <w:hideMark/>
          </w:tcPr>
          <w:p w14:paraId="35D93AB0"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3.0</w:t>
            </w:r>
          </w:p>
        </w:tc>
      </w:tr>
      <w:tr w:rsidR="00AB23A6" w:rsidRPr="004727C2" w14:paraId="482D4C61"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3547253D" w14:textId="77777777" w:rsidR="00AB23A6" w:rsidRPr="008F16B4" w:rsidRDefault="00AB23A6" w:rsidP="00DC30FE">
            <w:pPr>
              <w:bidi w:val="0"/>
              <w:jc w:val="center"/>
              <w:rPr>
                <w:rFonts w:asciiTheme="majorBidi" w:hAnsiTheme="majorBidi" w:cstheme="majorBidi"/>
              </w:rPr>
            </w:pPr>
          </w:p>
        </w:tc>
        <w:tc>
          <w:tcPr>
            <w:tcW w:w="2414" w:type="dxa"/>
            <w:hideMark/>
          </w:tcPr>
          <w:p w14:paraId="056C5A19"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L-Serine</w:t>
            </w:r>
          </w:p>
        </w:tc>
        <w:tc>
          <w:tcPr>
            <w:tcW w:w="2055" w:type="dxa"/>
            <w:hideMark/>
          </w:tcPr>
          <w:p w14:paraId="28C928C1"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w:t>
            </w:r>
          </w:p>
        </w:tc>
      </w:tr>
      <w:tr w:rsidR="00AB23A6" w:rsidRPr="004727C2" w14:paraId="54FC7427"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0CD7FE08" w14:textId="77777777" w:rsidR="00AB23A6" w:rsidRPr="008F16B4" w:rsidRDefault="00AB23A6" w:rsidP="00DC30FE">
            <w:pPr>
              <w:bidi w:val="0"/>
              <w:jc w:val="center"/>
              <w:rPr>
                <w:rFonts w:asciiTheme="majorBidi" w:hAnsiTheme="majorBidi" w:cstheme="majorBidi"/>
              </w:rPr>
            </w:pPr>
          </w:p>
        </w:tc>
        <w:tc>
          <w:tcPr>
            <w:tcW w:w="2414" w:type="dxa"/>
            <w:hideMark/>
          </w:tcPr>
          <w:p w14:paraId="553935BF"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L-Aspartic acid</w:t>
            </w:r>
          </w:p>
        </w:tc>
        <w:tc>
          <w:tcPr>
            <w:tcW w:w="2055" w:type="dxa"/>
            <w:hideMark/>
          </w:tcPr>
          <w:p w14:paraId="0ECFCD1C"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4.0</w:t>
            </w:r>
          </w:p>
        </w:tc>
      </w:tr>
      <w:tr w:rsidR="00AB23A6" w:rsidRPr="004727C2" w14:paraId="3283D120"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7400D2DB" w14:textId="77777777" w:rsidR="00AB23A6" w:rsidRPr="008F16B4" w:rsidRDefault="00AB23A6" w:rsidP="00DC30FE">
            <w:pPr>
              <w:bidi w:val="0"/>
              <w:jc w:val="center"/>
              <w:rPr>
                <w:rFonts w:asciiTheme="majorBidi" w:hAnsiTheme="majorBidi" w:cstheme="majorBidi"/>
              </w:rPr>
            </w:pPr>
          </w:p>
        </w:tc>
        <w:tc>
          <w:tcPr>
            <w:tcW w:w="2414" w:type="dxa"/>
            <w:hideMark/>
          </w:tcPr>
          <w:p w14:paraId="5EA621D4"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L-Glutamic acid</w:t>
            </w:r>
          </w:p>
        </w:tc>
        <w:tc>
          <w:tcPr>
            <w:tcW w:w="2055" w:type="dxa"/>
            <w:hideMark/>
          </w:tcPr>
          <w:p w14:paraId="266CAF0A"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3.0</w:t>
            </w:r>
          </w:p>
        </w:tc>
      </w:tr>
      <w:tr w:rsidR="00AB23A6" w:rsidRPr="004727C2" w14:paraId="2279FAE0"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05FA7ED6" w14:textId="77777777" w:rsidR="00AB23A6" w:rsidRPr="008F16B4" w:rsidRDefault="00AB23A6" w:rsidP="00DC30FE">
            <w:pPr>
              <w:bidi w:val="0"/>
              <w:jc w:val="center"/>
              <w:rPr>
                <w:rFonts w:asciiTheme="majorBidi" w:hAnsiTheme="majorBidi" w:cstheme="majorBidi"/>
              </w:rPr>
            </w:pPr>
          </w:p>
        </w:tc>
        <w:tc>
          <w:tcPr>
            <w:tcW w:w="2414" w:type="dxa"/>
            <w:hideMark/>
          </w:tcPr>
          <w:p w14:paraId="75E092C8"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L-Alanine</w:t>
            </w:r>
          </w:p>
        </w:tc>
        <w:tc>
          <w:tcPr>
            <w:tcW w:w="2055" w:type="dxa"/>
            <w:hideMark/>
          </w:tcPr>
          <w:p w14:paraId="436C07F4"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1.5</w:t>
            </w:r>
          </w:p>
        </w:tc>
      </w:tr>
      <w:tr w:rsidR="00AB23A6" w:rsidRPr="004727C2" w14:paraId="29C6C7AF"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3C9A380B" w14:textId="77777777" w:rsidR="00AB23A6" w:rsidRPr="008F16B4" w:rsidRDefault="00AB23A6" w:rsidP="00DC30FE">
            <w:pPr>
              <w:bidi w:val="0"/>
              <w:jc w:val="center"/>
              <w:rPr>
                <w:rFonts w:asciiTheme="majorBidi" w:hAnsiTheme="majorBidi" w:cstheme="majorBidi"/>
              </w:rPr>
            </w:pPr>
          </w:p>
        </w:tc>
        <w:tc>
          <w:tcPr>
            <w:tcW w:w="2414" w:type="dxa"/>
            <w:hideMark/>
          </w:tcPr>
          <w:p w14:paraId="0364E194"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L-Valine</w:t>
            </w:r>
          </w:p>
        </w:tc>
        <w:tc>
          <w:tcPr>
            <w:tcW w:w="2055" w:type="dxa"/>
            <w:hideMark/>
          </w:tcPr>
          <w:p w14:paraId="502EAD9A"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0.5</w:t>
            </w:r>
          </w:p>
        </w:tc>
      </w:tr>
      <w:tr w:rsidR="00AB23A6" w:rsidRPr="004727C2" w14:paraId="1AC1903A"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49E75D24" w14:textId="77777777" w:rsidR="00AB23A6" w:rsidRPr="008F16B4" w:rsidRDefault="00AB23A6" w:rsidP="00DC30FE">
            <w:pPr>
              <w:bidi w:val="0"/>
              <w:jc w:val="center"/>
              <w:rPr>
                <w:rFonts w:asciiTheme="majorBidi" w:hAnsiTheme="majorBidi" w:cstheme="majorBidi"/>
              </w:rPr>
            </w:pPr>
          </w:p>
        </w:tc>
        <w:tc>
          <w:tcPr>
            <w:tcW w:w="2414" w:type="dxa"/>
            <w:hideMark/>
          </w:tcPr>
          <w:p w14:paraId="4BECFC61"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L-Phenylalanine</w:t>
            </w:r>
          </w:p>
        </w:tc>
        <w:tc>
          <w:tcPr>
            <w:tcW w:w="2055" w:type="dxa"/>
            <w:hideMark/>
          </w:tcPr>
          <w:p w14:paraId="5D9AE7F5"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0.5</w:t>
            </w:r>
          </w:p>
        </w:tc>
      </w:tr>
      <w:tr w:rsidR="00AB23A6" w:rsidRPr="004727C2" w14:paraId="0303266A"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0EC6BBF8" w14:textId="77777777" w:rsidR="00AB23A6" w:rsidRPr="008F16B4" w:rsidRDefault="00AB23A6" w:rsidP="00DC30FE">
            <w:pPr>
              <w:bidi w:val="0"/>
              <w:jc w:val="center"/>
              <w:rPr>
                <w:rFonts w:asciiTheme="majorBidi" w:hAnsiTheme="majorBidi" w:cstheme="majorBidi"/>
              </w:rPr>
            </w:pPr>
          </w:p>
        </w:tc>
        <w:tc>
          <w:tcPr>
            <w:tcW w:w="2414" w:type="dxa"/>
            <w:hideMark/>
          </w:tcPr>
          <w:p w14:paraId="7925C3BA"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L-Threonine</w:t>
            </w:r>
          </w:p>
        </w:tc>
        <w:tc>
          <w:tcPr>
            <w:tcW w:w="2055" w:type="dxa"/>
            <w:hideMark/>
          </w:tcPr>
          <w:p w14:paraId="38D29DF9"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0.5</w:t>
            </w:r>
          </w:p>
        </w:tc>
      </w:tr>
      <w:tr w:rsidR="00AB23A6" w:rsidRPr="004727C2" w14:paraId="1E768894"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2AE55287" w14:textId="77777777" w:rsidR="00AB23A6" w:rsidRPr="008F16B4" w:rsidRDefault="00AB23A6" w:rsidP="00DC30FE">
            <w:pPr>
              <w:bidi w:val="0"/>
              <w:jc w:val="center"/>
              <w:rPr>
                <w:rFonts w:asciiTheme="majorBidi" w:hAnsiTheme="majorBidi" w:cstheme="majorBidi"/>
              </w:rPr>
            </w:pPr>
          </w:p>
        </w:tc>
        <w:tc>
          <w:tcPr>
            <w:tcW w:w="2414" w:type="dxa"/>
            <w:hideMark/>
          </w:tcPr>
          <w:p w14:paraId="3A9BCA5B"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L-Arginine</w:t>
            </w:r>
          </w:p>
        </w:tc>
        <w:tc>
          <w:tcPr>
            <w:tcW w:w="2055" w:type="dxa"/>
            <w:hideMark/>
          </w:tcPr>
          <w:p w14:paraId="05AED037"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w:t>
            </w:r>
          </w:p>
        </w:tc>
      </w:tr>
      <w:tr w:rsidR="00AB23A6" w:rsidRPr="004727C2" w14:paraId="03F9FE47"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44624AE4" w14:textId="77777777" w:rsidR="00AB23A6" w:rsidRPr="008F16B4" w:rsidRDefault="00AB23A6" w:rsidP="00DC30FE">
            <w:pPr>
              <w:bidi w:val="0"/>
              <w:jc w:val="center"/>
              <w:rPr>
                <w:rFonts w:asciiTheme="majorBidi" w:hAnsiTheme="majorBidi" w:cstheme="majorBidi"/>
              </w:rPr>
            </w:pPr>
          </w:p>
        </w:tc>
        <w:tc>
          <w:tcPr>
            <w:tcW w:w="2414" w:type="dxa"/>
            <w:hideMark/>
          </w:tcPr>
          <w:p w14:paraId="09DFDE5B"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L-Proline</w:t>
            </w:r>
          </w:p>
        </w:tc>
        <w:tc>
          <w:tcPr>
            <w:tcW w:w="2055" w:type="dxa"/>
            <w:hideMark/>
          </w:tcPr>
          <w:p w14:paraId="6C61EE25"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w:t>
            </w:r>
          </w:p>
        </w:tc>
      </w:tr>
      <w:tr w:rsidR="00AB23A6" w:rsidRPr="004727C2" w14:paraId="518BCE34"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val="restart"/>
          </w:tcPr>
          <w:p w14:paraId="289C8E96" w14:textId="77777777" w:rsidR="00AB23A6" w:rsidRPr="008F16B4" w:rsidRDefault="00AB23A6" w:rsidP="00DC30FE">
            <w:pPr>
              <w:bidi w:val="0"/>
              <w:jc w:val="center"/>
              <w:rPr>
                <w:rFonts w:asciiTheme="majorBidi" w:hAnsiTheme="majorBidi" w:cstheme="majorBidi"/>
              </w:rPr>
            </w:pPr>
            <w:r w:rsidRPr="008F16B4">
              <w:rPr>
                <w:rFonts w:asciiTheme="majorBidi" w:hAnsiTheme="majorBidi" w:cstheme="majorBidi"/>
              </w:rPr>
              <w:t>Fatty Acids</w:t>
            </w:r>
          </w:p>
        </w:tc>
        <w:tc>
          <w:tcPr>
            <w:tcW w:w="2414" w:type="dxa"/>
            <w:hideMark/>
          </w:tcPr>
          <w:p w14:paraId="1916CB17"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Palmitic acid (C16:0)</w:t>
            </w:r>
          </w:p>
        </w:tc>
        <w:tc>
          <w:tcPr>
            <w:tcW w:w="2055" w:type="dxa"/>
            <w:hideMark/>
          </w:tcPr>
          <w:p w14:paraId="1A79E67B"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1.5</w:t>
            </w:r>
          </w:p>
        </w:tc>
      </w:tr>
      <w:tr w:rsidR="00AB23A6" w:rsidRPr="004727C2" w14:paraId="3AD6B9F4"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7B7292B4" w14:textId="77777777" w:rsidR="00AB23A6" w:rsidRPr="008F16B4" w:rsidRDefault="00AB23A6" w:rsidP="00DC30FE">
            <w:pPr>
              <w:bidi w:val="0"/>
              <w:jc w:val="center"/>
              <w:rPr>
                <w:rFonts w:asciiTheme="majorBidi" w:hAnsiTheme="majorBidi" w:cstheme="majorBidi"/>
              </w:rPr>
            </w:pPr>
          </w:p>
        </w:tc>
        <w:tc>
          <w:tcPr>
            <w:tcW w:w="2414" w:type="dxa"/>
            <w:hideMark/>
          </w:tcPr>
          <w:p w14:paraId="75730038"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Stearic acid (C18:0)</w:t>
            </w:r>
          </w:p>
        </w:tc>
        <w:tc>
          <w:tcPr>
            <w:tcW w:w="2055" w:type="dxa"/>
            <w:hideMark/>
          </w:tcPr>
          <w:p w14:paraId="57DC55DC"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0.5</w:t>
            </w:r>
          </w:p>
        </w:tc>
      </w:tr>
      <w:tr w:rsidR="00AB23A6" w:rsidRPr="004727C2" w14:paraId="09B97853"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5AA8A818" w14:textId="77777777" w:rsidR="00AB23A6" w:rsidRPr="008F16B4" w:rsidRDefault="00AB23A6" w:rsidP="00DC30FE">
            <w:pPr>
              <w:bidi w:val="0"/>
              <w:jc w:val="center"/>
              <w:rPr>
                <w:rFonts w:asciiTheme="majorBidi" w:hAnsiTheme="majorBidi" w:cstheme="majorBidi"/>
              </w:rPr>
            </w:pPr>
          </w:p>
        </w:tc>
        <w:tc>
          <w:tcPr>
            <w:tcW w:w="2414" w:type="dxa"/>
            <w:hideMark/>
          </w:tcPr>
          <w:p w14:paraId="1345947C"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Oleic acid (C18:1)</w:t>
            </w:r>
          </w:p>
        </w:tc>
        <w:tc>
          <w:tcPr>
            <w:tcW w:w="2055" w:type="dxa"/>
            <w:hideMark/>
          </w:tcPr>
          <w:p w14:paraId="6F5E24DF"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w:t>
            </w:r>
          </w:p>
        </w:tc>
      </w:tr>
      <w:tr w:rsidR="00AB23A6" w:rsidRPr="004727C2" w14:paraId="7ED335DA"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2B49BEA0" w14:textId="77777777" w:rsidR="00AB23A6" w:rsidRPr="008F16B4" w:rsidRDefault="00AB23A6" w:rsidP="00DC30FE">
            <w:pPr>
              <w:bidi w:val="0"/>
              <w:jc w:val="center"/>
              <w:rPr>
                <w:rFonts w:asciiTheme="majorBidi" w:hAnsiTheme="majorBidi" w:cstheme="majorBidi"/>
              </w:rPr>
            </w:pPr>
          </w:p>
        </w:tc>
        <w:tc>
          <w:tcPr>
            <w:tcW w:w="2414" w:type="dxa"/>
            <w:hideMark/>
          </w:tcPr>
          <w:p w14:paraId="4722DBFD"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Linoleic acid (C18:2)</w:t>
            </w:r>
          </w:p>
        </w:tc>
        <w:tc>
          <w:tcPr>
            <w:tcW w:w="2055" w:type="dxa"/>
            <w:hideMark/>
          </w:tcPr>
          <w:p w14:paraId="1F5E46EA"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w:t>
            </w:r>
          </w:p>
        </w:tc>
      </w:tr>
      <w:tr w:rsidR="00AB23A6" w:rsidRPr="004727C2" w14:paraId="6A1CAF6D"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val="restart"/>
          </w:tcPr>
          <w:p w14:paraId="07C5EAE7" w14:textId="77777777" w:rsidR="00AB23A6" w:rsidRPr="008F16B4" w:rsidRDefault="00AB23A6" w:rsidP="00DC30FE">
            <w:pPr>
              <w:bidi w:val="0"/>
              <w:jc w:val="center"/>
              <w:rPr>
                <w:rFonts w:asciiTheme="majorBidi" w:hAnsiTheme="majorBidi" w:cstheme="majorBidi"/>
              </w:rPr>
            </w:pPr>
            <w:r w:rsidRPr="008F16B4">
              <w:rPr>
                <w:rFonts w:asciiTheme="majorBidi" w:hAnsiTheme="majorBidi" w:cstheme="majorBidi"/>
              </w:rPr>
              <w:t>Aromatic Compounds</w:t>
            </w:r>
          </w:p>
        </w:tc>
        <w:tc>
          <w:tcPr>
            <w:tcW w:w="2414" w:type="dxa"/>
            <w:hideMark/>
          </w:tcPr>
          <w:p w14:paraId="4ED15963"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Chlorogenic acid</w:t>
            </w:r>
          </w:p>
        </w:tc>
        <w:tc>
          <w:tcPr>
            <w:tcW w:w="2055" w:type="dxa"/>
            <w:hideMark/>
          </w:tcPr>
          <w:p w14:paraId="505F1104"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2.0</w:t>
            </w:r>
          </w:p>
        </w:tc>
      </w:tr>
      <w:tr w:rsidR="00AB23A6" w:rsidRPr="004727C2" w14:paraId="37FB4977"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6982D4CB" w14:textId="77777777" w:rsidR="00AB23A6" w:rsidRPr="008F16B4" w:rsidRDefault="00AB23A6" w:rsidP="00DC30FE">
            <w:pPr>
              <w:bidi w:val="0"/>
              <w:jc w:val="center"/>
              <w:rPr>
                <w:rFonts w:asciiTheme="majorBidi" w:hAnsiTheme="majorBidi" w:cstheme="majorBidi"/>
              </w:rPr>
            </w:pPr>
          </w:p>
        </w:tc>
        <w:tc>
          <w:tcPr>
            <w:tcW w:w="2414" w:type="dxa"/>
            <w:hideMark/>
          </w:tcPr>
          <w:p w14:paraId="5B2A54AC"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Protocatechuic acid</w:t>
            </w:r>
          </w:p>
        </w:tc>
        <w:tc>
          <w:tcPr>
            <w:tcW w:w="2055" w:type="dxa"/>
            <w:hideMark/>
          </w:tcPr>
          <w:p w14:paraId="01FF3E07"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w:t>
            </w:r>
          </w:p>
        </w:tc>
      </w:tr>
      <w:tr w:rsidR="00AB23A6" w:rsidRPr="004727C2" w14:paraId="181C2B44"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3E3E398B" w14:textId="77777777" w:rsidR="00AB23A6" w:rsidRPr="008F16B4" w:rsidRDefault="00AB23A6" w:rsidP="00DC30FE">
            <w:pPr>
              <w:bidi w:val="0"/>
              <w:jc w:val="center"/>
              <w:rPr>
                <w:rFonts w:asciiTheme="majorBidi" w:hAnsiTheme="majorBidi" w:cstheme="majorBidi"/>
              </w:rPr>
            </w:pPr>
          </w:p>
        </w:tc>
        <w:tc>
          <w:tcPr>
            <w:tcW w:w="2414" w:type="dxa"/>
            <w:hideMark/>
          </w:tcPr>
          <w:p w14:paraId="743255C5"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Quercetin</w:t>
            </w:r>
          </w:p>
        </w:tc>
        <w:tc>
          <w:tcPr>
            <w:tcW w:w="2055" w:type="dxa"/>
            <w:hideMark/>
          </w:tcPr>
          <w:p w14:paraId="4A116352"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0.5</w:t>
            </w:r>
          </w:p>
        </w:tc>
      </w:tr>
      <w:tr w:rsidR="00AB23A6" w:rsidRPr="004727C2" w14:paraId="1A17970F"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0BB48774" w14:textId="77777777" w:rsidR="00AB23A6" w:rsidRPr="008F16B4" w:rsidRDefault="00AB23A6" w:rsidP="00DC30FE">
            <w:pPr>
              <w:bidi w:val="0"/>
              <w:jc w:val="center"/>
              <w:rPr>
                <w:rFonts w:asciiTheme="majorBidi" w:hAnsiTheme="majorBidi" w:cstheme="majorBidi"/>
              </w:rPr>
            </w:pPr>
          </w:p>
        </w:tc>
        <w:tc>
          <w:tcPr>
            <w:tcW w:w="2414" w:type="dxa"/>
            <w:hideMark/>
          </w:tcPr>
          <w:p w14:paraId="27BD2603"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Phloridzin</w:t>
            </w:r>
          </w:p>
        </w:tc>
        <w:tc>
          <w:tcPr>
            <w:tcW w:w="2055" w:type="dxa"/>
            <w:hideMark/>
          </w:tcPr>
          <w:p w14:paraId="1E6815C3"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w:t>
            </w:r>
          </w:p>
        </w:tc>
      </w:tr>
      <w:tr w:rsidR="00AB23A6" w:rsidRPr="004727C2" w14:paraId="2FB7A2CC"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160ADD4A" w14:textId="77777777" w:rsidR="00AB23A6" w:rsidRPr="008F16B4" w:rsidRDefault="00AB23A6" w:rsidP="00DC30FE">
            <w:pPr>
              <w:bidi w:val="0"/>
              <w:jc w:val="center"/>
              <w:rPr>
                <w:rFonts w:asciiTheme="majorBidi" w:hAnsiTheme="majorBidi" w:cstheme="majorBidi"/>
              </w:rPr>
            </w:pPr>
          </w:p>
        </w:tc>
        <w:tc>
          <w:tcPr>
            <w:tcW w:w="2414" w:type="dxa"/>
            <w:hideMark/>
          </w:tcPr>
          <w:p w14:paraId="39D81442"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Catechin</w:t>
            </w:r>
          </w:p>
        </w:tc>
        <w:tc>
          <w:tcPr>
            <w:tcW w:w="2055" w:type="dxa"/>
            <w:hideMark/>
          </w:tcPr>
          <w:p w14:paraId="318E008B"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0.5</w:t>
            </w:r>
          </w:p>
        </w:tc>
      </w:tr>
      <w:tr w:rsidR="00AB23A6" w:rsidRPr="004727C2" w14:paraId="056CAE16"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32ED3ED5" w14:textId="77777777" w:rsidR="00AB23A6" w:rsidRPr="008F16B4" w:rsidRDefault="00AB23A6" w:rsidP="00DC30FE">
            <w:pPr>
              <w:bidi w:val="0"/>
              <w:jc w:val="center"/>
              <w:rPr>
                <w:rFonts w:asciiTheme="majorBidi" w:hAnsiTheme="majorBidi" w:cstheme="majorBidi"/>
              </w:rPr>
            </w:pPr>
          </w:p>
        </w:tc>
        <w:tc>
          <w:tcPr>
            <w:tcW w:w="2414" w:type="dxa"/>
            <w:hideMark/>
          </w:tcPr>
          <w:p w14:paraId="5290393C"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Epicatechin</w:t>
            </w:r>
          </w:p>
        </w:tc>
        <w:tc>
          <w:tcPr>
            <w:tcW w:w="2055" w:type="dxa"/>
            <w:hideMark/>
          </w:tcPr>
          <w:p w14:paraId="01F0940F"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0.5</w:t>
            </w:r>
          </w:p>
        </w:tc>
      </w:tr>
      <w:tr w:rsidR="00AB23A6" w:rsidRPr="004727C2" w14:paraId="7A5446D3"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val="restart"/>
          </w:tcPr>
          <w:p w14:paraId="355F4309" w14:textId="77777777" w:rsidR="00AB23A6" w:rsidRPr="008F16B4" w:rsidRDefault="00AB23A6" w:rsidP="00DC30FE">
            <w:pPr>
              <w:bidi w:val="0"/>
              <w:jc w:val="center"/>
              <w:rPr>
                <w:rFonts w:asciiTheme="majorBidi" w:hAnsiTheme="majorBidi" w:cstheme="majorBidi"/>
              </w:rPr>
            </w:pPr>
            <w:r w:rsidRPr="008F16B4">
              <w:rPr>
                <w:rFonts w:asciiTheme="majorBidi" w:hAnsiTheme="majorBidi" w:cstheme="majorBidi"/>
              </w:rPr>
              <w:t>Trace Elements and Minerals</w:t>
            </w:r>
          </w:p>
        </w:tc>
        <w:tc>
          <w:tcPr>
            <w:tcW w:w="2414" w:type="dxa"/>
            <w:hideMark/>
          </w:tcPr>
          <w:p w14:paraId="229B6DDA"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Zinc (Zn)</w:t>
            </w:r>
          </w:p>
        </w:tc>
        <w:tc>
          <w:tcPr>
            <w:tcW w:w="2055" w:type="dxa"/>
            <w:hideMark/>
          </w:tcPr>
          <w:p w14:paraId="3FD21AA0"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5787A332"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0E2DF4F5" w14:textId="77777777" w:rsidR="00AB23A6" w:rsidRPr="008F16B4" w:rsidRDefault="00AB23A6" w:rsidP="00DC30FE">
            <w:pPr>
              <w:bidi w:val="0"/>
              <w:jc w:val="center"/>
              <w:rPr>
                <w:rFonts w:asciiTheme="majorBidi" w:hAnsiTheme="majorBidi" w:cstheme="majorBidi"/>
              </w:rPr>
            </w:pPr>
          </w:p>
        </w:tc>
        <w:tc>
          <w:tcPr>
            <w:tcW w:w="2414" w:type="dxa"/>
            <w:hideMark/>
          </w:tcPr>
          <w:p w14:paraId="141B087D"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Copper (Cu)</w:t>
            </w:r>
          </w:p>
        </w:tc>
        <w:tc>
          <w:tcPr>
            <w:tcW w:w="2055" w:type="dxa"/>
            <w:hideMark/>
          </w:tcPr>
          <w:p w14:paraId="6C2160B3"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34F2A62E"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098C8BDC" w14:textId="77777777" w:rsidR="00AB23A6" w:rsidRPr="008F16B4" w:rsidRDefault="00AB23A6" w:rsidP="00DC30FE">
            <w:pPr>
              <w:bidi w:val="0"/>
              <w:jc w:val="center"/>
              <w:rPr>
                <w:rFonts w:asciiTheme="majorBidi" w:hAnsiTheme="majorBidi" w:cstheme="majorBidi"/>
              </w:rPr>
            </w:pPr>
          </w:p>
        </w:tc>
        <w:tc>
          <w:tcPr>
            <w:tcW w:w="2414" w:type="dxa"/>
            <w:hideMark/>
          </w:tcPr>
          <w:p w14:paraId="6FDE3077"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Iron (Fe)</w:t>
            </w:r>
          </w:p>
        </w:tc>
        <w:tc>
          <w:tcPr>
            <w:tcW w:w="2055" w:type="dxa"/>
            <w:hideMark/>
          </w:tcPr>
          <w:p w14:paraId="39F63240"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6227B016"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5BDDFFE3" w14:textId="77777777" w:rsidR="00AB23A6" w:rsidRPr="008F16B4" w:rsidRDefault="00AB23A6" w:rsidP="00DC30FE">
            <w:pPr>
              <w:bidi w:val="0"/>
              <w:jc w:val="center"/>
              <w:rPr>
                <w:rFonts w:asciiTheme="majorBidi" w:hAnsiTheme="majorBidi" w:cstheme="majorBidi"/>
              </w:rPr>
            </w:pPr>
          </w:p>
        </w:tc>
        <w:tc>
          <w:tcPr>
            <w:tcW w:w="2414" w:type="dxa"/>
            <w:hideMark/>
          </w:tcPr>
          <w:p w14:paraId="6EAE84BF"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Manganese (Mn)</w:t>
            </w:r>
          </w:p>
        </w:tc>
        <w:tc>
          <w:tcPr>
            <w:tcW w:w="2055" w:type="dxa"/>
            <w:hideMark/>
          </w:tcPr>
          <w:p w14:paraId="3827990F"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372D8FF8"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279B1B74" w14:textId="77777777" w:rsidR="00AB23A6" w:rsidRPr="008F16B4" w:rsidRDefault="00AB23A6" w:rsidP="00DC30FE">
            <w:pPr>
              <w:bidi w:val="0"/>
              <w:jc w:val="center"/>
              <w:rPr>
                <w:rFonts w:asciiTheme="majorBidi" w:hAnsiTheme="majorBidi" w:cstheme="majorBidi"/>
              </w:rPr>
            </w:pPr>
          </w:p>
        </w:tc>
        <w:tc>
          <w:tcPr>
            <w:tcW w:w="2414" w:type="dxa"/>
            <w:hideMark/>
          </w:tcPr>
          <w:p w14:paraId="0478F45B"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Cobalt (Co)</w:t>
            </w:r>
          </w:p>
        </w:tc>
        <w:tc>
          <w:tcPr>
            <w:tcW w:w="2055" w:type="dxa"/>
            <w:hideMark/>
          </w:tcPr>
          <w:p w14:paraId="2F42F7EA"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7A7D5C1C"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69F8ED44" w14:textId="77777777" w:rsidR="00AB23A6" w:rsidRPr="008F16B4" w:rsidRDefault="00AB23A6" w:rsidP="00DC30FE">
            <w:pPr>
              <w:bidi w:val="0"/>
              <w:jc w:val="center"/>
              <w:rPr>
                <w:rFonts w:asciiTheme="majorBidi" w:hAnsiTheme="majorBidi" w:cstheme="majorBidi"/>
              </w:rPr>
            </w:pPr>
          </w:p>
        </w:tc>
        <w:tc>
          <w:tcPr>
            <w:tcW w:w="2414" w:type="dxa"/>
            <w:hideMark/>
          </w:tcPr>
          <w:p w14:paraId="0DB3312F"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Magnesium (Mg)</w:t>
            </w:r>
          </w:p>
        </w:tc>
        <w:tc>
          <w:tcPr>
            <w:tcW w:w="2055" w:type="dxa"/>
            <w:hideMark/>
          </w:tcPr>
          <w:p w14:paraId="2E7285A2"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27B6E0B7"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36438A38" w14:textId="77777777" w:rsidR="00AB23A6" w:rsidRPr="008F16B4" w:rsidRDefault="00AB23A6" w:rsidP="00DC30FE">
            <w:pPr>
              <w:bidi w:val="0"/>
              <w:jc w:val="center"/>
              <w:rPr>
                <w:rFonts w:asciiTheme="majorBidi" w:hAnsiTheme="majorBidi" w:cstheme="majorBidi"/>
              </w:rPr>
            </w:pPr>
          </w:p>
        </w:tc>
        <w:tc>
          <w:tcPr>
            <w:tcW w:w="2414" w:type="dxa"/>
            <w:hideMark/>
          </w:tcPr>
          <w:p w14:paraId="581A5D7C"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Calcium (Ca)</w:t>
            </w:r>
          </w:p>
        </w:tc>
        <w:tc>
          <w:tcPr>
            <w:tcW w:w="2055" w:type="dxa"/>
            <w:hideMark/>
          </w:tcPr>
          <w:p w14:paraId="06814168"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520C9746"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2DD78D38" w14:textId="77777777" w:rsidR="00AB23A6" w:rsidRPr="008F16B4" w:rsidRDefault="00AB23A6" w:rsidP="00DC30FE">
            <w:pPr>
              <w:bidi w:val="0"/>
              <w:jc w:val="center"/>
              <w:rPr>
                <w:rFonts w:asciiTheme="majorBidi" w:hAnsiTheme="majorBidi" w:cstheme="majorBidi"/>
              </w:rPr>
            </w:pPr>
          </w:p>
        </w:tc>
        <w:tc>
          <w:tcPr>
            <w:tcW w:w="2414" w:type="dxa"/>
            <w:hideMark/>
          </w:tcPr>
          <w:p w14:paraId="415174C9"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Potassium (K)</w:t>
            </w:r>
          </w:p>
        </w:tc>
        <w:tc>
          <w:tcPr>
            <w:tcW w:w="2055" w:type="dxa"/>
            <w:hideMark/>
          </w:tcPr>
          <w:p w14:paraId="6CFA1BE2"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3DBD2719"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4814411B" w14:textId="77777777" w:rsidR="00AB23A6" w:rsidRPr="008F16B4" w:rsidRDefault="00AB23A6" w:rsidP="00DC30FE">
            <w:pPr>
              <w:bidi w:val="0"/>
              <w:jc w:val="center"/>
              <w:rPr>
                <w:rFonts w:asciiTheme="majorBidi" w:hAnsiTheme="majorBidi" w:cstheme="majorBidi"/>
              </w:rPr>
            </w:pPr>
          </w:p>
        </w:tc>
        <w:tc>
          <w:tcPr>
            <w:tcW w:w="2414" w:type="dxa"/>
            <w:hideMark/>
          </w:tcPr>
          <w:p w14:paraId="4C127922"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Sodium (Na)</w:t>
            </w:r>
          </w:p>
        </w:tc>
        <w:tc>
          <w:tcPr>
            <w:tcW w:w="2055" w:type="dxa"/>
            <w:hideMark/>
          </w:tcPr>
          <w:p w14:paraId="7BBDDC66"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4353F73F"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1C91AF3E" w14:textId="77777777" w:rsidR="00AB23A6" w:rsidRPr="008F16B4" w:rsidRDefault="00AB23A6" w:rsidP="00DC30FE">
            <w:pPr>
              <w:bidi w:val="0"/>
              <w:jc w:val="center"/>
              <w:rPr>
                <w:rFonts w:asciiTheme="majorBidi" w:hAnsiTheme="majorBidi" w:cstheme="majorBidi"/>
              </w:rPr>
            </w:pPr>
          </w:p>
        </w:tc>
        <w:tc>
          <w:tcPr>
            <w:tcW w:w="2414" w:type="dxa"/>
            <w:hideMark/>
          </w:tcPr>
          <w:p w14:paraId="1BFCAA1A"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Chloride (Cl)</w:t>
            </w:r>
          </w:p>
        </w:tc>
        <w:tc>
          <w:tcPr>
            <w:tcW w:w="2055" w:type="dxa"/>
            <w:hideMark/>
          </w:tcPr>
          <w:p w14:paraId="47167359"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0274A4FE"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07410488" w14:textId="77777777" w:rsidR="00AB23A6" w:rsidRPr="008F16B4" w:rsidRDefault="00AB23A6" w:rsidP="00DC30FE">
            <w:pPr>
              <w:bidi w:val="0"/>
              <w:jc w:val="center"/>
              <w:rPr>
                <w:rFonts w:asciiTheme="majorBidi" w:hAnsiTheme="majorBidi" w:cstheme="majorBidi"/>
              </w:rPr>
            </w:pPr>
          </w:p>
        </w:tc>
        <w:tc>
          <w:tcPr>
            <w:tcW w:w="2414" w:type="dxa"/>
            <w:hideMark/>
          </w:tcPr>
          <w:p w14:paraId="6457844F"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Ammonium (NH4)</w:t>
            </w:r>
          </w:p>
        </w:tc>
        <w:tc>
          <w:tcPr>
            <w:tcW w:w="2055" w:type="dxa"/>
            <w:hideMark/>
          </w:tcPr>
          <w:p w14:paraId="0C7BBFAA"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7C81B530"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4FEA5BA5" w14:textId="77777777" w:rsidR="00AB23A6" w:rsidRPr="008F16B4" w:rsidRDefault="00AB23A6" w:rsidP="00DC30FE">
            <w:pPr>
              <w:bidi w:val="0"/>
              <w:jc w:val="center"/>
              <w:rPr>
                <w:rFonts w:asciiTheme="majorBidi" w:hAnsiTheme="majorBidi" w:cstheme="majorBidi"/>
              </w:rPr>
            </w:pPr>
          </w:p>
        </w:tc>
        <w:tc>
          <w:tcPr>
            <w:tcW w:w="2414" w:type="dxa"/>
            <w:hideMark/>
          </w:tcPr>
          <w:p w14:paraId="6CCAABB2"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Phosphate (Pi)</w:t>
            </w:r>
          </w:p>
        </w:tc>
        <w:tc>
          <w:tcPr>
            <w:tcW w:w="2055" w:type="dxa"/>
            <w:hideMark/>
          </w:tcPr>
          <w:p w14:paraId="3629CBF1"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479BD05E"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1710EE12" w14:textId="77777777" w:rsidR="00AB23A6" w:rsidRPr="008F16B4" w:rsidRDefault="00AB23A6" w:rsidP="00DC30FE">
            <w:pPr>
              <w:bidi w:val="0"/>
              <w:jc w:val="center"/>
              <w:rPr>
                <w:rFonts w:asciiTheme="majorBidi" w:hAnsiTheme="majorBidi" w:cstheme="majorBidi"/>
              </w:rPr>
            </w:pPr>
          </w:p>
        </w:tc>
        <w:tc>
          <w:tcPr>
            <w:tcW w:w="2414" w:type="dxa"/>
            <w:hideMark/>
          </w:tcPr>
          <w:p w14:paraId="7F89F749"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Sulfate (SO4)</w:t>
            </w:r>
          </w:p>
        </w:tc>
        <w:tc>
          <w:tcPr>
            <w:tcW w:w="2055" w:type="dxa"/>
            <w:hideMark/>
          </w:tcPr>
          <w:p w14:paraId="6AE0A80C"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332FFBCD" w14:textId="77777777" w:rsidTr="00DC30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966" w:type="dxa"/>
            <w:vMerge w:val="restart"/>
          </w:tcPr>
          <w:p w14:paraId="3F95714D" w14:textId="77777777" w:rsidR="00AB23A6" w:rsidRPr="008F16B4" w:rsidRDefault="00AB23A6" w:rsidP="00DC30FE">
            <w:pPr>
              <w:bidi w:val="0"/>
              <w:jc w:val="center"/>
              <w:rPr>
                <w:rFonts w:asciiTheme="majorBidi" w:hAnsiTheme="majorBidi" w:cstheme="majorBidi"/>
              </w:rPr>
            </w:pPr>
            <w:r w:rsidRPr="008F16B4">
              <w:rPr>
                <w:rFonts w:asciiTheme="majorBidi" w:hAnsiTheme="majorBidi" w:cstheme="majorBidi"/>
              </w:rPr>
              <w:t>Vitamins</w:t>
            </w:r>
          </w:p>
        </w:tc>
        <w:tc>
          <w:tcPr>
            <w:tcW w:w="2414" w:type="dxa"/>
          </w:tcPr>
          <w:p w14:paraId="632877EE"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Biotin (B7)</w:t>
            </w:r>
          </w:p>
        </w:tc>
        <w:tc>
          <w:tcPr>
            <w:tcW w:w="2055" w:type="dxa"/>
          </w:tcPr>
          <w:p w14:paraId="228DC0F3"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3F325B3B"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52DBB2ED" w14:textId="77777777" w:rsidR="00AB23A6" w:rsidRPr="008F16B4" w:rsidRDefault="00AB23A6" w:rsidP="00DC30FE">
            <w:pPr>
              <w:bidi w:val="0"/>
              <w:jc w:val="center"/>
              <w:rPr>
                <w:rFonts w:asciiTheme="majorBidi" w:hAnsiTheme="majorBidi" w:cstheme="majorBidi"/>
              </w:rPr>
            </w:pPr>
          </w:p>
        </w:tc>
        <w:tc>
          <w:tcPr>
            <w:tcW w:w="2414" w:type="dxa"/>
          </w:tcPr>
          <w:p w14:paraId="516C0490"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Pantothenate (B5)</w:t>
            </w:r>
          </w:p>
        </w:tc>
        <w:tc>
          <w:tcPr>
            <w:tcW w:w="2055" w:type="dxa"/>
          </w:tcPr>
          <w:p w14:paraId="37F7F9AE"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22DD07BC"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09E2CA2B" w14:textId="77777777" w:rsidR="00AB23A6" w:rsidRPr="008F16B4" w:rsidRDefault="00AB23A6" w:rsidP="00DC30FE">
            <w:pPr>
              <w:bidi w:val="0"/>
              <w:jc w:val="center"/>
              <w:rPr>
                <w:rFonts w:asciiTheme="majorBidi" w:hAnsiTheme="majorBidi" w:cstheme="majorBidi"/>
              </w:rPr>
            </w:pPr>
          </w:p>
        </w:tc>
        <w:tc>
          <w:tcPr>
            <w:tcW w:w="2414" w:type="dxa"/>
          </w:tcPr>
          <w:p w14:paraId="5C727E07"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Thiamin (B1)</w:t>
            </w:r>
          </w:p>
        </w:tc>
        <w:tc>
          <w:tcPr>
            <w:tcW w:w="2055" w:type="dxa"/>
          </w:tcPr>
          <w:p w14:paraId="2F59CB67"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2FF4B700"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147E7E8F" w14:textId="77777777" w:rsidR="00AB23A6" w:rsidRPr="008F16B4" w:rsidRDefault="00AB23A6" w:rsidP="00DC30FE">
            <w:pPr>
              <w:bidi w:val="0"/>
              <w:jc w:val="center"/>
              <w:rPr>
                <w:rFonts w:asciiTheme="majorBidi" w:hAnsiTheme="majorBidi" w:cstheme="majorBidi"/>
              </w:rPr>
            </w:pPr>
          </w:p>
        </w:tc>
        <w:tc>
          <w:tcPr>
            <w:tcW w:w="2414" w:type="dxa"/>
          </w:tcPr>
          <w:p w14:paraId="53C9DD75"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Riboflavin (B2)</w:t>
            </w:r>
          </w:p>
        </w:tc>
        <w:tc>
          <w:tcPr>
            <w:tcW w:w="2055" w:type="dxa"/>
          </w:tcPr>
          <w:p w14:paraId="0241C379"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28CA23D3"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5A1D3DC3" w14:textId="77777777" w:rsidR="00AB23A6" w:rsidRPr="008F16B4" w:rsidRDefault="00AB23A6" w:rsidP="00DC30FE">
            <w:pPr>
              <w:bidi w:val="0"/>
              <w:jc w:val="center"/>
              <w:rPr>
                <w:rFonts w:asciiTheme="majorBidi" w:hAnsiTheme="majorBidi" w:cstheme="majorBidi"/>
              </w:rPr>
            </w:pPr>
          </w:p>
        </w:tc>
        <w:tc>
          <w:tcPr>
            <w:tcW w:w="2414" w:type="dxa"/>
          </w:tcPr>
          <w:p w14:paraId="2ED74C9D"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br/>
              <w:t>Pyridoxine (B6)</w:t>
            </w:r>
          </w:p>
          <w:p w14:paraId="14A2F6A8"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2055" w:type="dxa"/>
          </w:tcPr>
          <w:p w14:paraId="4ADD59C8"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15D96D61"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6DCD2B25" w14:textId="77777777" w:rsidR="00AB23A6" w:rsidRPr="008F16B4" w:rsidRDefault="00AB23A6" w:rsidP="00DC30FE">
            <w:pPr>
              <w:bidi w:val="0"/>
              <w:jc w:val="center"/>
              <w:rPr>
                <w:rFonts w:asciiTheme="majorBidi" w:hAnsiTheme="majorBidi" w:cstheme="majorBidi"/>
              </w:rPr>
            </w:pPr>
          </w:p>
        </w:tc>
        <w:tc>
          <w:tcPr>
            <w:tcW w:w="2414" w:type="dxa"/>
          </w:tcPr>
          <w:p w14:paraId="72FD0DF2"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Nicotinamide (B3)</w:t>
            </w:r>
          </w:p>
        </w:tc>
        <w:tc>
          <w:tcPr>
            <w:tcW w:w="2055" w:type="dxa"/>
          </w:tcPr>
          <w:p w14:paraId="710CDF24"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22CCEEDA" w14:textId="77777777" w:rsidTr="00DC30FE">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966" w:type="dxa"/>
            <w:vMerge/>
          </w:tcPr>
          <w:p w14:paraId="5145DB1C" w14:textId="77777777" w:rsidR="00AB23A6" w:rsidRPr="008F16B4" w:rsidRDefault="00AB23A6" w:rsidP="00DC30FE">
            <w:pPr>
              <w:bidi w:val="0"/>
              <w:jc w:val="center"/>
              <w:rPr>
                <w:rFonts w:asciiTheme="majorBidi" w:hAnsiTheme="majorBidi" w:cstheme="majorBidi"/>
              </w:rPr>
            </w:pPr>
          </w:p>
        </w:tc>
        <w:tc>
          <w:tcPr>
            <w:tcW w:w="2414" w:type="dxa"/>
          </w:tcPr>
          <w:p w14:paraId="7FF395D6"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Folate (B9)</w:t>
            </w:r>
          </w:p>
        </w:tc>
        <w:tc>
          <w:tcPr>
            <w:tcW w:w="2055" w:type="dxa"/>
          </w:tcPr>
          <w:p w14:paraId="3EC83CB0"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5F27A840"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2AF3DC8A" w14:textId="77777777" w:rsidR="00AB23A6" w:rsidRPr="008F16B4" w:rsidRDefault="00AB23A6" w:rsidP="00DC30FE">
            <w:pPr>
              <w:bidi w:val="0"/>
              <w:jc w:val="center"/>
              <w:rPr>
                <w:rFonts w:asciiTheme="majorBidi" w:hAnsiTheme="majorBidi" w:cstheme="majorBidi"/>
              </w:rPr>
            </w:pPr>
          </w:p>
        </w:tc>
        <w:tc>
          <w:tcPr>
            <w:tcW w:w="2414" w:type="dxa"/>
          </w:tcPr>
          <w:p w14:paraId="68606E93"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Cobalamin (B12)</w:t>
            </w:r>
          </w:p>
        </w:tc>
        <w:tc>
          <w:tcPr>
            <w:tcW w:w="2055" w:type="dxa"/>
          </w:tcPr>
          <w:p w14:paraId="567EF270"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49FFA071"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0F6E78DE" w14:textId="77777777" w:rsidR="00AB23A6" w:rsidRPr="008F16B4" w:rsidRDefault="00AB23A6" w:rsidP="00DC30FE">
            <w:pPr>
              <w:bidi w:val="0"/>
              <w:jc w:val="center"/>
              <w:rPr>
                <w:rFonts w:asciiTheme="majorBidi" w:hAnsiTheme="majorBidi" w:cstheme="majorBidi"/>
              </w:rPr>
            </w:pPr>
          </w:p>
        </w:tc>
        <w:tc>
          <w:tcPr>
            <w:tcW w:w="2414" w:type="dxa"/>
          </w:tcPr>
          <w:p w14:paraId="1C1F996B"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L-ascorbate (Vitamin C)</w:t>
            </w:r>
          </w:p>
        </w:tc>
        <w:tc>
          <w:tcPr>
            <w:tcW w:w="2055" w:type="dxa"/>
          </w:tcPr>
          <w:p w14:paraId="034D5D44"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4D25EAB3"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val="restart"/>
          </w:tcPr>
          <w:p w14:paraId="6EBAE55E" w14:textId="77777777" w:rsidR="00AB23A6" w:rsidRPr="008F16B4" w:rsidRDefault="00AB23A6" w:rsidP="00DC30FE">
            <w:pPr>
              <w:bidi w:val="0"/>
              <w:jc w:val="center"/>
              <w:rPr>
                <w:rFonts w:asciiTheme="majorBidi" w:hAnsiTheme="majorBidi" w:cstheme="majorBidi"/>
              </w:rPr>
            </w:pPr>
          </w:p>
        </w:tc>
        <w:tc>
          <w:tcPr>
            <w:tcW w:w="2414" w:type="dxa"/>
          </w:tcPr>
          <w:p w14:paraId="12FE4196"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H</w:t>
            </w:r>
            <w:r w:rsidRPr="008F16B4">
              <w:rPr>
                <w:rFonts w:asciiTheme="majorBidi" w:hAnsiTheme="majorBidi" w:cstheme="majorBidi"/>
                <w:vertAlign w:val="subscript"/>
              </w:rPr>
              <w:t>2</w:t>
            </w:r>
            <w:r w:rsidRPr="008F16B4">
              <w:rPr>
                <w:rFonts w:asciiTheme="majorBidi" w:hAnsiTheme="majorBidi" w:cstheme="majorBidi"/>
              </w:rPr>
              <w:t>0</w:t>
            </w:r>
          </w:p>
        </w:tc>
        <w:tc>
          <w:tcPr>
            <w:tcW w:w="2055" w:type="dxa"/>
          </w:tcPr>
          <w:p w14:paraId="3F26C37A"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75F1D9F4" w14:textId="77777777" w:rsidTr="00DC30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42A9A487" w14:textId="77777777" w:rsidR="00AB23A6" w:rsidRPr="008F16B4" w:rsidRDefault="00AB23A6" w:rsidP="00DC30FE">
            <w:pPr>
              <w:bidi w:val="0"/>
              <w:jc w:val="center"/>
              <w:rPr>
                <w:rFonts w:asciiTheme="majorBidi" w:hAnsiTheme="majorBidi" w:cstheme="majorBidi"/>
              </w:rPr>
            </w:pPr>
          </w:p>
        </w:tc>
        <w:tc>
          <w:tcPr>
            <w:tcW w:w="2414" w:type="dxa"/>
          </w:tcPr>
          <w:p w14:paraId="01199E2C"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Hidrogen</w:t>
            </w:r>
          </w:p>
        </w:tc>
        <w:tc>
          <w:tcPr>
            <w:tcW w:w="2055" w:type="dxa"/>
          </w:tcPr>
          <w:p w14:paraId="4ED5AA44" w14:textId="77777777" w:rsidR="00AB23A6" w:rsidRPr="008F16B4" w:rsidRDefault="00AB23A6" w:rsidP="00DC30FE">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r w:rsidR="00AB23A6" w:rsidRPr="004727C2" w14:paraId="0A879309" w14:textId="77777777" w:rsidTr="00DC30FE">
        <w:trPr>
          <w:trHeight w:val="288"/>
        </w:trPr>
        <w:tc>
          <w:tcPr>
            <w:cnfStyle w:val="001000000000" w:firstRow="0" w:lastRow="0" w:firstColumn="1" w:lastColumn="0" w:oddVBand="0" w:evenVBand="0" w:oddHBand="0" w:evenHBand="0" w:firstRowFirstColumn="0" w:firstRowLastColumn="0" w:lastRowFirstColumn="0" w:lastRowLastColumn="0"/>
            <w:tcW w:w="2966" w:type="dxa"/>
            <w:vMerge/>
          </w:tcPr>
          <w:p w14:paraId="5A43567B" w14:textId="77777777" w:rsidR="00AB23A6" w:rsidRPr="008F16B4" w:rsidRDefault="00AB23A6" w:rsidP="00DC30FE">
            <w:pPr>
              <w:bidi w:val="0"/>
              <w:jc w:val="center"/>
              <w:rPr>
                <w:rFonts w:asciiTheme="majorBidi" w:hAnsiTheme="majorBidi" w:cstheme="majorBidi"/>
              </w:rPr>
            </w:pPr>
          </w:p>
        </w:tc>
        <w:tc>
          <w:tcPr>
            <w:tcW w:w="2414" w:type="dxa"/>
          </w:tcPr>
          <w:p w14:paraId="64599BCD"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Oxigen</w:t>
            </w:r>
          </w:p>
        </w:tc>
        <w:tc>
          <w:tcPr>
            <w:tcW w:w="2055" w:type="dxa"/>
          </w:tcPr>
          <w:p w14:paraId="5CBAEF9F" w14:textId="77777777" w:rsidR="00AB23A6" w:rsidRPr="008F16B4" w:rsidRDefault="00AB23A6" w:rsidP="00DC30FE">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F16B4">
              <w:rPr>
                <w:rFonts w:asciiTheme="majorBidi" w:hAnsiTheme="majorBidi" w:cstheme="majorBidi"/>
              </w:rPr>
              <w:t>1000.0</w:t>
            </w:r>
          </w:p>
        </w:tc>
      </w:tr>
    </w:tbl>
    <w:p w14:paraId="0E2085CE" w14:textId="77777777" w:rsidR="00AB23A6" w:rsidRDefault="00AB23A6" w:rsidP="00AB23A6">
      <w:pPr>
        <w:bidi w:val="0"/>
        <w:rPr>
          <w:b/>
          <w:bCs/>
        </w:rPr>
      </w:pPr>
    </w:p>
    <w:p w14:paraId="27C684CB" w14:textId="59DBF2FD" w:rsidR="002B04A0" w:rsidRPr="0009547D" w:rsidRDefault="002B04A0" w:rsidP="002B04A0">
      <w:pPr>
        <w:bidi w:val="0"/>
        <w:rPr>
          <w:rFonts w:cstheme="minorHAnsi"/>
          <w:i/>
          <w:iCs/>
        </w:rPr>
      </w:pPr>
      <w:r>
        <w:rPr>
          <w:b/>
          <w:bCs/>
        </w:rPr>
        <w:t xml:space="preserve">Supplementary </w:t>
      </w:r>
      <w:r w:rsidRPr="00B862D4">
        <w:rPr>
          <w:b/>
          <w:bCs/>
        </w:rPr>
        <w:t xml:space="preserve">Table </w:t>
      </w:r>
      <w:r w:rsidR="009B6AB6">
        <w:rPr>
          <w:rFonts w:cstheme="minorHAnsi"/>
          <w:b/>
          <w:bCs/>
        </w:rPr>
        <w:t>3</w:t>
      </w:r>
      <w:r>
        <w:rPr>
          <w:rFonts w:cstheme="minorHAnsi"/>
          <w:b/>
          <w:bCs/>
        </w:rPr>
        <w:t>:</w:t>
      </w:r>
      <w:r w:rsidRPr="0009547D">
        <w:rPr>
          <w:rFonts w:cstheme="minorHAnsi"/>
          <w:b/>
          <w:bCs/>
        </w:rPr>
        <w:t xml:space="preserve"> Reference bacterial isolates used for experimental validation. </w:t>
      </w:r>
      <w:r w:rsidRPr="0009547D">
        <w:rPr>
          <w:rFonts w:cstheme="minorHAnsi"/>
          <w:i/>
          <w:iCs/>
        </w:rPr>
        <w:t>List of the nine specific bacterial strains obtained from the German Collection of Microorganisms and Cell Cultures (DSMZ). These isolates were selected based on their taxonomic identity to the high-quality MAGs recovered from the native apple fruit microbiome, serving as the biological reference for model curation and phenotypic validation.</w:t>
      </w:r>
    </w:p>
    <w:tbl>
      <w:tblPr>
        <w:tblStyle w:val="PlainTable2"/>
        <w:tblW w:w="0" w:type="auto"/>
        <w:tblLayout w:type="fixed"/>
        <w:tblLook w:val="01E0" w:firstRow="1" w:lastRow="1" w:firstColumn="1" w:lastColumn="1" w:noHBand="0" w:noVBand="0"/>
      </w:tblPr>
      <w:tblGrid>
        <w:gridCol w:w="1488"/>
        <w:gridCol w:w="3346"/>
      </w:tblGrid>
      <w:tr w:rsidR="002B04A0" w:rsidRPr="0009547D" w14:paraId="6AEBBF51" w14:textId="77777777" w:rsidTr="00ED0D32">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488" w:type="dxa"/>
            <w:hideMark/>
          </w:tcPr>
          <w:p w14:paraId="05E139D0" w14:textId="77777777" w:rsidR="002B04A0" w:rsidRPr="0009547D" w:rsidRDefault="002B04A0" w:rsidP="00ED0D32">
            <w:pPr>
              <w:bidi w:val="0"/>
              <w:spacing w:line="276" w:lineRule="auto"/>
              <w:rPr>
                <w:rFonts w:asciiTheme="majorBidi" w:hAnsiTheme="majorBidi" w:cstheme="majorBidi"/>
                <w:color w:val="1F1F1F"/>
              </w:rPr>
            </w:pPr>
            <w:r w:rsidRPr="0009547D">
              <w:rPr>
                <w:rFonts w:asciiTheme="majorBidi" w:hAnsiTheme="majorBidi" w:cstheme="majorBidi"/>
                <w:color w:val="1F1F1F"/>
              </w:rPr>
              <w:t>Code</w:t>
            </w:r>
          </w:p>
        </w:tc>
        <w:tc>
          <w:tcPr>
            <w:cnfStyle w:val="000100000000" w:firstRow="0" w:lastRow="0" w:firstColumn="0" w:lastColumn="1" w:oddVBand="0" w:evenVBand="0" w:oddHBand="0" w:evenHBand="0" w:firstRowFirstColumn="0" w:firstRowLastColumn="0" w:lastRowFirstColumn="0" w:lastRowLastColumn="0"/>
            <w:tcW w:w="3346" w:type="dxa"/>
            <w:hideMark/>
          </w:tcPr>
          <w:p w14:paraId="2C73A0C7" w14:textId="77777777" w:rsidR="002B04A0" w:rsidRPr="0009547D" w:rsidRDefault="002B04A0" w:rsidP="00ED0D32">
            <w:pPr>
              <w:bidi w:val="0"/>
              <w:spacing w:line="276" w:lineRule="auto"/>
              <w:rPr>
                <w:rFonts w:asciiTheme="majorBidi" w:hAnsiTheme="majorBidi" w:cstheme="majorBidi"/>
                <w:color w:val="1F1F1F"/>
              </w:rPr>
            </w:pPr>
            <w:r w:rsidRPr="0009547D">
              <w:rPr>
                <w:rFonts w:asciiTheme="majorBidi" w:hAnsiTheme="majorBidi" w:cstheme="majorBidi"/>
                <w:color w:val="1F1F1F"/>
              </w:rPr>
              <w:t>Organism</w:t>
            </w:r>
          </w:p>
        </w:tc>
      </w:tr>
      <w:tr w:rsidR="002B04A0" w:rsidRPr="0009547D" w14:paraId="48521589" w14:textId="77777777" w:rsidTr="00ED0D32">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488" w:type="dxa"/>
            <w:hideMark/>
          </w:tcPr>
          <w:p w14:paraId="71177C23" w14:textId="77777777" w:rsidR="002B04A0" w:rsidRPr="0009547D" w:rsidRDefault="002B04A0" w:rsidP="00ED0D32">
            <w:pPr>
              <w:bidi w:val="0"/>
              <w:spacing w:line="276" w:lineRule="auto"/>
              <w:rPr>
                <w:rFonts w:asciiTheme="majorBidi" w:hAnsiTheme="majorBidi" w:cstheme="majorBidi"/>
                <w:b w:val="0"/>
                <w:bCs w:val="0"/>
                <w:color w:val="1F1F1F"/>
              </w:rPr>
            </w:pPr>
            <w:r w:rsidRPr="0009547D">
              <w:rPr>
                <w:rFonts w:asciiTheme="majorBidi" w:hAnsiTheme="majorBidi" w:cstheme="majorBidi"/>
                <w:color w:val="1F1F1F"/>
              </w:rPr>
              <w:t>DSM 1819</w:t>
            </w:r>
          </w:p>
        </w:tc>
        <w:tc>
          <w:tcPr>
            <w:cnfStyle w:val="000100000000" w:firstRow="0" w:lastRow="0" w:firstColumn="0" w:lastColumn="1" w:oddVBand="0" w:evenVBand="0" w:oddHBand="0" w:evenHBand="0" w:firstRowFirstColumn="0" w:firstRowLastColumn="0" w:lastRowFirstColumn="0" w:lastRowLastColumn="0"/>
            <w:tcW w:w="3346" w:type="dxa"/>
            <w:hideMark/>
          </w:tcPr>
          <w:p w14:paraId="2D023258" w14:textId="77777777" w:rsidR="002B04A0" w:rsidRPr="0009547D" w:rsidRDefault="002B04A0" w:rsidP="00ED0D32">
            <w:pPr>
              <w:bidi w:val="0"/>
              <w:spacing w:line="276" w:lineRule="auto"/>
              <w:rPr>
                <w:rFonts w:asciiTheme="majorBidi" w:hAnsiTheme="majorBidi" w:cstheme="majorBidi"/>
                <w:b w:val="0"/>
                <w:bCs w:val="0"/>
                <w:color w:val="1F1F1F"/>
              </w:rPr>
            </w:pPr>
            <w:r w:rsidRPr="0009547D">
              <w:rPr>
                <w:rFonts w:asciiTheme="majorBidi" w:hAnsiTheme="majorBidi" w:cstheme="majorBidi"/>
                <w:color w:val="1F1F1F"/>
              </w:rPr>
              <w:t>Methylobacterium radiotolerans</w:t>
            </w:r>
          </w:p>
        </w:tc>
      </w:tr>
      <w:tr w:rsidR="002B04A0" w:rsidRPr="0009547D" w14:paraId="2B7064BA" w14:textId="77777777" w:rsidTr="00ED0D32">
        <w:trPr>
          <w:trHeight w:val="284"/>
        </w:trPr>
        <w:tc>
          <w:tcPr>
            <w:cnfStyle w:val="001000000000" w:firstRow="0" w:lastRow="0" w:firstColumn="1" w:lastColumn="0" w:oddVBand="0" w:evenVBand="0" w:oddHBand="0" w:evenHBand="0" w:firstRowFirstColumn="0" w:firstRowLastColumn="0" w:lastRowFirstColumn="0" w:lastRowLastColumn="0"/>
            <w:tcW w:w="1488" w:type="dxa"/>
            <w:hideMark/>
          </w:tcPr>
          <w:p w14:paraId="1011121F" w14:textId="77777777" w:rsidR="002B04A0" w:rsidRPr="0009547D" w:rsidRDefault="002B04A0" w:rsidP="00ED0D32">
            <w:pPr>
              <w:bidi w:val="0"/>
              <w:spacing w:line="276" w:lineRule="auto"/>
              <w:rPr>
                <w:rFonts w:asciiTheme="majorBidi" w:hAnsiTheme="majorBidi" w:cstheme="majorBidi"/>
                <w:b w:val="0"/>
                <w:bCs w:val="0"/>
                <w:color w:val="1F1F1F"/>
              </w:rPr>
            </w:pPr>
            <w:r w:rsidRPr="0009547D">
              <w:rPr>
                <w:rFonts w:asciiTheme="majorBidi" w:hAnsiTheme="majorBidi" w:cstheme="majorBidi"/>
                <w:color w:val="1F1F1F"/>
              </w:rPr>
              <w:t>DSM 111930</w:t>
            </w:r>
          </w:p>
        </w:tc>
        <w:tc>
          <w:tcPr>
            <w:cnfStyle w:val="000100000000" w:firstRow="0" w:lastRow="0" w:firstColumn="0" w:lastColumn="1" w:oddVBand="0" w:evenVBand="0" w:oddHBand="0" w:evenHBand="0" w:firstRowFirstColumn="0" w:firstRowLastColumn="0" w:lastRowFirstColumn="0" w:lastRowLastColumn="0"/>
            <w:tcW w:w="3346" w:type="dxa"/>
            <w:hideMark/>
          </w:tcPr>
          <w:p w14:paraId="79F0F192" w14:textId="77777777" w:rsidR="002B04A0" w:rsidRPr="0009547D" w:rsidRDefault="002B04A0" w:rsidP="00ED0D32">
            <w:pPr>
              <w:bidi w:val="0"/>
              <w:spacing w:line="276" w:lineRule="auto"/>
              <w:rPr>
                <w:rFonts w:asciiTheme="majorBidi" w:hAnsiTheme="majorBidi" w:cstheme="majorBidi"/>
                <w:b w:val="0"/>
                <w:bCs w:val="0"/>
                <w:color w:val="1F1F1F"/>
              </w:rPr>
            </w:pPr>
            <w:r w:rsidRPr="0009547D">
              <w:rPr>
                <w:rFonts w:asciiTheme="majorBidi" w:hAnsiTheme="majorBidi" w:cstheme="majorBidi"/>
                <w:color w:val="1F1F1F"/>
              </w:rPr>
              <w:t>Kosakonia cowanii</w:t>
            </w:r>
          </w:p>
        </w:tc>
      </w:tr>
      <w:tr w:rsidR="002B04A0" w:rsidRPr="0009547D" w14:paraId="27BE0910" w14:textId="77777777" w:rsidTr="00ED0D3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88" w:type="dxa"/>
            <w:hideMark/>
          </w:tcPr>
          <w:p w14:paraId="11D5029F" w14:textId="77777777" w:rsidR="002B04A0" w:rsidRPr="0009547D" w:rsidRDefault="002B04A0" w:rsidP="00ED0D32">
            <w:pPr>
              <w:bidi w:val="0"/>
              <w:spacing w:line="276" w:lineRule="auto"/>
              <w:rPr>
                <w:rFonts w:asciiTheme="majorBidi" w:hAnsiTheme="majorBidi" w:cstheme="majorBidi"/>
                <w:b w:val="0"/>
                <w:bCs w:val="0"/>
                <w:color w:val="1F1F1F"/>
              </w:rPr>
            </w:pPr>
            <w:r w:rsidRPr="0009547D">
              <w:rPr>
                <w:rFonts w:asciiTheme="majorBidi" w:hAnsiTheme="majorBidi" w:cstheme="majorBidi"/>
                <w:color w:val="1F1F1F"/>
              </w:rPr>
              <w:t>DSM 109244</w:t>
            </w:r>
          </w:p>
        </w:tc>
        <w:tc>
          <w:tcPr>
            <w:cnfStyle w:val="000100000000" w:firstRow="0" w:lastRow="0" w:firstColumn="0" w:lastColumn="1" w:oddVBand="0" w:evenVBand="0" w:oddHBand="0" w:evenHBand="0" w:firstRowFirstColumn="0" w:firstRowLastColumn="0" w:lastRowFirstColumn="0" w:lastRowLastColumn="0"/>
            <w:tcW w:w="3346" w:type="dxa"/>
            <w:hideMark/>
          </w:tcPr>
          <w:p w14:paraId="33D25971" w14:textId="77777777" w:rsidR="002B04A0" w:rsidRPr="0009547D" w:rsidRDefault="002B04A0" w:rsidP="00ED0D32">
            <w:pPr>
              <w:bidi w:val="0"/>
              <w:spacing w:line="276" w:lineRule="auto"/>
              <w:rPr>
                <w:rFonts w:asciiTheme="majorBidi" w:hAnsiTheme="majorBidi" w:cstheme="majorBidi"/>
                <w:b w:val="0"/>
                <w:bCs w:val="0"/>
                <w:color w:val="1F1F1F"/>
              </w:rPr>
            </w:pPr>
            <w:r w:rsidRPr="0009547D">
              <w:rPr>
                <w:rFonts w:asciiTheme="majorBidi" w:hAnsiTheme="majorBidi" w:cstheme="majorBidi"/>
                <w:color w:val="1F1F1F"/>
              </w:rPr>
              <w:t>Pseudomonas juntendi</w:t>
            </w:r>
          </w:p>
        </w:tc>
      </w:tr>
      <w:tr w:rsidR="002B04A0" w:rsidRPr="0009547D" w14:paraId="624AD8AF" w14:textId="77777777" w:rsidTr="00ED0D32">
        <w:trPr>
          <w:trHeight w:val="284"/>
        </w:trPr>
        <w:tc>
          <w:tcPr>
            <w:cnfStyle w:val="001000000000" w:firstRow="0" w:lastRow="0" w:firstColumn="1" w:lastColumn="0" w:oddVBand="0" w:evenVBand="0" w:oddHBand="0" w:evenHBand="0" w:firstRowFirstColumn="0" w:firstRowLastColumn="0" w:lastRowFirstColumn="0" w:lastRowLastColumn="0"/>
            <w:tcW w:w="1488" w:type="dxa"/>
            <w:hideMark/>
          </w:tcPr>
          <w:p w14:paraId="406E6974" w14:textId="77777777" w:rsidR="002B04A0" w:rsidRPr="0009547D" w:rsidRDefault="002B04A0" w:rsidP="00ED0D32">
            <w:pPr>
              <w:bidi w:val="0"/>
              <w:spacing w:line="276" w:lineRule="auto"/>
              <w:rPr>
                <w:rFonts w:asciiTheme="majorBidi" w:hAnsiTheme="majorBidi" w:cstheme="majorBidi"/>
                <w:b w:val="0"/>
                <w:bCs w:val="0"/>
                <w:color w:val="1F1F1F"/>
              </w:rPr>
            </w:pPr>
            <w:r w:rsidRPr="0009547D">
              <w:rPr>
                <w:rFonts w:asciiTheme="majorBidi" w:hAnsiTheme="majorBidi" w:cstheme="majorBidi"/>
                <w:color w:val="1F1F1F"/>
              </w:rPr>
              <w:t>DSM 9318</w:t>
            </w:r>
          </w:p>
        </w:tc>
        <w:tc>
          <w:tcPr>
            <w:cnfStyle w:val="000100000000" w:firstRow="0" w:lastRow="0" w:firstColumn="0" w:lastColumn="1" w:oddVBand="0" w:evenVBand="0" w:oddHBand="0" w:evenHBand="0" w:firstRowFirstColumn="0" w:firstRowLastColumn="0" w:lastRowFirstColumn="0" w:lastRowLastColumn="0"/>
            <w:tcW w:w="3346" w:type="dxa"/>
            <w:hideMark/>
          </w:tcPr>
          <w:p w14:paraId="66D05B48" w14:textId="77777777" w:rsidR="002B04A0" w:rsidRPr="0009547D" w:rsidRDefault="002B04A0" w:rsidP="00ED0D32">
            <w:pPr>
              <w:bidi w:val="0"/>
              <w:spacing w:line="276" w:lineRule="auto"/>
              <w:rPr>
                <w:rFonts w:asciiTheme="majorBidi" w:hAnsiTheme="majorBidi" w:cstheme="majorBidi"/>
                <w:b w:val="0"/>
                <w:bCs w:val="0"/>
                <w:color w:val="1F1F1F"/>
              </w:rPr>
            </w:pPr>
            <w:r w:rsidRPr="0009547D">
              <w:rPr>
                <w:rFonts w:asciiTheme="majorBidi" w:hAnsiTheme="majorBidi" w:cstheme="majorBidi"/>
                <w:color w:val="1F1F1F"/>
              </w:rPr>
              <w:t>Acinetobacter pittii</w:t>
            </w:r>
          </w:p>
        </w:tc>
      </w:tr>
      <w:tr w:rsidR="002B04A0" w:rsidRPr="0009547D" w14:paraId="14988893" w14:textId="77777777" w:rsidTr="00ED0D3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88" w:type="dxa"/>
            <w:hideMark/>
          </w:tcPr>
          <w:p w14:paraId="6C679141" w14:textId="77777777" w:rsidR="002B04A0" w:rsidRPr="0009547D" w:rsidRDefault="002B04A0" w:rsidP="00ED0D32">
            <w:pPr>
              <w:bidi w:val="0"/>
              <w:spacing w:line="276" w:lineRule="auto"/>
              <w:rPr>
                <w:rFonts w:asciiTheme="majorBidi" w:hAnsiTheme="majorBidi" w:cstheme="majorBidi"/>
                <w:b w:val="0"/>
                <w:bCs w:val="0"/>
                <w:color w:val="1F1F1F"/>
              </w:rPr>
            </w:pPr>
            <w:r w:rsidRPr="0009547D">
              <w:rPr>
                <w:rFonts w:asciiTheme="majorBidi" w:hAnsiTheme="majorBidi" w:cstheme="majorBidi"/>
                <w:color w:val="1F1F1F"/>
              </w:rPr>
              <w:t>DSM 100487</w:t>
            </w:r>
          </w:p>
        </w:tc>
        <w:tc>
          <w:tcPr>
            <w:cnfStyle w:val="000100000000" w:firstRow="0" w:lastRow="0" w:firstColumn="0" w:lastColumn="1" w:oddVBand="0" w:evenVBand="0" w:oddHBand="0" w:evenHBand="0" w:firstRowFirstColumn="0" w:firstRowLastColumn="0" w:lastRowFirstColumn="0" w:lastRowLastColumn="0"/>
            <w:tcW w:w="3346" w:type="dxa"/>
            <w:hideMark/>
          </w:tcPr>
          <w:p w14:paraId="5C3C6917" w14:textId="77777777" w:rsidR="002B04A0" w:rsidRPr="0009547D" w:rsidRDefault="002B04A0" w:rsidP="00ED0D32">
            <w:pPr>
              <w:bidi w:val="0"/>
              <w:spacing w:line="276" w:lineRule="auto"/>
              <w:rPr>
                <w:rFonts w:asciiTheme="majorBidi" w:hAnsiTheme="majorBidi" w:cstheme="majorBidi"/>
                <w:b w:val="0"/>
                <w:bCs w:val="0"/>
                <w:color w:val="1F1F1F"/>
              </w:rPr>
            </w:pPr>
            <w:r w:rsidRPr="0009547D">
              <w:rPr>
                <w:rFonts w:asciiTheme="majorBidi" w:hAnsiTheme="majorBidi" w:cstheme="majorBidi"/>
                <w:color w:val="1F1F1F"/>
              </w:rPr>
              <w:t>Brevundimonas nasdae</w:t>
            </w:r>
          </w:p>
        </w:tc>
      </w:tr>
      <w:tr w:rsidR="002B04A0" w:rsidRPr="0009547D" w14:paraId="7ECE40D6" w14:textId="77777777" w:rsidTr="00ED0D32">
        <w:trPr>
          <w:trHeight w:val="283"/>
        </w:trPr>
        <w:tc>
          <w:tcPr>
            <w:cnfStyle w:val="001000000000" w:firstRow="0" w:lastRow="0" w:firstColumn="1" w:lastColumn="0" w:oddVBand="0" w:evenVBand="0" w:oddHBand="0" w:evenHBand="0" w:firstRowFirstColumn="0" w:firstRowLastColumn="0" w:lastRowFirstColumn="0" w:lastRowLastColumn="0"/>
            <w:tcW w:w="1488" w:type="dxa"/>
            <w:hideMark/>
          </w:tcPr>
          <w:p w14:paraId="3ABC347D" w14:textId="77777777" w:rsidR="002B04A0" w:rsidRPr="0009547D" w:rsidRDefault="002B04A0" w:rsidP="00ED0D32">
            <w:pPr>
              <w:bidi w:val="0"/>
              <w:spacing w:line="276" w:lineRule="auto"/>
              <w:rPr>
                <w:rFonts w:asciiTheme="majorBidi" w:hAnsiTheme="majorBidi" w:cstheme="majorBidi"/>
                <w:b w:val="0"/>
                <w:bCs w:val="0"/>
                <w:color w:val="1F1F1F"/>
              </w:rPr>
            </w:pPr>
            <w:r w:rsidRPr="0009547D">
              <w:rPr>
                <w:rFonts w:asciiTheme="majorBidi" w:hAnsiTheme="majorBidi" w:cstheme="majorBidi"/>
                <w:color w:val="1F1F1F"/>
              </w:rPr>
              <w:t>DSM 7099</w:t>
            </w:r>
          </w:p>
        </w:tc>
        <w:tc>
          <w:tcPr>
            <w:cnfStyle w:val="000100000000" w:firstRow="0" w:lastRow="0" w:firstColumn="0" w:lastColumn="1" w:oddVBand="0" w:evenVBand="0" w:oddHBand="0" w:evenHBand="0" w:firstRowFirstColumn="0" w:firstRowLastColumn="0" w:lastRowFirstColumn="0" w:lastRowLastColumn="0"/>
            <w:tcW w:w="3346" w:type="dxa"/>
            <w:hideMark/>
          </w:tcPr>
          <w:p w14:paraId="61366504" w14:textId="77777777" w:rsidR="002B04A0" w:rsidRPr="0009547D" w:rsidRDefault="002B04A0" w:rsidP="00ED0D32">
            <w:pPr>
              <w:bidi w:val="0"/>
              <w:spacing w:line="276" w:lineRule="auto"/>
              <w:rPr>
                <w:rFonts w:asciiTheme="majorBidi" w:hAnsiTheme="majorBidi" w:cstheme="majorBidi"/>
                <w:b w:val="0"/>
                <w:bCs w:val="0"/>
                <w:color w:val="1F1F1F"/>
              </w:rPr>
            </w:pPr>
            <w:r w:rsidRPr="0009547D">
              <w:rPr>
                <w:rFonts w:asciiTheme="majorBidi" w:hAnsiTheme="majorBidi" w:cstheme="majorBidi"/>
                <w:color w:val="1F1F1F"/>
              </w:rPr>
              <w:t>Comamonas terrigena</w:t>
            </w:r>
          </w:p>
        </w:tc>
      </w:tr>
      <w:tr w:rsidR="002B04A0" w:rsidRPr="0009547D" w14:paraId="32F5C631" w14:textId="77777777" w:rsidTr="00ED0D3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88" w:type="dxa"/>
            <w:hideMark/>
          </w:tcPr>
          <w:p w14:paraId="499A51A5" w14:textId="77777777" w:rsidR="002B04A0" w:rsidRPr="0009547D" w:rsidRDefault="002B04A0" w:rsidP="00ED0D32">
            <w:pPr>
              <w:bidi w:val="0"/>
              <w:spacing w:line="276" w:lineRule="auto"/>
              <w:rPr>
                <w:rFonts w:asciiTheme="majorBidi" w:hAnsiTheme="majorBidi" w:cstheme="majorBidi"/>
                <w:b w:val="0"/>
                <w:bCs w:val="0"/>
                <w:color w:val="1F1F1F"/>
              </w:rPr>
            </w:pPr>
            <w:r w:rsidRPr="0009547D">
              <w:rPr>
                <w:rFonts w:asciiTheme="majorBidi" w:hAnsiTheme="majorBidi" w:cstheme="majorBidi"/>
                <w:color w:val="1F1F1F"/>
              </w:rPr>
              <w:t>DSM 100785</w:t>
            </w:r>
          </w:p>
        </w:tc>
        <w:tc>
          <w:tcPr>
            <w:cnfStyle w:val="000100000000" w:firstRow="0" w:lastRow="0" w:firstColumn="0" w:lastColumn="1" w:oddVBand="0" w:evenVBand="0" w:oddHBand="0" w:evenHBand="0" w:firstRowFirstColumn="0" w:firstRowLastColumn="0" w:lastRowFirstColumn="0" w:lastRowLastColumn="0"/>
            <w:tcW w:w="3346" w:type="dxa"/>
            <w:hideMark/>
          </w:tcPr>
          <w:p w14:paraId="403B032E" w14:textId="77777777" w:rsidR="002B04A0" w:rsidRPr="0009547D" w:rsidRDefault="002B04A0" w:rsidP="00ED0D32">
            <w:pPr>
              <w:bidi w:val="0"/>
              <w:spacing w:line="276" w:lineRule="auto"/>
              <w:rPr>
                <w:rFonts w:asciiTheme="majorBidi" w:hAnsiTheme="majorBidi" w:cstheme="majorBidi"/>
                <w:b w:val="0"/>
                <w:bCs w:val="0"/>
                <w:color w:val="1F1F1F"/>
              </w:rPr>
            </w:pPr>
            <w:r w:rsidRPr="0009547D">
              <w:rPr>
                <w:rFonts w:asciiTheme="majorBidi" w:hAnsiTheme="majorBidi" w:cstheme="majorBidi"/>
                <w:color w:val="1F1F1F"/>
              </w:rPr>
              <w:t>Pantoea endophytica</w:t>
            </w:r>
          </w:p>
        </w:tc>
      </w:tr>
      <w:tr w:rsidR="002B04A0" w:rsidRPr="0009547D" w14:paraId="5EEB55C9" w14:textId="77777777" w:rsidTr="00ED0D32">
        <w:trPr>
          <w:trHeight w:val="284"/>
        </w:trPr>
        <w:tc>
          <w:tcPr>
            <w:cnfStyle w:val="001000000000" w:firstRow="0" w:lastRow="0" w:firstColumn="1" w:lastColumn="0" w:oddVBand="0" w:evenVBand="0" w:oddHBand="0" w:evenHBand="0" w:firstRowFirstColumn="0" w:firstRowLastColumn="0" w:lastRowFirstColumn="0" w:lastRowLastColumn="0"/>
            <w:tcW w:w="1488" w:type="dxa"/>
            <w:hideMark/>
          </w:tcPr>
          <w:p w14:paraId="19C10E69" w14:textId="77777777" w:rsidR="002B04A0" w:rsidRPr="0009547D" w:rsidRDefault="002B04A0" w:rsidP="00ED0D32">
            <w:pPr>
              <w:bidi w:val="0"/>
              <w:spacing w:line="276" w:lineRule="auto"/>
              <w:rPr>
                <w:rFonts w:asciiTheme="majorBidi" w:hAnsiTheme="majorBidi" w:cstheme="majorBidi"/>
                <w:b w:val="0"/>
                <w:bCs w:val="0"/>
                <w:color w:val="1F1F1F"/>
              </w:rPr>
            </w:pPr>
            <w:r w:rsidRPr="0009547D">
              <w:rPr>
                <w:rFonts w:asciiTheme="majorBidi" w:hAnsiTheme="majorBidi" w:cstheme="majorBidi"/>
                <w:color w:val="1F1F1F"/>
              </w:rPr>
              <w:t>DSM 23078</w:t>
            </w:r>
          </w:p>
        </w:tc>
        <w:tc>
          <w:tcPr>
            <w:cnfStyle w:val="000100000000" w:firstRow="0" w:lastRow="0" w:firstColumn="0" w:lastColumn="1" w:oddVBand="0" w:evenVBand="0" w:oddHBand="0" w:evenHBand="0" w:firstRowFirstColumn="0" w:firstRowLastColumn="0" w:lastRowFirstColumn="0" w:lastRowLastColumn="0"/>
            <w:tcW w:w="3346" w:type="dxa"/>
            <w:hideMark/>
          </w:tcPr>
          <w:p w14:paraId="1E5285FF" w14:textId="77777777" w:rsidR="002B04A0" w:rsidRPr="0009547D" w:rsidRDefault="002B04A0" w:rsidP="00ED0D32">
            <w:pPr>
              <w:bidi w:val="0"/>
              <w:spacing w:line="276" w:lineRule="auto"/>
              <w:rPr>
                <w:rFonts w:asciiTheme="majorBidi" w:hAnsiTheme="majorBidi" w:cstheme="majorBidi"/>
                <w:b w:val="0"/>
                <w:bCs w:val="0"/>
                <w:color w:val="1F1F1F"/>
              </w:rPr>
            </w:pPr>
            <w:r w:rsidRPr="0009547D">
              <w:rPr>
                <w:rFonts w:asciiTheme="majorBidi" w:hAnsiTheme="majorBidi" w:cstheme="majorBidi"/>
                <w:color w:val="1F1F1F"/>
              </w:rPr>
              <w:t>Pantoea vagans</w:t>
            </w:r>
          </w:p>
        </w:tc>
      </w:tr>
      <w:tr w:rsidR="002B04A0" w:rsidRPr="004D05F5" w14:paraId="21FA935B" w14:textId="77777777" w:rsidTr="00ED0D32">
        <w:trPr>
          <w:cnfStyle w:val="010000000000" w:firstRow="0" w:lastRow="1"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488" w:type="dxa"/>
            <w:hideMark/>
          </w:tcPr>
          <w:p w14:paraId="0546EB2C" w14:textId="77777777" w:rsidR="002B04A0" w:rsidRPr="0009547D" w:rsidRDefault="002B04A0" w:rsidP="00ED0D32">
            <w:pPr>
              <w:bidi w:val="0"/>
              <w:spacing w:line="276" w:lineRule="auto"/>
              <w:rPr>
                <w:rFonts w:asciiTheme="majorBidi" w:hAnsiTheme="majorBidi" w:cstheme="majorBidi"/>
                <w:b w:val="0"/>
                <w:bCs w:val="0"/>
                <w:color w:val="1F1F1F"/>
              </w:rPr>
            </w:pPr>
            <w:r w:rsidRPr="0009547D">
              <w:rPr>
                <w:rFonts w:asciiTheme="majorBidi" w:hAnsiTheme="majorBidi" w:cstheme="majorBidi"/>
                <w:color w:val="1F1F1F"/>
              </w:rPr>
              <w:t>DSM 17000</w:t>
            </w:r>
          </w:p>
        </w:tc>
        <w:tc>
          <w:tcPr>
            <w:cnfStyle w:val="000100000000" w:firstRow="0" w:lastRow="0" w:firstColumn="0" w:lastColumn="1" w:oddVBand="0" w:evenVBand="0" w:oddHBand="0" w:evenHBand="0" w:firstRowFirstColumn="0" w:firstRowLastColumn="0" w:lastRowFirstColumn="0" w:lastRowLastColumn="0"/>
            <w:tcW w:w="3346" w:type="dxa"/>
            <w:hideMark/>
          </w:tcPr>
          <w:p w14:paraId="0CB8A0B9" w14:textId="77777777" w:rsidR="002B04A0" w:rsidRPr="006F68E2" w:rsidRDefault="002B04A0" w:rsidP="00ED0D32">
            <w:pPr>
              <w:bidi w:val="0"/>
              <w:spacing w:line="276" w:lineRule="auto"/>
              <w:rPr>
                <w:rFonts w:asciiTheme="majorBidi" w:hAnsiTheme="majorBidi" w:cstheme="majorBidi"/>
                <w:b w:val="0"/>
                <w:bCs w:val="0"/>
                <w:color w:val="1F1F1F"/>
              </w:rPr>
            </w:pPr>
            <w:r w:rsidRPr="0009547D">
              <w:rPr>
                <w:rFonts w:asciiTheme="majorBidi" w:hAnsiTheme="majorBidi" w:cstheme="majorBidi"/>
                <w:color w:val="1F1F1F"/>
              </w:rPr>
              <w:t>Sphingomonas yunnanensis</w:t>
            </w:r>
          </w:p>
        </w:tc>
      </w:tr>
    </w:tbl>
    <w:p w14:paraId="3512A812" w14:textId="77777777" w:rsidR="002B04A0" w:rsidRDefault="002B04A0" w:rsidP="002B04A0">
      <w:pPr>
        <w:bidi w:val="0"/>
      </w:pPr>
    </w:p>
    <w:p w14:paraId="0423AAF0" w14:textId="03602AFF" w:rsidR="009B6AB6" w:rsidRDefault="009B6AB6" w:rsidP="009B6AB6">
      <w:pPr>
        <w:bidi w:val="0"/>
      </w:pPr>
      <w:r>
        <w:rPr>
          <w:b/>
          <w:bCs/>
        </w:rPr>
        <w:lastRenderedPageBreak/>
        <w:t xml:space="preserve">Supplementary </w:t>
      </w:r>
      <w:r w:rsidRPr="00DC63FA">
        <w:rPr>
          <w:b/>
          <w:bCs/>
        </w:rPr>
        <w:t xml:space="preserve">Table </w:t>
      </w:r>
      <w:r>
        <w:rPr>
          <w:b/>
          <w:bCs/>
        </w:rPr>
        <w:t>4</w:t>
      </w:r>
      <w:r w:rsidRPr="00DC63FA">
        <w:rPr>
          <w:b/>
          <w:bCs/>
        </w:rPr>
        <w:t>. Quantitative assessment of GSMM quality improvement following manual curation.</w:t>
      </w:r>
      <w:r w:rsidRPr="00DC63FA">
        <w:t xml:space="preserve"> </w:t>
      </w:r>
      <w:r w:rsidRPr="00DC63FA">
        <w:rPr>
          <w:i/>
          <w:iCs/>
        </w:rPr>
        <w:t xml:space="preserve">Model quality was evaluated using the MEMOTE test suite. "Orig." refers to the initial automated draft models, while "Gap-Filled" refers to the final manually curated versions. The table compares Stoichiometric Consistency (the percentage of reactions that rigorously conserve mass and charge) and the Total MEMOTE Score (a comprehensive metric of model annotation and feasibility). All values are reported as percentages (%). The "Improvement" columns denote the net </w:t>
      </w:r>
      <w:r>
        <w:rPr>
          <w:i/>
          <w:iCs/>
        </w:rPr>
        <w:t xml:space="preserve">percentage-point increase in model quality achieved through </w:t>
      </w:r>
      <w:r w:rsidRPr="00DC63FA">
        <w:rPr>
          <w:i/>
          <w:iCs/>
        </w:rPr>
        <w:t>targeted reconstruction of biosynthetic pathways and transport mechanisms.</w:t>
      </w:r>
    </w:p>
    <w:tbl>
      <w:tblPr>
        <w:tblStyle w:val="PlainTable2"/>
        <w:tblW w:w="9990" w:type="dxa"/>
        <w:tblInd w:w="-837" w:type="dxa"/>
        <w:tblLayout w:type="fixed"/>
        <w:tblLook w:val="04A0" w:firstRow="1" w:lastRow="0" w:firstColumn="1" w:lastColumn="0" w:noHBand="0" w:noVBand="1"/>
      </w:tblPr>
      <w:tblGrid>
        <w:gridCol w:w="1786"/>
        <w:gridCol w:w="1270"/>
        <w:gridCol w:w="1348"/>
        <w:gridCol w:w="1610"/>
        <w:gridCol w:w="1027"/>
        <w:gridCol w:w="1239"/>
        <w:gridCol w:w="1620"/>
        <w:gridCol w:w="90"/>
      </w:tblGrid>
      <w:tr w:rsidR="009B6AB6" w:rsidRPr="00FE277C" w14:paraId="225CC0C9" w14:textId="77777777" w:rsidTr="00460C88">
        <w:trPr>
          <w:gridAfter w:val="1"/>
          <w:cnfStyle w:val="100000000000" w:firstRow="1" w:lastRow="0" w:firstColumn="0" w:lastColumn="0" w:oddVBand="0" w:evenVBand="0" w:oddHBand="0" w:evenHBand="0" w:firstRowFirstColumn="0" w:firstRowLastColumn="0" w:lastRowFirstColumn="0" w:lastRowLastColumn="0"/>
          <w:wAfter w:w="90" w:type="dxa"/>
          <w:trHeight w:val="290"/>
        </w:trPr>
        <w:tc>
          <w:tcPr>
            <w:cnfStyle w:val="001000000000" w:firstRow="0" w:lastRow="0" w:firstColumn="1" w:lastColumn="0" w:oddVBand="0" w:evenVBand="0" w:oddHBand="0" w:evenHBand="0" w:firstRowFirstColumn="0" w:firstRowLastColumn="0" w:lastRowFirstColumn="0" w:lastRowLastColumn="0"/>
            <w:tcW w:w="1786" w:type="dxa"/>
            <w:hideMark/>
          </w:tcPr>
          <w:p w14:paraId="6761652B" w14:textId="77777777" w:rsidR="009B6AB6" w:rsidRPr="00EE603F" w:rsidRDefault="009B6AB6" w:rsidP="00460C88">
            <w:pPr>
              <w:bidi w:val="0"/>
              <w:spacing w:line="276" w:lineRule="auto"/>
              <w:rPr>
                <w:rFonts w:asciiTheme="majorBidi" w:hAnsiTheme="majorBidi" w:cstheme="majorBidi"/>
              </w:rPr>
            </w:pPr>
            <w:r w:rsidRPr="00EE603F">
              <w:rPr>
                <w:rFonts w:asciiTheme="majorBidi" w:hAnsiTheme="majorBidi" w:cstheme="majorBidi"/>
                <w:color w:val="1F1F1F"/>
              </w:rPr>
              <w:t>Model ID</w:t>
            </w:r>
          </w:p>
        </w:tc>
        <w:tc>
          <w:tcPr>
            <w:tcW w:w="1270" w:type="dxa"/>
            <w:hideMark/>
          </w:tcPr>
          <w:p w14:paraId="1E73145D" w14:textId="77777777" w:rsidR="009B6AB6" w:rsidRPr="00EE603F" w:rsidRDefault="009B6AB6" w:rsidP="00460C88">
            <w:pPr>
              <w:bidi w:val="0"/>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Orig. Stoich</w:t>
            </w:r>
            <w:r>
              <w:rPr>
                <w:rFonts w:asciiTheme="majorBidi" w:hAnsiTheme="majorBidi" w:cstheme="majorBidi"/>
              </w:rPr>
              <w:t>,</w:t>
            </w:r>
          </w:p>
        </w:tc>
        <w:tc>
          <w:tcPr>
            <w:tcW w:w="1348" w:type="dxa"/>
            <w:hideMark/>
          </w:tcPr>
          <w:p w14:paraId="3FE10349" w14:textId="77777777" w:rsidR="009B6AB6" w:rsidRPr="00EE603F" w:rsidRDefault="009B6AB6" w:rsidP="00460C88">
            <w:pPr>
              <w:bidi w:val="0"/>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Gap-Filled Stoich</w:t>
            </w:r>
            <w:r>
              <w:rPr>
                <w:rFonts w:asciiTheme="majorBidi" w:hAnsiTheme="majorBidi" w:cstheme="majorBidi"/>
              </w:rPr>
              <w:t>.</w:t>
            </w:r>
          </w:p>
        </w:tc>
        <w:tc>
          <w:tcPr>
            <w:tcW w:w="1610" w:type="dxa"/>
            <w:hideMark/>
          </w:tcPr>
          <w:p w14:paraId="3647D6A5" w14:textId="77777777" w:rsidR="009B6AB6" w:rsidRPr="00EE603F" w:rsidRDefault="009B6AB6" w:rsidP="00460C88">
            <w:pPr>
              <w:bidi w:val="0"/>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Improvement</w:t>
            </w:r>
          </w:p>
        </w:tc>
        <w:tc>
          <w:tcPr>
            <w:tcW w:w="1027" w:type="dxa"/>
            <w:hideMark/>
          </w:tcPr>
          <w:p w14:paraId="7D024A95" w14:textId="77777777" w:rsidR="009B6AB6" w:rsidRPr="00EE603F" w:rsidRDefault="009B6AB6" w:rsidP="00460C88">
            <w:pPr>
              <w:bidi w:val="0"/>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Orig. Total</w:t>
            </w:r>
          </w:p>
        </w:tc>
        <w:tc>
          <w:tcPr>
            <w:tcW w:w="1239" w:type="dxa"/>
            <w:hideMark/>
          </w:tcPr>
          <w:p w14:paraId="5BF443BE" w14:textId="77777777" w:rsidR="009B6AB6" w:rsidRPr="00EE603F" w:rsidRDefault="009B6AB6" w:rsidP="00460C88">
            <w:pPr>
              <w:bidi w:val="0"/>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Gap-Filled Total</w:t>
            </w:r>
          </w:p>
        </w:tc>
        <w:tc>
          <w:tcPr>
            <w:tcW w:w="1620" w:type="dxa"/>
            <w:hideMark/>
          </w:tcPr>
          <w:p w14:paraId="44D7B58D" w14:textId="77777777" w:rsidR="009B6AB6" w:rsidRPr="00EE603F" w:rsidRDefault="009B6AB6" w:rsidP="00460C88">
            <w:pPr>
              <w:bidi w:val="0"/>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Improvement</w:t>
            </w:r>
          </w:p>
        </w:tc>
      </w:tr>
      <w:tr w:rsidR="009B6AB6" w:rsidRPr="00FE277C" w14:paraId="197717C1" w14:textId="77777777" w:rsidTr="00460C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86" w:type="dxa"/>
            <w:hideMark/>
          </w:tcPr>
          <w:p w14:paraId="5B5C9B56" w14:textId="77777777" w:rsidR="009B6AB6" w:rsidRPr="00EE603F" w:rsidRDefault="009B6AB6" w:rsidP="00460C88">
            <w:pPr>
              <w:bidi w:val="0"/>
              <w:spacing w:line="276" w:lineRule="auto"/>
              <w:rPr>
                <w:rFonts w:asciiTheme="majorBidi" w:hAnsiTheme="majorBidi" w:cstheme="majorBidi"/>
              </w:rPr>
            </w:pPr>
            <w:r w:rsidRPr="00EE603F">
              <w:rPr>
                <w:rFonts w:asciiTheme="majorBidi" w:hAnsiTheme="majorBidi" w:cstheme="majorBidi"/>
                <w:i/>
                <w:iCs/>
              </w:rPr>
              <w:t>S. yunnanensis</w:t>
            </w:r>
          </w:p>
        </w:tc>
        <w:tc>
          <w:tcPr>
            <w:tcW w:w="1270" w:type="dxa"/>
            <w:hideMark/>
          </w:tcPr>
          <w:p w14:paraId="0AC0148D"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46.56</w:t>
            </w:r>
          </w:p>
        </w:tc>
        <w:tc>
          <w:tcPr>
            <w:tcW w:w="1348" w:type="dxa"/>
            <w:hideMark/>
          </w:tcPr>
          <w:p w14:paraId="05E124B1"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48.92</w:t>
            </w:r>
          </w:p>
        </w:tc>
        <w:tc>
          <w:tcPr>
            <w:tcW w:w="1610" w:type="dxa"/>
            <w:hideMark/>
          </w:tcPr>
          <w:p w14:paraId="29494802"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2.36</w:t>
            </w:r>
          </w:p>
        </w:tc>
        <w:tc>
          <w:tcPr>
            <w:tcW w:w="1027" w:type="dxa"/>
            <w:hideMark/>
          </w:tcPr>
          <w:p w14:paraId="7B5C46EB"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68.57</w:t>
            </w:r>
          </w:p>
        </w:tc>
        <w:tc>
          <w:tcPr>
            <w:tcW w:w="1239" w:type="dxa"/>
            <w:hideMark/>
          </w:tcPr>
          <w:p w14:paraId="1E19AF8B"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69.48</w:t>
            </w:r>
          </w:p>
        </w:tc>
        <w:tc>
          <w:tcPr>
            <w:tcW w:w="1710" w:type="dxa"/>
            <w:gridSpan w:val="2"/>
            <w:hideMark/>
          </w:tcPr>
          <w:p w14:paraId="5A7018DF"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0.91</w:t>
            </w:r>
          </w:p>
        </w:tc>
      </w:tr>
      <w:tr w:rsidR="009B6AB6" w:rsidRPr="00FE277C" w14:paraId="4F47FAF2" w14:textId="77777777" w:rsidTr="00460C88">
        <w:trPr>
          <w:trHeight w:val="290"/>
        </w:trPr>
        <w:tc>
          <w:tcPr>
            <w:cnfStyle w:val="001000000000" w:firstRow="0" w:lastRow="0" w:firstColumn="1" w:lastColumn="0" w:oddVBand="0" w:evenVBand="0" w:oddHBand="0" w:evenHBand="0" w:firstRowFirstColumn="0" w:firstRowLastColumn="0" w:lastRowFirstColumn="0" w:lastRowLastColumn="0"/>
            <w:tcW w:w="1786" w:type="dxa"/>
            <w:hideMark/>
          </w:tcPr>
          <w:p w14:paraId="08D6FA71" w14:textId="77777777" w:rsidR="009B6AB6" w:rsidRPr="00EE603F" w:rsidRDefault="009B6AB6" w:rsidP="00460C88">
            <w:pPr>
              <w:bidi w:val="0"/>
              <w:spacing w:line="276" w:lineRule="auto"/>
              <w:rPr>
                <w:rFonts w:asciiTheme="majorBidi" w:hAnsiTheme="majorBidi" w:cstheme="majorBidi"/>
              </w:rPr>
            </w:pPr>
            <w:r w:rsidRPr="00EE603F">
              <w:rPr>
                <w:rFonts w:asciiTheme="majorBidi" w:hAnsiTheme="majorBidi" w:cstheme="majorBidi"/>
                <w:i/>
                <w:iCs/>
              </w:rPr>
              <w:t>K. cowanii</w:t>
            </w:r>
          </w:p>
        </w:tc>
        <w:tc>
          <w:tcPr>
            <w:tcW w:w="1270" w:type="dxa"/>
            <w:hideMark/>
          </w:tcPr>
          <w:p w14:paraId="3A5284C9"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45.07</w:t>
            </w:r>
          </w:p>
        </w:tc>
        <w:tc>
          <w:tcPr>
            <w:tcW w:w="1348" w:type="dxa"/>
            <w:hideMark/>
          </w:tcPr>
          <w:p w14:paraId="0ABCF4A8"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51.36</w:t>
            </w:r>
          </w:p>
        </w:tc>
        <w:tc>
          <w:tcPr>
            <w:tcW w:w="1610" w:type="dxa"/>
            <w:hideMark/>
          </w:tcPr>
          <w:p w14:paraId="0E027826"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6.29</w:t>
            </w:r>
          </w:p>
        </w:tc>
        <w:tc>
          <w:tcPr>
            <w:tcW w:w="1027" w:type="dxa"/>
            <w:hideMark/>
          </w:tcPr>
          <w:p w14:paraId="0FC7F63E"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68.19</w:t>
            </w:r>
          </w:p>
        </w:tc>
        <w:tc>
          <w:tcPr>
            <w:tcW w:w="1239" w:type="dxa"/>
            <w:hideMark/>
          </w:tcPr>
          <w:p w14:paraId="053E50FD"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70.62</w:t>
            </w:r>
          </w:p>
        </w:tc>
        <w:tc>
          <w:tcPr>
            <w:tcW w:w="1710" w:type="dxa"/>
            <w:gridSpan w:val="2"/>
            <w:hideMark/>
          </w:tcPr>
          <w:p w14:paraId="42B5B0AF"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2.43</w:t>
            </w:r>
          </w:p>
        </w:tc>
      </w:tr>
      <w:tr w:rsidR="009B6AB6" w:rsidRPr="00FE277C" w14:paraId="46F0D51A" w14:textId="77777777" w:rsidTr="00460C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86" w:type="dxa"/>
            <w:hideMark/>
          </w:tcPr>
          <w:p w14:paraId="1772F9CC" w14:textId="77777777" w:rsidR="009B6AB6" w:rsidRPr="00EE603F" w:rsidRDefault="009B6AB6" w:rsidP="00460C88">
            <w:pPr>
              <w:bidi w:val="0"/>
              <w:spacing w:line="276" w:lineRule="auto"/>
              <w:rPr>
                <w:rFonts w:asciiTheme="majorBidi" w:hAnsiTheme="majorBidi" w:cstheme="majorBidi"/>
              </w:rPr>
            </w:pPr>
            <w:r w:rsidRPr="00EE603F">
              <w:rPr>
                <w:rFonts w:asciiTheme="majorBidi" w:hAnsiTheme="majorBidi" w:cstheme="majorBidi"/>
                <w:i/>
                <w:iCs/>
              </w:rPr>
              <w:t>P. juntendi</w:t>
            </w:r>
          </w:p>
        </w:tc>
        <w:tc>
          <w:tcPr>
            <w:tcW w:w="1270" w:type="dxa"/>
            <w:hideMark/>
          </w:tcPr>
          <w:p w14:paraId="30E5BF75"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47.02</w:t>
            </w:r>
          </w:p>
        </w:tc>
        <w:tc>
          <w:tcPr>
            <w:tcW w:w="1348" w:type="dxa"/>
            <w:hideMark/>
          </w:tcPr>
          <w:p w14:paraId="78EEB5C1"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49.43</w:t>
            </w:r>
          </w:p>
        </w:tc>
        <w:tc>
          <w:tcPr>
            <w:tcW w:w="1610" w:type="dxa"/>
            <w:hideMark/>
          </w:tcPr>
          <w:p w14:paraId="78BFAD8A"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2.41</w:t>
            </w:r>
          </w:p>
        </w:tc>
        <w:tc>
          <w:tcPr>
            <w:tcW w:w="1027" w:type="dxa"/>
            <w:hideMark/>
          </w:tcPr>
          <w:p w14:paraId="6C716DDB"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68.71</w:t>
            </w:r>
          </w:p>
        </w:tc>
        <w:tc>
          <w:tcPr>
            <w:tcW w:w="1239" w:type="dxa"/>
            <w:hideMark/>
          </w:tcPr>
          <w:p w14:paraId="56906BF5"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69.61</w:t>
            </w:r>
          </w:p>
        </w:tc>
        <w:tc>
          <w:tcPr>
            <w:tcW w:w="1710" w:type="dxa"/>
            <w:gridSpan w:val="2"/>
            <w:hideMark/>
          </w:tcPr>
          <w:p w14:paraId="7D8A8A84"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0.9</w:t>
            </w:r>
          </w:p>
        </w:tc>
      </w:tr>
      <w:tr w:rsidR="009B6AB6" w:rsidRPr="00FE277C" w14:paraId="692EE43C" w14:textId="77777777" w:rsidTr="00460C88">
        <w:trPr>
          <w:trHeight w:val="290"/>
        </w:trPr>
        <w:tc>
          <w:tcPr>
            <w:cnfStyle w:val="001000000000" w:firstRow="0" w:lastRow="0" w:firstColumn="1" w:lastColumn="0" w:oddVBand="0" w:evenVBand="0" w:oddHBand="0" w:evenHBand="0" w:firstRowFirstColumn="0" w:firstRowLastColumn="0" w:lastRowFirstColumn="0" w:lastRowLastColumn="0"/>
            <w:tcW w:w="1786" w:type="dxa"/>
            <w:hideMark/>
          </w:tcPr>
          <w:p w14:paraId="202C16B2" w14:textId="77777777" w:rsidR="009B6AB6" w:rsidRPr="00EE603F" w:rsidRDefault="009B6AB6" w:rsidP="00460C88">
            <w:pPr>
              <w:bidi w:val="0"/>
              <w:spacing w:line="276" w:lineRule="auto"/>
              <w:rPr>
                <w:rFonts w:asciiTheme="majorBidi" w:hAnsiTheme="majorBidi" w:cstheme="majorBidi"/>
              </w:rPr>
            </w:pPr>
            <w:r w:rsidRPr="00EE603F">
              <w:rPr>
                <w:rFonts w:asciiTheme="majorBidi" w:hAnsiTheme="majorBidi" w:cstheme="majorBidi"/>
                <w:i/>
                <w:iCs/>
              </w:rPr>
              <w:t>A. pittii</w:t>
            </w:r>
          </w:p>
        </w:tc>
        <w:tc>
          <w:tcPr>
            <w:tcW w:w="1270" w:type="dxa"/>
            <w:hideMark/>
          </w:tcPr>
          <w:p w14:paraId="566F72BE"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50.98</w:t>
            </w:r>
          </w:p>
        </w:tc>
        <w:tc>
          <w:tcPr>
            <w:tcW w:w="1348" w:type="dxa"/>
            <w:hideMark/>
          </w:tcPr>
          <w:p w14:paraId="0C91D930"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51.15</w:t>
            </w:r>
          </w:p>
        </w:tc>
        <w:tc>
          <w:tcPr>
            <w:tcW w:w="1610" w:type="dxa"/>
            <w:hideMark/>
          </w:tcPr>
          <w:p w14:paraId="5245CB12"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0.17</w:t>
            </w:r>
          </w:p>
        </w:tc>
        <w:tc>
          <w:tcPr>
            <w:tcW w:w="1027" w:type="dxa"/>
            <w:hideMark/>
          </w:tcPr>
          <w:p w14:paraId="5A8C5A10"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70.37</w:t>
            </w:r>
          </w:p>
        </w:tc>
        <w:tc>
          <w:tcPr>
            <w:tcW w:w="1239" w:type="dxa"/>
            <w:hideMark/>
          </w:tcPr>
          <w:p w14:paraId="55680090"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74.01</w:t>
            </w:r>
          </w:p>
        </w:tc>
        <w:tc>
          <w:tcPr>
            <w:tcW w:w="1710" w:type="dxa"/>
            <w:gridSpan w:val="2"/>
            <w:hideMark/>
          </w:tcPr>
          <w:p w14:paraId="11EA6B9B"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3.64</w:t>
            </w:r>
          </w:p>
        </w:tc>
      </w:tr>
      <w:tr w:rsidR="009B6AB6" w:rsidRPr="00FE277C" w14:paraId="63B91D8E" w14:textId="77777777" w:rsidTr="00460C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86" w:type="dxa"/>
            <w:hideMark/>
          </w:tcPr>
          <w:p w14:paraId="46F6C436" w14:textId="77777777" w:rsidR="009B6AB6" w:rsidRPr="00EE603F" w:rsidRDefault="009B6AB6" w:rsidP="00460C88">
            <w:pPr>
              <w:bidi w:val="0"/>
              <w:spacing w:line="276" w:lineRule="auto"/>
              <w:rPr>
                <w:rFonts w:asciiTheme="majorBidi" w:hAnsiTheme="majorBidi" w:cstheme="majorBidi"/>
              </w:rPr>
            </w:pPr>
            <w:r w:rsidRPr="00EE603F">
              <w:rPr>
                <w:rFonts w:asciiTheme="majorBidi" w:hAnsiTheme="majorBidi" w:cstheme="majorBidi"/>
                <w:i/>
                <w:iCs/>
              </w:rPr>
              <w:t>B. nasdae</w:t>
            </w:r>
          </w:p>
        </w:tc>
        <w:tc>
          <w:tcPr>
            <w:tcW w:w="1270" w:type="dxa"/>
            <w:hideMark/>
          </w:tcPr>
          <w:p w14:paraId="03D23379"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90.62</w:t>
            </w:r>
          </w:p>
        </w:tc>
        <w:tc>
          <w:tcPr>
            <w:tcW w:w="1348" w:type="dxa"/>
            <w:hideMark/>
          </w:tcPr>
          <w:p w14:paraId="320D52FE"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92.15</w:t>
            </w:r>
          </w:p>
        </w:tc>
        <w:tc>
          <w:tcPr>
            <w:tcW w:w="1610" w:type="dxa"/>
            <w:hideMark/>
          </w:tcPr>
          <w:p w14:paraId="4435B04B"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1.53</w:t>
            </w:r>
          </w:p>
        </w:tc>
        <w:tc>
          <w:tcPr>
            <w:tcW w:w="1027" w:type="dxa"/>
            <w:hideMark/>
          </w:tcPr>
          <w:p w14:paraId="5AB8F4CD"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85.78</w:t>
            </w:r>
          </w:p>
        </w:tc>
        <w:tc>
          <w:tcPr>
            <w:tcW w:w="1239" w:type="dxa"/>
            <w:hideMark/>
          </w:tcPr>
          <w:p w14:paraId="04944839"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86.33</w:t>
            </w:r>
          </w:p>
        </w:tc>
        <w:tc>
          <w:tcPr>
            <w:tcW w:w="1710" w:type="dxa"/>
            <w:gridSpan w:val="2"/>
            <w:hideMark/>
          </w:tcPr>
          <w:p w14:paraId="47A36DD3"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0.55</w:t>
            </w:r>
          </w:p>
        </w:tc>
      </w:tr>
      <w:tr w:rsidR="009B6AB6" w:rsidRPr="00FE277C" w14:paraId="756BB11E" w14:textId="77777777" w:rsidTr="00460C88">
        <w:trPr>
          <w:trHeight w:val="290"/>
        </w:trPr>
        <w:tc>
          <w:tcPr>
            <w:cnfStyle w:val="001000000000" w:firstRow="0" w:lastRow="0" w:firstColumn="1" w:lastColumn="0" w:oddVBand="0" w:evenVBand="0" w:oddHBand="0" w:evenHBand="0" w:firstRowFirstColumn="0" w:firstRowLastColumn="0" w:lastRowFirstColumn="0" w:lastRowLastColumn="0"/>
            <w:tcW w:w="1786" w:type="dxa"/>
            <w:hideMark/>
          </w:tcPr>
          <w:p w14:paraId="4FAFABA0" w14:textId="77777777" w:rsidR="009B6AB6" w:rsidRPr="00EE603F" w:rsidRDefault="009B6AB6" w:rsidP="00460C88">
            <w:pPr>
              <w:bidi w:val="0"/>
              <w:spacing w:line="276" w:lineRule="auto"/>
              <w:rPr>
                <w:rFonts w:asciiTheme="majorBidi" w:hAnsiTheme="majorBidi" w:cstheme="majorBidi"/>
              </w:rPr>
            </w:pPr>
            <w:r w:rsidRPr="00EE603F">
              <w:rPr>
                <w:rFonts w:asciiTheme="majorBidi" w:hAnsiTheme="majorBidi" w:cstheme="majorBidi"/>
                <w:i/>
                <w:iCs/>
              </w:rPr>
              <w:t>C. terrigena</w:t>
            </w:r>
          </w:p>
        </w:tc>
        <w:tc>
          <w:tcPr>
            <w:tcW w:w="1270" w:type="dxa"/>
            <w:hideMark/>
          </w:tcPr>
          <w:p w14:paraId="2157E734"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44.72</w:t>
            </w:r>
          </w:p>
        </w:tc>
        <w:tc>
          <w:tcPr>
            <w:tcW w:w="1348" w:type="dxa"/>
            <w:hideMark/>
          </w:tcPr>
          <w:p w14:paraId="444D73B5"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48.34</w:t>
            </w:r>
          </w:p>
        </w:tc>
        <w:tc>
          <w:tcPr>
            <w:tcW w:w="1610" w:type="dxa"/>
            <w:hideMark/>
          </w:tcPr>
          <w:p w14:paraId="6A5CBAF9"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3.62</w:t>
            </w:r>
          </w:p>
        </w:tc>
        <w:tc>
          <w:tcPr>
            <w:tcW w:w="1027" w:type="dxa"/>
            <w:hideMark/>
          </w:tcPr>
          <w:p w14:paraId="027DC298"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67.88</w:t>
            </w:r>
          </w:p>
        </w:tc>
        <w:tc>
          <w:tcPr>
            <w:tcW w:w="1239" w:type="dxa"/>
            <w:hideMark/>
          </w:tcPr>
          <w:p w14:paraId="2D9EF66B"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72.75</w:t>
            </w:r>
          </w:p>
        </w:tc>
        <w:tc>
          <w:tcPr>
            <w:tcW w:w="1710" w:type="dxa"/>
            <w:gridSpan w:val="2"/>
            <w:hideMark/>
          </w:tcPr>
          <w:p w14:paraId="46603F5D"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4.87</w:t>
            </w:r>
          </w:p>
        </w:tc>
      </w:tr>
      <w:tr w:rsidR="009B6AB6" w:rsidRPr="00FE277C" w14:paraId="2FF8B13B" w14:textId="77777777" w:rsidTr="00460C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86" w:type="dxa"/>
            <w:hideMark/>
          </w:tcPr>
          <w:p w14:paraId="3F76C00A" w14:textId="77777777" w:rsidR="009B6AB6" w:rsidRPr="00EE603F" w:rsidRDefault="009B6AB6" w:rsidP="00460C88">
            <w:pPr>
              <w:bidi w:val="0"/>
              <w:spacing w:line="276" w:lineRule="auto"/>
              <w:rPr>
                <w:rFonts w:asciiTheme="majorBidi" w:hAnsiTheme="majorBidi" w:cstheme="majorBidi"/>
              </w:rPr>
            </w:pPr>
            <w:r w:rsidRPr="00EE603F">
              <w:rPr>
                <w:rFonts w:asciiTheme="majorBidi" w:hAnsiTheme="majorBidi" w:cstheme="majorBidi"/>
                <w:i/>
                <w:iCs/>
              </w:rPr>
              <w:t>P. vagans</w:t>
            </w:r>
          </w:p>
        </w:tc>
        <w:tc>
          <w:tcPr>
            <w:tcW w:w="1270" w:type="dxa"/>
            <w:hideMark/>
          </w:tcPr>
          <w:p w14:paraId="49B20817"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87.94</w:t>
            </w:r>
          </w:p>
        </w:tc>
        <w:tc>
          <w:tcPr>
            <w:tcW w:w="1348" w:type="dxa"/>
            <w:hideMark/>
          </w:tcPr>
          <w:p w14:paraId="4DED26A2"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93.4</w:t>
            </w:r>
          </w:p>
        </w:tc>
        <w:tc>
          <w:tcPr>
            <w:tcW w:w="1610" w:type="dxa"/>
            <w:hideMark/>
          </w:tcPr>
          <w:p w14:paraId="1DEFEB3F"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5.46</w:t>
            </w:r>
          </w:p>
        </w:tc>
        <w:tc>
          <w:tcPr>
            <w:tcW w:w="1027" w:type="dxa"/>
            <w:hideMark/>
          </w:tcPr>
          <w:p w14:paraId="182093ED"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84.88</w:t>
            </w:r>
          </w:p>
        </w:tc>
        <w:tc>
          <w:tcPr>
            <w:tcW w:w="1239" w:type="dxa"/>
            <w:hideMark/>
          </w:tcPr>
          <w:p w14:paraId="34D79BE1"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90.68</w:t>
            </w:r>
          </w:p>
        </w:tc>
        <w:tc>
          <w:tcPr>
            <w:tcW w:w="1710" w:type="dxa"/>
            <w:gridSpan w:val="2"/>
            <w:hideMark/>
          </w:tcPr>
          <w:p w14:paraId="4E83C3BB"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5.8</w:t>
            </w:r>
          </w:p>
        </w:tc>
      </w:tr>
      <w:tr w:rsidR="009B6AB6" w:rsidRPr="00FE277C" w14:paraId="3CB2540E" w14:textId="77777777" w:rsidTr="00460C88">
        <w:trPr>
          <w:trHeight w:val="290"/>
        </w:trPr>
        <w:tc>
          <w:tcPr>
            <w:cnfStyle w:val="001000000000" w:firstRow="0" w:lastRow="0" w:firstColumn="1" w:lastColumn="0" w:oddVBand="0" w:evenVBand="0" w:oddHBand="0" w:evenHBand="0" w:firstRowFirstColumn="0" w:firstRowLastColumn="0" w:lastRowFirstColumn="0" w:lastRowLastColumn="0"/>
            <w:tcW w:w="1786" w:type="dxa"/>
            <w:hideMark/>
          </w:tcPr>
          <w:p w14:paraId="72B3E52B" w14:textId="77777777" w:rsidR="009B6AB6" w:rsidRPr="00EE603F" w:rsidRDefault="009B6AB6" w:rsidP="00460C88">
            <w:pPr>
              <w:bidi w:val="0"/>
              <w:spacing w:line="276" w:lineRule="auto"/>
              <w:rPr>
                <w:rFonts w:asciiTheme="majorBidi" w:hAnsiTheme="majorBidi" w:cstheme="majorBidi"/>
              </w:rPr>
            </w:pPr>
            <w:r w:rsidRPr="00EE603F">
              <w:rPr>
                <w:rFonts w:asciiTheme="majorBidi" w:hAnsiTheme="majorBidi" w:cstheme="majorBidi"/>
                <w:i/>
                <w:iCs/>
              </w:rPr>
              <w:t>P. endophytica</w:t>
            </w:r>
          </w:p>
        </w:tc>
        <w:tc>
          <w:tcPr>
            <w:tcW w:w="1270" w:type="dxa"/>
            <w:hideMark/>
          </w:tcPr>
          <w:p w14:paraId="7A6BA06C"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45.1</w:t>
            </w:r>
          </w:p>
        </w:tc>
        <w:tc>
          <w:tcPr>
            <w:tcW w:w="1348" w:type="dxa"/>
            <w:hideMark/>
          </w:tcPr>
          <w:p w14:paraId="0DF64E8A"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50.59</w:t>
            </w:r>
          </w:p>
        </w:tc>
        <w:tc>
          <w:tcPr>
            <w:tcW w:w="1610" w:type="dxa"/>
            <w:hideMark/>
          </w:tcPr>
          <w:p w14:paraId="3D2FCEFD"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5.49</w:t>
            </w:r>
          </w:p>
        </w:tc>
        <w:tc>
          <w:tcPr>
            <w:tcW w:w="1027" w:type="dxa"/>
            <w:hideMark/>
          </w:tcPr>
          <w:p w14:paraId="6E2484FE"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68.22</w:t>
            </w:r>
          </w:p>
        </w:tc>
        <w:tc>
          <w:tcPr>
            <w:tcW w:w="1239" w:type="dxa"/>
            <w:hideMark/>
          </w:tcPr>
          <w:p w14:paraId="0A0EF040"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70.32</w:t>
            </w:r>
          </w:p>
        </w:tc>
        <w:tc>
          <w:tcPr>
            <w:tcW w:w="1710" w:type="dxa"/>
            <w:gridSpan w:val="2"/>
            <w:hideMark/>
          </w:tcPr>
          <w:p w14:paraId="7A2370FB" w14:textId="77777777" w:rsidR="009B6AB6" w:rsidRPr="00EE603F" w:rsidRDefault="009B6AB6" w:rsidP="00460C8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2.1</w:t>
            </w:r>
          </w:p>
        </w:tc>
      </w:tr>
      <w:tr w:rsidR="009B6AB6" w:rsidRPr="00FE277C" w14:paraId="682FDBB1" w14:textId="77777777" w:rsidTr="00460C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86" w:type="dxa"/>
            <w:hideMark/>
          </w:tcPr>
          <w:p w14:paraId="204F7521" w14:textId="77777777" w:rsidR="009B6AB6" w:rsidRPr="00EE603F" w:rsidRDefault="009B6AB6" w:rsidP="00460C88">
            <w:pPr>
              <w:bidi w:val="0"/>
              <w:spacing w:line="276" w:lineRule="auto"/>
              <w:rPr>
                <w:rFonts w:asciiTheme="majorBidi" w:hAnsiTheme="majorBidi" w:cstheme="majorBidi"/>
              </w:rPr>
            </w:pPr>
            <w:r w:rsidRPr="00EE603F">
              <w:rPr>
                <w:rFonts w:asciiTheme="majorBidi" w:hAnsiTheme="majorBidi" w:cstheme="majorBidi"/>
                <w:i/>
                <w:iCs/>
              </w:rPr>
              <w:t>M. radiotolerans</w:t>
            </w:r>
          </w:p>
        </w:tc>
        <w:tc>
          <w:tcPr>
            <w:tcW w:w="1270" w:type="dxa"/>
            <w:hideMark/>
          </w:tcPr>
          <w:p w14:paraId="234D36E0"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46</w:t>
            </w:r>
          </w:p>
        </w:tc>
        <w:tc>
          <w:tcPr>
            <w:tcW w:w="1348" w:type="dxa"/>
            <w:hideMark/>
          </w:tcPr>
          <w:p w14:paraId="643EF894"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49.22</w:t>
            </w:r>
          </w:p>
        </w:tc>
        <w:tc>
          <w:tcPr>
            <w:tcW w:w="1610" w:type="dxa"/>
            <w:hideMark/>
          </w:tcPr>
          <w:p w14:paraId="5ED3315C"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3.22</w:t>
            </w:r>
          </w:p>
        </w:tc>
        <w:tc>
          <w:tcPr>
            <w:tcW w:w="1027" w:type="dxa"/>
            <w:hideMark/>
          </w:tcPr>
          <w:p w14:paraId="67199054"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68.35</w:t>
            </w:r>
          </w:p>
        </w:tc>
        <w:tc>
          <w:tcPr>
            <w:tcW w:w="1239" w:type="dxa"/>
            <w:hideMark/>
          </w:tcPr>
          <w:p w14:paraId="5AC2D4A9"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70.59</w:t>
            </w:r>
          </w:p>
        </w:tc>
        <w:tc>
          <w:tcPr>
            <w:tcW w:w="1710" w:type="dxa"/>
            <w:gridSpan w:val="2"/>
            <w:hideMark/>
          </w:tcPr>
          <w:p w14:paraId="7F6531AE" w14:textId="77777777" w:rsidR="009B6AB6" w:rsidRPr="00EE603F" w:rsidRDefault="009B6AB6" w:rsidP="00460C8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E603F">
              <w:rPr>
                <w:rFonts w:asciiTheme="majorBidi" w:hAnsiTheme="majorBidi" w:cstheme="majorBidi"/>
                <w:color w:val="1F1F1F"/>
              </w:rPr>
              <w:t>2.24</w:t>
            </w:r>
          </w:p>
        </w:tc>
      </w:tr>
    </w:tbl>
    <w:p w14:paraId="0FE94C60" w14:textId="77777777" w:rsidR="009B6AB6" w:rsidRDefault="009B6AB6" w:rsidP="009B6AB6">
      <w:pPr>
        <w:bidi w:val="0"/>
      </w:pPr>
    </w:p>
    <w:tbl>
      <w:tblPr>
        <w:tblStyle w:val="TableGrid"/>
        <w:tblW w:w="0" w:type="auto"/>
        <w:tblLook w:val="04A0" w:firstRow="1" w:lastRow="0" w:firstColumn="1" w:lastColumn="0" w:noHBand="0" w:noVBand="1"/>
      </w:tblPr>
      <w:tblGrid>
        <w:gridCol w:w="8296"/>
      </w:tblGrid>
      <w:tr w:rsidR="00825160" w14:paraId="1EA81E20" w14:textId="77777777" w:rsidTr="00825160">
        <w:tc>
          <w:tcPr>
            <w:tcW w:w="8296" w:type="dxa"/>
          </w:tcPr>
          <w:p w14:paraId="761BAC26" w14:textId="1203F2D2" w:rsidR="00825160" w:rsidRDefault="00F352F9" w:rsidP="00825160">
            <w:pPr>
              <w:bidi w:val="0"/>
            </w:pPr>
            <w:r>
              <w:rPr>
                <w:noProof/>
              </w:rPr>
              <w:drawing>
                <wp:inline distT="0" distB="0" distL="0" distR="0" wp14:anchorId="3C87237A" wp14:editId="0966E202">
                  <wp:extent cx="4878729" cy="2536281"/>
                  <wp:effectExtent l="0" t="0" r="0" b="0"/>
                  <wp:docPr id="120730044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00446" name="תמונה 1207300446"/>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82007" cy="2537985"/>
                          </a:xfrm>
                          <a:prstGeom prst="rect">
                            <a:avLst/>
                          </a:prstGeom>
                        </pic:spPr>
                      </pic:pic>
                    </a:graphicData>
                  </a:graphic>
                </wp:inline>
              </w:drawing>
            </w:r>
          </w:p>
        </w:tc>
      </w:tr>
      <w:tr w:rsidR="00825160" w14:paraId="1D09557F" w14:textId="77777777" w:rsidTr="00825160">
        <w:tc>
          <w:tcPr>
            <w:tcW w:w="8296" w:type="dxa"/>
          </w:tcPr>
          <w:p w14:paraId="32986FE4" w14:textId="3768146B" w:rsidR="00FF2696" w:rsidRDefault="00466222" w:rsidP="00A260A1">
            <w:pPr>
              <w:bidi w:val="0"/>
              <w:jc w:val="both"/>
            </w:pPr>
            <w:r w:rsidRPr="00466222">
              <w:rPr>
                <w:b/>
                <w:bCs/>
              </w:rPr>
              <w:t xml:space="preserve">Supplementary Figure 1. </w:t>
            </w:r>
            <w:r w:rsidRPr="00466222">
              <w:rPr>
                <w:b/>
                <w:bCs/>
                <w:i/>
                <w:iCs/>
              </w:rPr>
              <w:t>In</w:t>
            </w:r>
            <w:r>
              <w:rPr>
                <w:b/>
                <w:bCs/>
                <w:i/>
                <w:iCs/>
              </w:rPr>
              <w:t>-</w:t>
            </w:r>
            <w:r w:rsidRPr="00466222">
              <w:rPr>
                <w:b/>
                <w:bCs/>
                <w:i/>
                <w:iCs/>
              </w:rPr>
              <w:t>silico</w:t>
            </w:r>
            <w:r w:rsidRPr="00466222">
              <w:rPr>
                <w:b/>
                <w:bCs/>
              </w:rPr>
              <w:t xml:space="preserve"> growth rate validation and gap-filling impact across diverse nutrient environments.</w:t>
            </w:r>
            <w:r w:rsidRPr="00466222">
              <w:t xml:space="preserve"> Predicted growth rates for reconstructed GSMMs across three distinct media conditions: Rich (green), Minimal (red), and Apple-</w:t>
            </w:r>
            <w:r>
              <w:t>like medium</w:t>
            </w:r>
            <w:r w:rsidRPr="00466222">
              <w:t xml:space="preserve"> (gold) media. Bars represent the predicted growth flux for both "Original" (darker shades) and "Gap-filled" (lighter shades) versions of each model. Gap-filling was performed to resolve network gaps and enable biomass production, particularly in nutrient-limited environments. Growth rates are expressed as the objective function flux </w:t>
            </w:r>
            <w:r w:rsidR="00991910">
              <w:t>h</w:t>
            </w:r>
            <w:r w:rsidRPr="00466222">
              <w:rPr>
                <w:vertAlign w:val="superscript"/>
              </w:rPr>
              <w:t>-1</w:t>
            </w:r>
            <w:r w:rsidRPr="00466222">
              <w:t>.</w:t>
            </w:r>
          </w:p>
        </w:tc>
      </w:tr>
    </w:tbl>
    <w:p w14:paraId="68230EB4" w14:textId="77777777" w:rsidR="00666579" w:rsidRDefault="00666579" w:rsidP="00825160">
      <w:pPr>
        <w:bidi w:val="0"/>
      </w:pPr>
    </w:p>
    <w:p w14:paraId="2EDCAD66" w14:textId="77777777" w:rsidR="006F1186" w:rsidRDefault="006F1186" w:rsidP="000A1DAD">
      <w:pPr>
        <w:bidi w:val="0"/>
      </w:pPr>
    </w:p>
    <w:p w14:paraId="0E251E97" w14:textId="77777777" w:rsidR="00A260A1" w:rsidRDefault="00A260A1" w:rsidP="00A260A1">
      <w:pPr>
        <w:bidi w:val="0"/>
      </w:pPr>
    </w:p>
    <w:p w14:paraId="1C71E0DE" w14:textId="77777777" w:rsidR="00A260A1" w:rsidRDefault="00A260A1" w:rsidP="00A260A1">
      <w:pPr>
        <w:bidi w:val="0"/>
      </w:pPr>
    </w:p>
    <w:p w14:paraId="593788F0" w14:textId="77777777" w:rsidR="00A260A1" w:rsidRDefault="00A260A1" w:rsidP="00A260A1">
      <w:pPr>
        <w:bidi w:val="0"/>
      </w:pPr>
    </w:p>
    <w:p w14:paraId="3FA369C6" w14:textId="77777777" w:rsidR="00A260A1" w:rsidRDefault="00A260A1" w:rsidP="00A260A1">
      <w:pPr>
        <w:bidi w:val="0"/>
      </w:pPr>
    </w:p>
    <w:p w14:paraId="3D04AF8A" w14:textId="77777777" w:rsidR="00A260A1" w:rsidRDefault="00A260A1" w:rsidP="00A260A1">
      <w:pPr>
        <w:bidi w:val="0"/>
      </w:pPr>
    </w:p>
    <w:p w14:paraId="5DBD2F1A" w14:textId="2CE1C839" w:rsidR="00A71966" w:rsidRDefault="00A71966" w:rsidP="006F1186">
      <w:pPr>
        <w:bidi w:val="0"/>
      </w:pPr>
    </w:p>
    <w:tbl>
      <w:tblPr>
        <w:tblStyle w:val="TableGrid"/>
        <w:tblpPr w:leftFromText="180" w:rightFromText="180" w:vertAnchor="page" w:horzAnchor="margin" w:tblpY="1423"/>
        <w:tblW w:w="0" w:type="auto"/>
        <w:tblLook w:val="04A0" w:firstRow="1" w:lastRow="0" w:firstColumn="1" w:lastColumn="0" w:noHBand="0" w:noVBand="1"/>
      </w:tblPr>
      <w:tblGrid>
        <w:gridCol w:w="8296"/>
      </w:tblGrid>
      <w:tr w:rsidR="00A71966" w14:paraId="664A7C13" w14:textId="77777777" w:rsidTr="00A71966">
        <w:tc>
          <w:tcPr>
            <w:tcW w:w="8296" w:type="dxa"/>
          </w:tcPr>
          <w:p w14:paraId="3D404958" w14:textId="5EBA9E83" w:rsidR="00A71966" w:rsidRDefault="00A52FF3" w:rsidP="00A71966">
            <w:pPr>
              <w:bidi w:val="0"/>
            </w:pPr>
            <w:r>
              <w:rPr>
                <w:noProof/>
              </w:rPr>
              <w:drawing>
                <wp:inline distT="0" distB="0" distL="0" distR="0" wp14:anchorId="385FEF97" wp14:editId="215CAE95">
                  <wp:extent cx="5127165" cy="4154442"/>
                  <wp:effectExtent l="0" t="0" r="0" b="0"/>
                  <wp:docPr id="921858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58559" name="Picture 92185855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27967" cy="4155092"/>
                          </a:xfrm>
                          <a:prstGeom prst="rect">
                            <a:avLst/>
                          </a:prstGeom>
                        </pic:spPr>
                      </pic:pic>
                    </a:graphicData>
                  </a:graphic>
                </wp:inline>
              </w:drawing>
            </w:r>
          </w:p>
        </w:tc>
      </w:tr>
      <w:tr w:rsidR="00A71966" w14:paraId="3D16D808" w14:textId="77777777" w:rsidTr="00A71966">
        <w:tc>
          <w:tcPr>
            <w:tcW w:w="8296" w:type="dxa"/>
          </w:tcPr>
          <w:p w14:paraId="52F5DC72" w14:textId="14C1D0E0" w:rsidR="00763757" w:rsidRDefault="000C723E" w:rsidP="00A260A1">
            <w:pPr>
              <w:bidi w:val="0"/>
              <w:jc w:val="both"/>
            </w:pPr>
            <w:r w:rsidRPr="000C723E">
              <w:rPr>
                <w:b/>
                <w:bCs/>
              </w:rPr>
              <w:t xml:space="preserve">Supplementary Figure </w:t>
            </w:r>
            <w:r w:rsidR="00447439">
              <w:rPr>
                <w:b/>
                <w:bCs/>
              </w:rPr>
              <w:t>2</w:t>
            </w:r>
            <w:r w:rsidRPr="000C723E">
              <w:rPr>
                <w:b/>
                <w:bCs/>
              </w:rPr>
              <w:t xml:space="preserve">: Pathway reconstruction and functional refinement of the </w:t>
            </w:r>
            <w:r w:rsidRPr="000C723E">
              <w:rPr>
                <w:b/>
                <w:bCs/>
                <w:i/>
                <w:iCs/>
              </w:rPr>
              <w:t>A.pittii</w:t>
            </w:r>
            <w:r w:rsidRPr="000C723E">
              <w:rPr>
                <w:b/>
                <w:bCs/>
              </w:rPr>
              <w:t xml:space="preserve"> metabolic model.</w:t>
            </w:r>
            <w:r w:rsidRPr="000C723E">
              <w:t xml:space="preserve"> Schematic representation of the manual curation performed to restore critical metabolic capabilities required for biomass formation. Nodes represent metabolites (ellipses) and enzymatic reactions or downstream pathways (rectangles). Reaction nodes are color-coded by origin: purple indicates reactions present in the automated draft, green denotes genome-supported additions, and yellow highlights gap-filled reactions added from a universal database. Dashed grey rectangles represent downstream pathway blocks. Metabolite statuses are distinguished by color: red for dead-ends, light blue for intermediates, green for metabolic bottlenecks, and orange for unproduced biomass components. The network diagram illustrates the specific routes reconstructed to bridge metabolic discontinuities, including the addition of glucose and sucrose transporters to bypass central carbon bottlenecks, the depiction of a blocked fructose transport route in accordance with laboratory results, the integration of 2S6HCCi, SUCBZS, and SUCBZL to enable menaquinol biosynthesis, and the gap-filling of thiamine (HMPS, DXS) and asparagine (ASNS2) production alongside calcium transport. Essential waste recycling is also depicted, with Inorganic Pyrophosphatase (PPA) and Adenylate Kinase (ADK1) added to recycle pyrophosphate and AMP byproducts. The successful completion of these modules links central metabolism and essential precursors to the final biomass growth objective function (green circle).</w:t>
            </w:r>
          </w:p>
        </w:tc>
      </w:tr>
    </w:tbl>
    <w:p w14:paraId="78AC1CBB" w14:textId="77777777" w:rsidR="00811054" w:rsidRDefault="00A71966" w:rsidP="00936D46">
      <w:pPr>
        <w:bidi w:val="0"/>
      </w:pPr>
      <w:r>
        <w:lastRenderedPageBreak/>
        <w:br/>
      </w:r>
      <w:r w:rsidR="00E438F4">
        <w:br/>
      </w:r>
    </w:p>
    <w:tbl>
      <w:tblPr>
        <w:tblStyle w:val="TableGrid"/>
        <w:tblW w:w="0" w:type="auto"/>
        <w:tblLook w:val="04A0" w:firstRow="1" w:lastRow="0" w:firstColumn="1" w:lastColumn="0" w:noHBand="0" w:noVBand="1"/>
      </w:tblPr>
      <w:tblGrid>
        <w:gridCol w:w="8296"/>
      </w:tblGrid>
      <w:tr w:rsidR="00811054" w14:paraId="43521E65" w14:textId="77777777" w:rsidTr="00FB1E8A">
        <w:tc>
          <w:tcPr>
            <w:tcW w:w="8296" w:type="dxa"/>
          </w:tcPr>
          <w:p w14:paraId="7DD72FCF" w14:textId="6A250032" w:rsidR="00811054" w:rsidRDefault="00A52FF3" w:rsidP="00FB1E8A">
            <w:pPr>
              <w:bidi w:val="0"/>
            </w:pPr>
            <w:r>
              <w:rPr>
                <w:noProof/>
              </w:rPr>
              <w:drawing>
                <wp:inline distT="0" distB="0" distL="0" distR="0" wp14:anchorId="288574A1" wp14:editId="2D6546DF">
                  <wp:extent cx="4989559" cy="3337586"/>
                  <wp:effectExtent l="0" t="0" r="1905" b="0"/>
                  <wp:docPr id="2108475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7589" name="Picture 210847589"/>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97802" cy="3343100"/>
                          </a:xfrm>
                          <a:prstGeom prst="rect">
                            <a:avLst/>
                          </a:prstGeom>
                        </pic:spPr>
                      </pic:pic>
                    </a:graphicData>
                  </a:graphic>
                </wp:inline>
              </w:drawing>
            </w:r>
          </w:p>
        </w:tc>
      </w:tr>
      <w:tr w:rsidR="00811054" w14:paraId="7B2AB7DE" w14:textId="77777777" w:rsidTr="00FB1E8A">
        <w:tc>
          <w:tcPr>
            <w:tcW w:w="8296" w:type="dxa"/>
          </w:tcPr>
          <w:p w14:paraId="4064EED2" w14:textId="2E396363" w:rsidR="00811054" w:rsidRDefault="005D4BBA" w:rsidP="00A260A1">
            <w:pPr>
              <w:bidi w:val="0"/>
              <w:jc w:val="both"/>
            </w:pPr>
            <w:r w:rsidRPr="005D4BBA">
              <w:rPr>
                <w:b/>
                <w:bCs/>
              </w:rPr>
              <w:t xml:space="preserve">Supplementary Figure </w:t>
            </w:r>
            <w:r w:rsidR="00447439">
              <w:rPr>
                <w:b/>
                <w:bCs/>
              </w:rPr>
              <w:t>3</w:t>
            </w:r>
            <w:r w:rsidRPr="005D4BBA">
              <w:rPr>
                <w:b/>
                <w:bCs/>
              </w:rPr>
              <w:t xml:space="preserve">: Pathway reconstruction and functional refinement of the </w:t>
            </w:r>
            <w:r w:rsidRPr="005D4BBA">
              <w:rPr>
                <w:b/>
                <w:bCs/>
                <w:i/>
                <w:iCs/>
              </w:rPr>
              <w:t>B. nasdae</w:t>
            </w:r>
            <w:r w:rsidRPr="005D4BBA">
              <w:rPr>
                <w:b/>
                <w:bCs/>
              </w:rPr>
              <w:t xml:space="preserve"> metabolic model.</w:t>
            </w:r>
            <w:r w:rsidRPr="005D4BBA">
              <w:t xml:space="preserve"> Schematic representation of the manual curation performed to restore critical metabolic capabilities required for biomass formation. Nodes represent metabolites (ellipses) and enzymatic reactions or downstream pathways (rectangles). Reaction nodes are color-coded by origin: purple indicates reactions present in the automated draft, green denotes genome-supported additions, and yellow highlights gap-filled reactions added from a universal database. Dashed grey rectangles represent downstream pathway blocks. Metabolite statuses are distinguished by color: red for dead-ends, light blue for intermediates, green for metabolic bottlenecks, and orange for unproduced biomass components. The network diagram illustrates the specific routes reconstructed to bridge metabolic discontinuities, including the addition of glucose (GLCtex) and sucrose (SUCRtex) transporters, </w:t>
            </w:r>
            <w:r w:rsidR="00A85605">
              <w:t>and the integration of an active fructose phosphotransferase system (EX_fru_e, FRUpts) that utilizes</w:t>
            </w:r>
            <w:r w:rsidRPr="005D4BBA">
              <w:t xml:space="preserve"> phosphoenolpyruvate (pep) to bypass central carbon bottlenecks. Furthermore, the diagram details the integration of OSBS and OSBCOAS to resolve a bottleneck at succinylbenzoate-CoA (sbzcoa) and enable menaquinol (mql8) biosynthesis from alpha-ketoglutarate (akg) and chorismate (chor). </w:t>
            </w:r>
            <w:r w:rsidR="009275B4" w:rsidRPr="000C723E">
              <w:t>Essential waste recycling is also depicted, with Inorganic Pyrophosphatase (PPA) and Adenylate Kinase (ADK1) added to recycle pyrophosphate and AMP byproducts. The successful completion of these modules links central metabolism and essential precursors to the final biomass growth objective function (green circle).</w:t>
            </w:r>
          </w:p>
        </w:tc>
      </w:tr>
    </w:tbl>
    <w:p w14:paraId="148D1971" w14:textId="77777777" w:rsidR="00A71966" w:rsidRDefault="00A71966" w:rsidP="00A71966">
      <w:pPr>
        <w:bidi w:val="0"/>
      </w:pPr>
    </w:p>
    <w:p w14:paraId="53F45C43" w14:textId="77777777" w:rsidR="00A71966" w:rsidRDefault="00A71966" w:rsidP="00A71966">
      <w:pPr>
        <w:bidi w:val="0"/>
      </w:pPr>
    </w:p>
    <w:tbl>
      <w:tblPr>
        <w:tblStyle w:val="TableGrid"/>
        <w:tblpPr w:leftFromText="180" w:rightFromText="180" w:vertAnchor="text" w:tblpY="-400"/>
        <w:tblW w:w="0" w:type="auto"/>
        <w:tblLook w:val="04A0" w:firstRow="1" w:lastRow="0" w:firstColumn="1" w:lastColumn="0" w:noHBand="0" w:noVBand="1"/>
      </w:tblPr>
      <w:tblGrid>
        <w:gridCol w:w="8296"/>
      </w:tblGrid>
      <w:tr w:rsidR="00333C27" w14:paraId="2629E53F" w14:textId="77777777" w:rsidTr="00333C27">
        <w:tc>
          <w:tcPr>
            <w:tcW w:w="8296" w:type="dxa"/>
          </w:tcPr>
          <w:p w14:paraId="336AE041" w14:textId="73FEB3C0" w:rsidR="00333C27" w:rsidRDefault="00A52FF3" w:rsidP="00333C27">
            <w:pPr>
              <w:bidi w:val="0"/>
            </w:pPr>
            <w:r>
              <w:rPr>
                <w:noProof/>
              </w:rPr>
              <w:lastRenderedPageBreak/>
              <w:drawing>
                <wp:inline distT="0" distB="0" distL="0" distR="0" wp14:anchorId="0D42BB6C" wp14:editId="4A01429C">
                  <wp:extent cx="4778137" cy="3763948"/>
                  <wp:effectExtent l="0" t="0" r="3810" b="8255"/>
                  <wp:docPr id="1753107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07027" name="Picture 17531070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1098" cy="3766281"/>
                          </a:xfrm>
                          <a:prstGeom prst="rect">
                            <a:avLst/>
                          </a:prstGeom>
                        </pic:spPr>
                      </pic:pic>
                    </a:graphicData>
                  </a:graphic>
                </wp:inline>
              </w:drawing>
            </w:r>
          </w:p>
        </w:tc>
      </w:tr>
      <w:tr w:rsidR="00333C27" w14:paraId="7F2DF784" w14:textId="77777777" w:rsidTr="00333C27">
        <w:tc>
          <w:tcPr>
            <w:tcW w:w="8296" w:type="dxa"/>
          </w:tcPr>
          <w:p w14:paraId="304C6E3D" w14:textId="18C656ED" w:rsidR="00A04D17" w:rsidRDefault="00A04D17" w:rsidP="00A260A1">
            <w:pPr>
              <w:bidi w:val="0"/>
              <w:jc w:val="both"/>
            </w:pPr>
            <w:r w:rsidRPr="00763757">
              <w:rPr>
                <w:b/>
                <w:bCs/>
              </w:rPr>
              <w:t xml:space="preserve">Supplementary Figure </w:t>
            </w:r>
            <w:r w:rsidR="00447439">
              <w:rPr>
                <w:b/>
                <w:bCs/>
              </w:rPr>
              <w:t>4</w:t>
            </w:r>
            <w:r w:rsidRPr="00763757">
              <w:rPr>
                <w:b/>
                <w:bCs/>
              </w:rPr>
              <w:t>:</w:t>
            </w:r>
            <w:r>
              <w:rPr>
                <w:b/>
                <w:bCs/>
              </w:rPr>
              <w:t xml:space="preserve"> </w:t>
            </w:r>
            <w:r w:rsidRPr="00A04D17">
              <w:rPr>
                <w:b/>
                <w:bCs/>
              </w:rPr>
              <w:t xml:space="preserve">Pathway reconstruction and functional refinement of the </w:t>
            </w:r>
            <w:r w:rsidRPr="00A04D17">
              <w:rPr>
                <w:b/>
                <w:bCs/>
                <w:i/>
                <w:iCs/>
              </w:rPr>
              <w:t>C</w:t>
            </w:r>
            <w:r>
              <w:rPr>
                <w:b/>
                <w:bCs/>
                <w:i/>
                <w:iCs/>
              </w:rPr>
              <w:t>.</w:t>
            </w:r>
            <w:r w:rsidRPr="00A04D17">
              <w:rPr>
                <w:b/>
                <w:bCs/>
                <w:i/>
                <w:iCs/>
              </w:rPr>
              <w:t xml:space="preserve"> terrigena</w:t>
            </w:r>
            <w:r w:rsidRPr="00A04D17">
              <w:rPr>
                <w:b/>
                <w:bCs/>
              </w:rPr>
              <w:t xml:space="preserve"> metabolic model.</w:t>
            </w:r>
            <w:r w:rsidRPr="00A04D17">
              <w:t xml:space="preserve"> </w:t>
            </w:r>
            <w:r w:rsidR="00DD6318" w:rsidRPr="00DD6318">
              <w:t>Schematic representation of the manual curation performed to restore critical metabolic capabilities required for biomass formation. Nodes represent metabolites (ellipses) and enzymatic reactions or downstream pathways (rectangles). Reaction nodes are color-coded by origin: purple indicates reactions present in the automated draft, green denotes genome-supported additions, and yellow highlights gap-filled reactions added from a universal database. Dashed grey rectangles represent downstream pathway blocks. Metabolite statuses are distinguished by color: red for dead-ends, light blue for intermediates, green for metabolic bottlenecks, and orange for unproduced biomass components. The network diagram illustrates the specific routes reconstructed to bridge metabolic discontinuities, including the integration of 2S6HCCi, SUCBZS, and SUCBZL to enable menaquinol biosynthesis, and the gap-filling of tetrahydrofolate (DHFS) and thiamine (HMPS, DXS) production. Furthermore, the diagram details the restoration of Coenzyme A (PANK) and aromatic amino acid (PPND) biosynthesis</w:t>
            </w:r>
            <w:r w:rsidR="00EC2029">
              <w:t>, thereby yielding</w:t>
            </w:r>
            <w:r w:rsidR="00DD6318" w:rsidRPr="00DD6318">
              <w:t xml:space="preserve"> tyrosine and phenylalanine. </w:t>
            </w:r>
            <w:r w:rsidR="009275B4" w:rsidRPr="000C723E">
              <w:t>Essential waste recycling is also depicted, with Inorganic Pyrophosphatase (PPA) and Adenylate Kinase (ADK1) added to recycle pyrophosphate and AMP byproducts. The successful completion of these modules links central metabolism and essential precursors to the final biomass growth objective function (green circle).</w:t>
            </w:r>
          </w:p>
        </w:tc>
      </w:tr>
    </w:tbl>
    <w:p w14:paraId="32316F28" w14:textId="77777777" w:rsidR="00A71966" w:rsidRDefault="00A71966" w:rsidP="00A71966">
      <w:pPr>
        <w:bidi w:val="0"/>
      </w:pPr>
    </w:p>
    <w:p w14:paraId="7B29A6E1" w14:textId="77777777" w:rsidR="001571E6" w:rsidRDefault="001571E6" w:rsidP="001571E6">
      <w:pPr>
        <w:bidi w:val="0"/>
      </w:pPr>
    </w:p>
    <w:tbl>
      <w:tblPr>
        <w:tblStyle w:val="TableGrid"/>
        <w:tblW w:w="0" w:type="auto"/>
        <w:tblLook w:val="04A0" w:firstRow="1" w:lastRow="0" w:firstColumn="1" w:lastColumn="0" w:noHBand="0" w:noVBand="1"/>
      </w:tblPr>
      <w:tblGrid>
        <w:gridCol w:w="8296"/>
      </w:tblGrid>
      <w:tr w:rsidR="001F66E3" w14:paraId="5B33AF05" w14:textId="77777777" w:rsidTr="001F66E3">
        <w:tc>
          <w:tcPr>
            <w:tcW w:w="8296" w:type="dxa"/>
          </w:tcPr>
          <w:p w14:paraId="2018319A" w14:textId="0EAF8BE3" w:rsidR="001F66E3" w:rsidRDefault="00A52FF3" w:rsidP="001F66E3">
            <w:pPr>
              <w:bidi w:val="0"/>
            </w:pPr>
            <w:r>
              <w:rPr>
                <w:noProof/>
              </w:rPr>
              <w:lastRenderedPageBreak/>
              <w:drawing>
                <wp:inline distT="0" distB="0" distL="0" distR="0" wp14:anchorId="7F962D59" wp14:editId="027E8000">
                  <wp:extent cx="4862706" cy="2924298"/>
                  <wp:effectExtent l="0" t="0" r="0" b="0"/>
                  <wp:docPr id="18362869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286917" name="Picture 18362869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6284" cy="2926450"/>
                          </a:xfrm>
                          <a:prstGeom prst="rect">
                            <a:avLst/>
                          </a:prstGeom>
                        </pic:spPr>
                      </pic:pic>
                    </a:graphicData>
                  </a:graphic>
                </wp:inline>
              </w:drawing>
            </w:r>
          </w:p>
        </w:tc>
      </w:tr>
      <w:tr w:rsidR="001F66E3" w14:paraId="4A20A8DB" w14:textId="77777777" w:rsidTr="001F66E3">
        <w:tc>
          <w:tcPr>
            <w:tcW w:w="8296" w:type="dxa"/>
          </w:tcPr>
          <w:p w14:paraId="68CE36FE" w14:textId="4C0A6D01" w:rsidR="001F66E3" w:rsidRDefault="00751B4E" w:rsidP="00A260A1">
            <w:pPr>
              <w:bidi w:val="0"/>
              <w:jc w:val="both"/>
            </w:pPr>
            <w:r w:rsidRPr="00751B4E">
              <w:rPr>
                <w:b/>
                <w:bCs/>
              </w:rPr>
              <w:t xml:space="preserve">Supplementary Figure </w:t>
            </w:r>
            <w:r w:rsidR="00447439">
              <w:rPr>
                <w:b/>
                <w:bCs/>
              </w:rPr>
              <w:t>5</w:t>
            </w:r>
            <w:r w:rsidRPr="00751B4E">
              <w:rPr>
                <w:b/>
                <w:bCs/>
              </w:rPr>
              <w:t xml:space="preserve">: Pathway reconstruction and functional refinement of the </w:t>
            </w:r>
            <w:r w:rsidRPr="00751B4E">
              <w:rPr>
                <w:b/>
                <w:bCs/>
                <w:i/>
                <w:iCs/>
              </w:rPr>
              <w:t>M. radiotolerans</w:t>
            </w:r>
            <w:r w:rsidRPr="00751B4E">
              <w:rPr>
                <w:b/>
                <w:bCs/>
              </w:rPr>
              <w:t xml:space="preserve"> metabolic model</w:t>
            </w:r>
            <w:r w:rsidR="00EC2029">
              <w:rPr>
                <w:b/>
                <w:bCs/>
              </w:rPr>
              <w:t xml:space="preserve">. </w:t>
            </w:r>
            <w:r w:rsidR="00EC2029" w:rsidRPr="00EC2029">
              <w:t>schematic</w:t>
            </w:r>
            <w:r w:rsidRPr="00751B4E">
              <w:t xml:space="preserve"> representation of the manual curation performed to restore critical metabolic capabilities required for biomass formation. Nodes represent metabolites (ellipses) and enzymatic reactions or downstream pathways (rectangles). Reaction nodes are color-coded by origin: purple indicates reactions present in the automated draft, green denotes genome-supported additions, and yellow highlights gap-filled reactions added from a universal database. Dashed grey rectangles represent downstream pathway blocks. Metabolite statuses are distinguished by color: red for dead-ends, light blue for intermediates, green for metabolic bottlenecks, and orange for final targets and unproduced biomass components. The network diagram illustrates the specific routes reconstructed to bridge metabolic discontinuities, including the rescue of the DXP/MEP pathway and menaquinone biosynthesis to resolve central bottlenecks at diphosphate (opppp) and succinylbenzoate-CoA (sbzcoa). Furthermore, the diagram details the gap-filling required for complete </w:t>
            </w:r>
            <w:r w:rsidRPr="00751B4E">
              <w:rPr>
                <w:i/>
                <w:iCs/>
              </w:rPr>
              <w:t>de novo</w:t>
            </w:r>
            <w:r w:rsidRPr="00751B4E">
              <w:t xml:space="preserve"> Coenzyme A (CoA) synthesis alongside the rescue of pyrimidine biosynthesis, bridging a critical discontinuity at orotidine 5'-phosphate (orot5p). </w:t>
            </w:r>
            <w:r w:rsidR="009275B4" w:rsidRPr="000C723E">
              <w:t>Essential waste recycling is also depicted, with Inorganic Pyrophosphatase (PPA) and Adenylate Kinase (ADK1) added to recycle pyrophosphate and AMP byproducts. The successful completion of these modules links central metabolism and essential precursors to the final biomass growth objective function (green circle).</w:t>
            </w:r>
          </w:p>
        </w:tc>
      </w:tr>
    </w:tbl>
    <w:p w14:paraId="680ED962" w14:textId="77777777" w:rsidR="001F66E3" w:rsidRDefault="001F66E3" w:rsidP="001F66E3">
      <w:pPr>
        <w:bidi w:val="0"/>
      </w:pPr>
    </w:p>
    <w:p w14:paraId="24D9FD14" w14:textId="77777777" w:rsidR="008E0846" w:rsidRDefault="008E0846" w:rsidP="008E0846">
      <w:pPr>
        <w:bidi w:val="0"/>
      </w:pPr>
    </w:p>
    <w:p w14:paraId="1EEF5745" w14:textId="77777777" w:rsidR="008E0846" w:rsidRDefault="008E0846" w:rsidP="008E0846">
      <w:pPr>
        <w:bidi w:val="0"/>
      </w:pPr>
    </w:p>
    <w:tbl>
      <w:tblPr>
        <w:tblStyle w:val="TableGrid"/>
        <w:tblW w:w="0" w:type="auto"/>
        <w:tblLook w:val="04A0" w:firstRow="1" w:lastRow="0" w:firstColumn="1" w:lastColumn="0" w:noHBand="0" w:noVBand="1"/>
      </w:tblPr>
      <w:tblGrid>
        <w:gridCol w:w="8296"/>
      </w:tblGrid>
      <w:tr w:rsidR="0074254D" w14:paraId="3B21F31F" w14:textId="77777777" w:rsidTr="0074254D">
        <w:tc>
          <w:tcPr>
            <w:tcW w:w="8296" w:type="dxa"/>
          </w:tcPr>
          <w:p w14:paraId="1D03F02F" w14:textId="3DF56EEA" w:rsidR="0074254D" w:rsidRDefault="00A52FF3" w:rsidP="0074254D">
            <w:pPr>
              <w:bidi w:val="0"/>
            </w:pPr>
            <w:r>
              <w:rPr>
                <w:noProof/>
              </w:rPr>
              <w:lastRenderedPageBreak/>
              <w:drawing>
                <wp:inline distT="0" distB="0" distL="0" distR="0" wp14:anchorId="0BACD204" wp14:editId="55503E9A">
                  <wp:extent cx="4672426" cy="3052884"/>
                  <wp:effectExtent l="0" t="0" r="0" b="0"/>
                  <wp:docPr id="10150218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21820" name="Picture 10150218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6296" cy="3055412"/>
                          </a:xfrm>
                          <a:prstGeom prst="rect">
                            <a:avLst/>
                          </a:prstGeom>
                        </pic:spPr>
                      </pic:pic>
                    </a:graphicData>
                  </a:graphic>
                </wp:inline>
              </w:drawing>
            </w:r>
          </w:p>
        </w:tc>
      </w:tr>
      <w:tr w:rsidR="0074254D" w14:paraId="53912DE9" w14:textId="77777777" w:rsidTr="0074254D">
        <w:tc>
          <w:tcPr>
            <w:tcW w:w="8296" w:type="dxa"/>
          </w:tcPr>
          <w:p w14:paraId="2078C102" w14:textId="58D1D754" w:rsidR="0074254D" w:rsidRDefault="00E1120F" w:rsidP="00A260A1">
            <w:pPr>
              <w:bidi w:val="0"/>
              <w:jc w:val="both"/>
            </w:pPr>
            <w:r w:rsidRPr="002E453E">
              <w:rPr>
                <w:b/>
                <w:bCs/>
              </w:rPr>
              <w:t xml:space="preserve">Supplementary Figure </w:t>
            </w:r>
            <w:r w:rsidR="00447439">
              <w:rPr>
                <w:b/>
                <w:bCs/>
              </w:rPr>
              <w:t>6</w:t>
            </w:r>
            <w:r w:rsidRPr="002E453E">
              <w:rPr>
                <w:b/>
                <w:bCs/>
              </w:rPr>
              <w:t xml:space="preserve">: Pathway reconstruction and functional refinement of the </w:t>
            </w:r>
            <w:r w:rsidR="002E453E" w:rsidRPr="002E453E">
              <w:rPr>
                <w:b/>
                <w:bCs/>
                <w:i/>
                <w:iCs/>
              </w:rPr>
              <w:t>S. yunnanensis</w:t>
            </w:r>
            <w:r w:rsidRPr="002E453E">
              <w:rPr>
                <w:b/>
                <w:bCs/>
              </w:rPr>
              <w:t xml:space="preserve"> metabolic model.</w:t>
            </w:r>
            <w:r w:rsidRPr="00E1120F">
              <w:t xml:space="preserve"> Schematic representation of the manual curation performed to restore critical metabolic capabilities required for biomass formation. Nodes represent metabolites (ellipses) and enzymatic reactions or downstream pathways (rectangles). Reaction nodes are color-coded by origin: purple indicates reactions present in the automated draft, green denotes genome-supported additions, and yellow highlights gap-filled reactions added from a universal database. Dashed grey rectangles represent downstream pathway blocks. Metabolite statuses are distinguished by color: red for dead-ends, light blue for intermediates, green for metabolic bottlenecks, and orange for unproduced biomass components. The network diagram illustrates the specific routes reconstructed to bridge metabolic discontinuities, including the addition of an active fructose phosphotransferase system (FRUpts) to resolve central carbon bottlenecks. Furthermore, the diagram details the integration of OSBS and OSBCOAS to resolve a bottleneck at succinylbenzoate-CoA (sbzcoa) and enable menaquinol biosynthesis. Essential waste recycling is also depicted, with Inorganic Pyrophosphatase (PPA) and Adenylate Kinase (ADK1) added to recycle pyrophosphate and AMP byproducts generated during precursor rescue. The successful completion of these modules links central metabolism and essential precursors to the final biomass growth objective function (green circle).</w:t>
            </w:r>
          </w:p>
        </w:tc>
      </w:tr>
    </w:tbl>
    <w:p w14:paraId="653BBB06" w14:textId="77777777" w:rsidR="0074254D" w:rsidRDefault="0074254D" w:rsidP="0074254D">
      <w:pPr>
        <w:bidi w:val="0"/>
      </w:pPr>
    </w:p>
    <w:tbl>
      <w:tblPr>
        <w:tblStyle w:val="TableGrid"/>
        <w:tblW w:w="0" w:type="auto"/>
        <w:tblLook w:val="04A0" w:firstRow="1" w:lastRow="0" w:firstColumn="1" w:lastColumn="0" w:noHBand="0" w:noVBand="1"/>
      </w:tblPr>
      <w:tblGrid>
        <w:gridCol w:w="8296"/>
      </w:tblGrid>
      <w:tr w:rsidR="0074254D" w14:paraId="6D1C0B38" w14:textId="77777777" w:rsidTr="0074254D">
        <w:tc>
          <w:tcPr>
            <w:tcW w:w="8296" w:type="dxa"/>
          </w:tcPr>
          <w:p w14:paraId="5D6E5768" w14:textId="5EABC1C1" w:rsidR="0074254D" w:rsidRDefault="00A52FF3" w:rsidP="0074254D">
            <w:pPr>
              <w:bidi w:val="0"/>
            </w:pPr>
            <w:r>
              <w:rPr>
                <w:noProof/>
              </w:rPr>
              <w:lastRenderedPageBreak/>
              <w:drawing>
                <wp:inline distT="0" distB="0" distL="0" distR="0" wp14:anchorId="7E34DFCD" wp14:editId="156EC38A">
                  <wp:extent cx="4899704" cy="2742442"/>
                  <wp:effectExtent l="0" t="0" r="0" b="1270"/>
                  <wp:docPr id="1303693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93228" name="Picture 13036932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05172" cy="2745503"/>
                          </a:xfrm>
                          <a:prstGeom prst="rect">
                            <a:avLst/>
                          </a:prstGeom>
                        </pic:spPr>
                      </pic:pic>
                    </a:graphicData>
                  </a:graphic>
                </wp:inline>
              </w:drawing>
            </w:r>
          </w:p>
        </w:tc>
      </w:tr>
      <w:tr w:rsidR="0074254D" w14:paraId="2E8495FD" w14:textId="77777777" w:rsidTr="0074254D">
        <w:tc>
          <w:tcPr>
            <w:tcW w:w="8296" w:type="dxa"/>
          </w:tcPr>
          <w:p w14:paraId="67E74666" w14:textId="5EA2836E" w:rsidR="0074254D" w:rsidRDefault="00BA1A26" w:rsidP="00A260A1">
            <w:pPr>
              <w:bidi w:val="0"/>
              <w:jc w:val="both"/>
            </w:pPr>
            <w:r w:rsidRPr="00BA1A26">
              <w:rPr>
                <w:b/>
                <w:bCs/>
              </w:rPr>
              <w:t xml:space="preserve">Supplementary Figure </w:t>
            </w:r>
            <w:r w:rsidR="00447439">
              <w:rPr>
                <w:b/>
                <w:bCs/>
              </w:rPr>
              <w:t>7</w:t>
            </w:r>
            <w:r w:rsidRPr="00BA1A26">
              <w:rPr>
                <w:b/>
                <w:bCs/>
              </w:rPr>
              <w:t xml:space="preserve">: Pathway reconstruction and functional refinement of the </w:t>
            </w:r>
            <w:r w:rsidRPr="00BA1A26">
              <w:rPr>
                <w:b/>
                <w:bCs/>
                <w:i/>
                <w:iCs/>
              </w:rPr>
              <w:t>P</w:t>
            </w:r>
            <w:r>
              <w:rPr>
                <w:b/>
                <w:bCs/>
                <w:i/>
                <w:iCs/>
              </w:rPr>
              <w:t>.</w:t>
            </w:r>
            <w:r w:rsidRPr="00BA1A26">
              <w:rPr>
                <w:b/>
                <w:bCs/>
                <w:i/>
                <w:iCs/>
              </w:rPr>
              <w:t xml:space="preserve"> juntendi</w:t>
            </w:r>
            <w:r w:rsidRPr="00BA1A26">
              <w:rPr>
                <w:b/>
                <w:bCs/>
              </w:rPr>
              <w:t xml:space="preserve"> metabolic model.</w:t>
            </w:r>
            <w:r w:rsidRPr="00BA1A26">
              <w:t xml:space="preserve"> Schematic representation of the manual curation performed to restore critical metabolic capabilities required for biomass formation. Nodes represent metabolites (ellipses) and enzymatic reactions or downstream pathways (rectangles). Reaction nodes are color-coded by origin: purple indicates reactions present in the automated draft, green denotes genome-supported additions, and yellow highlights gap-filled reactions added from a universal database. Dashed grey rectangles represent downstream pathway blocks. Metabolite statuses are distinguished by color: red for dead-ends, light blue for intermediates, green for metabolic bottlenecks, and orange for unproduced biomass components. The network diagram illustrates the specific routes reconstructed to bridge metabolic discontinuities, focusing on </w:t>
            </w:r>
            <w:r w:rsidR="00EC2029">
              <w:t>resolving</w:t>
            </w:r>
            <w:r w:rsidRPr="00BA1A26">
              <w:t xml:space="preserve"> primary bottlenecks at 56dthm (folate biosynthesis), sbzcoa (menaquinone pathway), and gln__L (glutamine synthesis). This encompasses the genome-supported addition of r0330 and 2S6HCCi, </w:t>
            </w:r>
            <w:r w:rsidR="00EC2029">
              <w:t>as well as</w:t>
            </w:r>
            <w:r w:rsidRPr="00BA1A26">
              <w:t xml:space="preserve"> the universal gap-filling of GLNS, SUCBZS, and SUCBZL. Essential waste recycling is also depicted, with Inorganic Pyrophosphatase (PPA) and Adenylate Kinase (ADK1) handling pyrophosphate and AMP byproducts. The successful completion of these modules links central metabolism and essential precursors to the final biomass growth objective function (green circle).</w:t>
            </w:r>
          </w:p>
        </w:tc>
      </w:tr>
    </w:tbl>
    <w:p w14:paraId="7E16EEA8" w14:textId="77777777" w:rsidR="0074254D" w:rsidRDefault="0074254D" w:rsidP="0074254D">
      <w:pPr>
        <w:bidi w:val="0"/>
      </w:pPr>
    </w:p>
    <w:tbl>
      <w:tblPr>
        <w:tblStyle w:val="TableGrid"/>
        <w:tblW w:w="0" w:type="auto"/>
        <w:tblLook w:val="04A0" w:firstRow="1" w:lastRow="0" w:firstColumn="1" w:lastColumn="0" w:noHBand="0" w:noVBand="1"/>
      </w:tblPr>
      <w:tblGrid>
        <w:gridCol w:w="8296"/>
      </w:tblGrid>
      <w:tr w:rsidR="0074254D" w14:paraId="7641D4AB" w14:textId="77777777" w:rsidTr="0074254D">
        <w:tc>
          <w:tcPr>
            <w:tcW w:w="8296" w:type="dxa"/>
          </w:tcPr>
          <w:p w14:paraId="53DA3C22" w14:textId="2E14CA35" w:rsidR="0074254D" w:rsidRDefault="00836B30" w:rsidP="0074254D">
            <w:pPr>
              <w:bidi w:val="0"/>
            </w:pPr>
            <w:r>
              <w:rPr>
                <w:noProof/>
              </w:rPr>
              <w:drawing>
                <wp:inline distT="0" distB="0" distL="0" distR="0" wp14:anchorId="6E9E23F3" wp14:editId="7C70C1DB">
                  <wp:extent cx="4941989" cy="2183019"/>
                  <wp:effectExtent l="0" t="0" r="0" b="8255"/>
                  <wp:docPr id="3655626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62699" name="Picture 36556269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2736" cy="2187766"/>
                          </a:xfrm>
                          <a:prstGeom prst="rect">
                            <a:avLst/>
                          </a:prstGeom>
                        </pic:spPr>
                      </pic:pic>
                    </a:graphicData>
                  </a:graphic>
                </wp:inline>
              </w:drawing>
            </w:r>
          </w:p>
        </w:tc>
      </w:tr>
      <w:tr w:rsidR="0074254D" w14:paraId="4EF025B2" w14:textId="77777777" w:rsidTr="0074254D">
        <w:tc>
          <w:tcPr>
            <w:tcW w:w="8296" w:type="dxa"/>
          </w:tcPr>
          <w:p w14:paraId="568888AC" w14:textId="361D20E6" w:rsidR="0074254D" w:rsidRDefault="004A6239" w:rsidP="00A260A1">
            <w:pPr>
              <w:bidi w:val="0"/>
              <w:jc w:val="both"/>
            </w:pPr>
            <w:r w:rsidRPr="004A6239">
              <w:rPr>
                <w:b/>
                <w:bCs/>
              </w:rPr>
              <w:t xml:space="preserve">Supplementary Figure </w:t>
            </w:r>
            <w:r w:rsidR="00447439">
              <w:rPr>
                <w:b/>
                <w:bCs/>
              </w:rPr>
              <w:t>8</w:t>
            </w:r>
            <w:r w:rsidRPr="004A6239">
              <w:rPr>
                <w:b/>
                <w:bCs/>
              </w:rPr>
              <w:t xml:space="preserve">: Pathway reconstruction and functional refinement of the </w:t>
            </w:r>
            <w:r w:rsidRPr="004A6239">
              <w:rPr>
                <w:b/>
                <w:bCs/>
                <w:i/>
                <w:iCs/>
              </w:rPr>
              <w:t>P. vagans</w:t>
            </w:r>
            <w:r w:rsidRPr="004A6239">
              <w:rPr>
                <w:b/>
                <w:bCs/>
              </w:rPr>
              <w:t xml:space="preserve"> metabolic model.</w:t>
            </w:r>
            <w:r w:rsidRPr="004A6239">
              <w:t xml:space="preserve"> Schematic representation of the manual curation performed to restore critical metabolic capabilities required for biomass formation. Nodes represent </w:t>
            </w:r>
            <w:r w:rsidRPr="004A6239">
              <w:lastRenderedPageBreak/>
              <w:t xml:space="preserve">metabolites (ellipses) and enzymatic reactions or downstream pathways (rectangles). Reaction nodes are color-coded by origin: purple indicates reactions present in the automated draft, green denotes genome-supported additions, and yellow highlights gap-filled reactions added from a universal database. Dashed grey rectangles represent downstream pathway blocks. Metabolite statuses are distinguished by color: red for dead-ends, light blue for intermediates, green for metabolic bottlenecks, and orange for unproduced biomass components. The network diagram illustrates the specific routes reconstructed to bridge metabolic discontinuities, </w:t>
            </w:r>
            <w:r w:rsidR="00EC2029">
              <w:t>with a primary focus</w:t>
            </w:r>
            <w:r w:rsidRPr="004A6239">
              <w:t xml:space="preserve"> on resolving the succinylbenzoate-CoA (sbzcoa) bottleneck to rescue menaquinol (mql8) biosynthesis. This was achieved through the targeted integration of genome-supported OSBS and universal OSBCOAS reactions, connecting alpha-ketoglutarate (akg) and isochorismate (ichor) precursors to the downstream pathway. Essential waste recycling is also depicted, utilizing Inorganic Pyrophosphatase (PPA) and Adenylate Kinase (ADK1). The successful completion of these modules links central metabolism and essential precursors to the final biomass growth objective function (green circle).</w:t>
            </w:r>
          </w:p>
        </w:tc>
      </w:tr>
    </w:tbl>
    <w:p w14:paraId="60FB491C" w14:textId="77777777" w:rsidR="0074254D" w:rsidRDefault="0074254D" w:rsidP="0074254D">
      <w:pPr>
        <w:bidi w:val="0"/>
      </w:pPr>
    </w:p>
    <w:tbl>
      <w:tblPr>
        <w:tblStyle w:val="TableGrid"/>
        <w:tblW w:w="0" w:type="auto"/>
        <w:tblLook w:val="04A0" w:firstRow="1" w:lastRow="0" w:firstColumn="1" w:lastColumn="0" w:noHBand="0" w:noVBand="1"/>
      </w:tblPr>
      <w:tblGrid>
        <w:gridCol w:w="8296"/>
      </w:tblGrid>
      <w:tr w:rsidR="0074254D" w14:paraId="0F271DF9" w14:textId="77777777" w:rsidTr="0074254D">
        <w:tc>
          <w:tcPr>
            <w:tcW w:w="8296" w:type="dxa"/>
          </w:tcPr>
          <w:p w14:paraId="6FD9BCA6" w14:textId="44BF2A26" w:rsidR="0074254D" w:rsidRDefault="00836B30" w:rsidP="0074254D">
            <w:pPr>
              <w:bidi w:val="0"/>
            </w:pPr>
            <w:r>
              <w:rPr>
                <w:noProof/>
              </w:rPr>
              <w:drawing>
                <wp:inline distT="0" distB="0" distL="0" distR="0" wp14:anchorId="74C0D9DB" wp14:editId="365BD7C0">
                  <wp:extent cx="4778137" cy="2110641"/>
                  <wp:effectExtent l="0" t="0" r="3810" b="4445"/>
                  <wp:docPr id="1319482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8270" name="Picture 13194827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4960" cy="2113655"/>
                          </a:xfrm>
                          <a:prstGeom prst="rect">
                            <a:avLst/>
                          </a:prstGeom>
                        </pic:spPr>
                      </pic:pic>
                    </a:graphicData>
                  </a:graphic>
                </wp:inline>
              </w:drawing>
            </w:r>
          </w:p>
        </w:tc>
      </w:tr>
      <w:tr w:rsidR="0074254D" w14:paraId="55171A06" w14:textId="77777777" w:rsidTr="0074254D">
        <w:tc>
          <w:tcPr>
            <w:tcW w:w="8296" w:type="dxa"/>
          </w:tcPr>
          <w:p w14:paraId="6AB5A20F" w14:textId="5B6D4E08" w:rsidR="0074254D" w:rsidRDefault="00774FF1" w:rsidP="00A260A1">
            <w:pPr>
              <w:bidi w:val="0"/>
              <w:jc w:val="both"/>
            </w:pPr>
            <w:r w:rsidRPr="00774FF1">
              <w:rPr>
                <w:b/>
                <w:bCs/>
              </w:rPr>
              <w:t xml:space="preserve">Supplementary Figure </w:t>
            </w:r>
            <w:r w:rsidR="00447439">
              <w:rPr>
                <w:b/>
                <w:bCs/>
              </w:rPr>
              <w:t>9</w:t>
            </w:r>
            <w:r w:rsidRPr="00774FF1">
              <w:rPr>
                <w:b/>
                <w:bCs/>
              </w:rPr>
              <w:t xml:space="preserve">: Pathway reconstruction and functional refinement of the </w:t>
            </w:r>
            <w:r w:rsidRPr="00774FF1">
              <w:rPr>
                <w:b/>
                <w:bCs/>
                <w:i/>
                <w:iCs/>
              </w:rPr>
              <w:t>P. endophytica</w:t>
            </w:r>
            <w:r w:rsidRPr="00774FF1">
              <w:rPr>
                <w:b/>
                <w:bCs/>
              </w:rPr>
              <w:t xml:space="preserve"> metabolic model.</w:t>
            </w:r>
            <w:r w:rsidRPr="00774FF1">
              <w:t xml:space="preserve"> Schematic representation of the manual curation performed to restore critical metabolic capabilities required for biomass formation. Nodes represent metabolites (ellipses) and enzymatic reactions or downstream pathways (rectangles). Reaction nodes are color-coded by origin: purple indicates reactions present in the automated draft, green denotes genome-supported additions, and yellow highlights gap-filled reactions added from a universal database. Dashed grey rectangles represent downstream pathway blocks. Metabolite statuses are distinguished by color: red for dead-ends, light blue for intermediates, green for metabolic bottlenecks, and orange for unproduced biomass components. The network diagram illustrates the specific routes reconstructed to bridge metabolic discontinuities, targeting the succinylbenzoate-CoA (sbzcoa) bottleneck to restore the menaquinol (mql8) biosynthesis pathway. The gap-filling strategy involved </w:t>
            </w:r>
            <w:r w:rsidR="00EC2029">
              <w:t xml:space="preserve">integrating universally derived OSBS and OSBCOAS reactions to bridge the gap between the </w:t>
            </w:r>
            <w:r w:rsidRPr="00774FF1">
              <w:t>alpha-ketoglutarate (akg) and chorismate (chor) precursors and the required biomass component. Essential waste recycling is also depicted, with Inorganic Pyrophosphatase (PPA) and Adenylate Kinase (ADK1) added to recycle pyrophosphate and AMP byproducts. The successful completion of these modules links central metabolism to the final biomass growth objective function (green circle).</w:t>
            </w:r>
          </w:p>
        </w:tc>
      </w:tr>
    </w:tbl>
    <w:p w14:paraId="5A38D51A" w14:textId="77777777" w:rsidR="0074254D" w:rsidRDefault="0074254D" w:rsidP="0074254D">
      <w:pPr>
        <w:bidi w:val="0"/>
      </w:pPr>
    </w:p>
    <w:tbl>
      <w:tblPr>
        <w:tblStyle w:val="TableGrid"/>
        <w:tblW w:w="0" w:type="auto"/>
        <w:tblLook w:val="04A0" w:firstRow="1" w:lastRow="0" w:firstColumn="1" w:lastColumn="0" w:noHBand="0" w:noVBand="1"/>
      </w:tblPr>
      <w:tblGrid>
        <w:gridCol w:w="8296"/>
      </w:tblGrid>
      <w:tr w:rsidR="00447439" w14:paraId="4339C530" w14:textId="77777777" w:rsidTr="005021B0">
        <w:tc>
          <w:tcPr>
            <w:tcW w:w="8296" w:type="dxa"/>
          </w:tcPr>
          <w:p w14:paraId="14420155" w14:textId="77777777" w:rsidR="00447439" w:rsidRDefault="00447439" w:rsidP="005021B0">
            <w:pPr>
              <w:bidi w:val="0"/>
              <w:spacing w:before="120" w:after="120" w:line="360" w:lineRule="auto"/>
              <w:rPr>
                <w:rFonts w:cstheme="minorHAnsi"/>
              </w:rPr>
            </w:pPr>
            <w:r>
              <w:rPr>
                <w:rFonts w:cstheme="minorHAnsi"/>
                <w:noProof/>
              </w:rPr>
              <w:lastRenderedPageBreak/>
              <w:drawing>
                <wp:inline distT="0" distB="0" distL="0" distR="0" wp14:anchorId="6D403046" wp14:editId="5288DFC5">
                  <wp:extent cx="2664963" cy="3863972"/>
                  <wp:effectExtent l="0" t="0" r="2540" b="3810"/>
                  <wp:docPr id="1877063441"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63441" name="תמונה 187706344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6787" cy="3881116"/>
                          </a:xfrm>
                          <a:prstGeom prst="rect">
                            <a:avLst/>
                          </a:prstGeom>
                        </pic:spPr>
                      </pic:pic>
                    </a:graphicData>
                  </a:graphic>
                </wp:inline>
              </w:drawing>
            </w:r>
          </w:p>
        </w:tc>
      </w:tr>
      <w:tr w:rsidR="00447439" w14:paraId="54BCE23D" w14:textId="77777777" w:rsidTr="005021B0">
        <w:tc>
          <w:tcPr>
            <w:tcW w:w="8296" w:type="dxa"/>
          </w:tcPr>
          <w:p w14:paraId="1A4E9BD4" w14:textId="77777777" w:rsidR="00447439" w:rsidRPr="000A1DAD" w:rsidRDefault="00447439" w:rsidP="005021B0">
            <w:pPr>
              <w:bidi w:val="0"/>
              <w:spacing w:before="120" w:after="120"/>
              <w:jc w:val="both"/>
              <w:rPr>
                <w:rFonts w:cstheme="minorHAnsi"/>
                <w:b/>
                <w:bCs/>
                <w:rtl/>
              </w:rPr>
            </w:pPr>
            <w:r>
              <w:rPr>
                <w:rFonts w:cstheme="minorHAnsi"/>
                <w:b/>
                <w:bCs/>
              </w:rPr>
              <w:t xml:space="preserve">Supplementary </w:t>
            </w:r>
            <w:r w:rsidRPr="004A2086">
              <w:rPr>
                <w:rFonts w:cstheme="minorHAnsi"/>
                <w:b/>
                <w:bCs/>
              </w:rPr>
              <w:t xml:space="preserve">Figure </w:t>
            </w:r>
            <w:r>
              <w:rPr>
                <w:rFonts w:cstheme="minorHAnsi"/>
                <w:b/>
                <w:bCs/>
              </w:rPr>
              <w:t xml:space="preserve">10: </w:t>
            </w:r>
            <w:r w:rsidRPr="00392509">
              <w:rPr>
                <w:rFonts w:cstheme="minorHAnsi"/>
                <w:b/>
                <w:bCs/>
              </w:rPr>
              <w:t xml:space="preserve">Experimental validation of </w:t>
            </w:r>
            <w:r>
              <w:rPr>
                <w:rFonts w:cstheme="minorHAnsi"/>
                <w:b/>
                <w:bCs/>
              </w:rPr>
              <w:t>bacterial isolates</w:t>
            </w:r>
            <w:r w:rsidRPr="00392509">
              <w:rPr>
                <w:rFonts w:cstheme="minorHAnsi"/>
                <w:b/>
                <w:bCs/>
              </w:rPr>
              <w:t xml:space="preserve"> on key apple-associated carbon sources. </w:t>
            </w:r>
            <w:r w:rsidRPr="00392509">
              <w:rPr>
                <w:rFonts w:cstheme="minorHAnsi"/>
              </w:rPr>
              <w:t>Growth phenotypes of five representative apple epiphytes</w:t>
            </w:r>
            <w:r>
              <w:rPr>
                <w:rFonts w:cstheme="minorHAnsi"/>
              </w:rPr>
              <w:t xml:space="preserve">- </w:t>
            </w:r>
            <w:r w:rsidRPr="00392509">
              <w:rPr>
                <w:rFonts w:cstheme="minorHAnsi"/>
                <w:i/>
                <w:iCs/>
              </w:rPr>
              <w:t>B</w:t>
            </w:r>
            <w:r>
              <w:rPr>
                <w:rFonts w:cstheme="minorHAnsi"/>
                <w:i/>
                <w:iCs/>
              </w:rPr>
              <w:t>.</w:t>
            </w:r>
            <w:r w:rsidRPr="00392509">
              <w:rPr>
                <w:rFonts w:cstheme="minorHAnsi"/>
                <w:i/>
                <w:iCs/>
              </w:rPr>
              <w:t xml:space="preserve"> nasdae</w:t>
            </w:r>
            <w:r w:rsidRPr="00392509">
              <w:rPr>
                <w:rFonts w:cstheme="minorHAnsi"/>
              </w:rPr>
              <w:t xml:space="preserve">, </w:t>
            </w:r>
            <w:r w:rsidRPr="00392509">
              <w:rPr>
                <w:rFonts w:cstheme="minorHAnsi"/>
                <w:i/>
                <w:iCs/>
              </w:rPr>
              <w:t>C</w:t>
            </w:r>
            <w:r>
              <w:rPr>
                <w:rFonts w:cstheme="minorHAnsi"/>
                <w:i/>
                <w:iCs/>
              </w:rPr>
              <w:t>.</w:t>
            </w:r>
            <w:r w:rsidRPr="00392509">
              <w:rPr>
                <w:rFonts w:cstheme="minorHAnsi"/>
                <w:i/>
                <w:iCs/>
              </w:rPr>
              <w:t xml:space="preserve"> terrigena</w:t>
            </w:r>
            <w:r w:rsidRPr="00392509">
              <w:rPr>
                <w:rFonts w:cstheme="minorHAnsi"/>
              </w:rPr>
              <w:t xml:space="preserve">, </w:t>
            </w:r>
            <w:r w:rsidRPr="00392509">
              <w:rPr>
                <w:rFonts w:cstheme="minorHAnsi"/>
                <w:i/>
                <w:iCs/>
              </w:rPr>
              <w:t>M</w:t>
            </w:r>
            <w:r>
              <w:rPr>
                <w:rFonts w:cstheme="minorHAnsi"/>
                <w:i/>
                <w:iCs/>
              </w:rPr>
              <w:t>.</w:t>
            </w:r>
            <w:r w:rsidRPr="00392509">
              <w:rPr>
                <w:rFonts w:cstheme="minorHAnsi"/>
                <w:i/>
                <w:iCs/>
              </w:rPr>
              <w:t xml:space="preserve"> radiotolerans</w:t>
            </w:r>
            <w:r w:rsidRPr="00392509">
              <w:rPr>
                <w:rFonts w:cstheme="minorHAnsi"/>
              </w:rPr>
              <w:t xml:space="preserve">, </w:t>
            </w:r>
            <w:r w:rsidRPr="00392509">
              <w:rPr>
                <w:rFonts w:cstheme="minorHAnsi"/>
                <w:i/>
                <w:iCs/>
              </w:rPr>
              <w:t>K</w:t>
            </w:r>
            <w:r>
              <w:rPr>
                <w:rFonts w:cstheme="minorHAnsi"/>
                <w:i/>
                <w:iCs/>
              </w:rPr>
              <w:t>.</w:t>
            </w:r>
            <w:r w:rsidRPr="00392509">
              <w:rPr>
                <w:rFonts w:cstheme="minorHAnsi"/>
                <w:i/>
                <w:iCs/>
              </w:rPr>
              <w:t xml:space="preserve"> cowanii</w:t>
            </w:r>
            <w:r w:rsidRPr="00392509">
              <w:rPr>
                <w:rFonts w:cstheme="minorHAnsi"/>
              </w:rPr>
              <w:t xml:space="preserve">, and </w:t>
            </w:r>
            <w:r w:rsidRPr="00392509">
              <w:rPr>
                <w:rFonts w:cstheme="minorHAnsi"/>
                <w:i/>
                <w:iCs/>
              </w:rPr>
              <w:t>A</w:t>
            </w:r>
            <w:r>
              <w:rPr>
                <w:rFonts w:cstheme="minorHAnsi"/>
                <w:i/>
                <w:iCs/>
              </w:rPr>
              <w:t>.</w:t>
            </w:r>
            <w:r w:rsidRPr="00392509">
              <w:rPr>
                <w:rFonts w:cstheme="minorHAnsi"/>
                <w:i/>
                <w:iCs/>
              </w:rPr>
              <w:t xml:space="preserve"> pittii</w:t>
            </w:r>
            <w:r>
              <w:rPr>
                <w:rFonts w:cstheme="minorHAnsi"/>
                <w:i/>
                <w:iCs/>
              </w:rPr>
              <w:t xml:space="preserve">- </w:t>
            </w:r>
            <w:r w:rsidRPr="00392509">
              <w:rPr>
                <w:rFonts w:cstheme="minorHAnsi"/>
              </w:rPr>
              <w:t>were evaluated on minimal media supplemented with single carbon sources abundant in the apple carposphere (Glucose, Fructose, Sucrose, and Sorbitol). Data points represent experimental bacterial growth (measured in CFU/mL) at 0, 24, 48, and 72 hours. Colors correspond to the specific carbon source utilized</w:t>
            </w:r>
            <w:r>
              <w:rPr>
                <w:rFonts w:cstheme="minorHAnsi"/>
              </w:rPr>
              <w:t>.</w:t>
            </w:r>
            <w:r w:rsidRPr="00392509">
              <w:rPr>
                <w:rFonts w:cstheme="minorHAnsi"/>
              </w:rPr>
              <w:t xml:space="preserve"> </w:t>
            </w:r>
            <w:r w:rsidRPr="001146A7">
              <w:rPr>
                <w:i/>
                <w:iCs/>
              </w:rPr>
              <w:t>B. nasdae</w:t>
            </w:r>
            <w:r w:rsidRPr="001146A7">
              <w:t>, growth was maximal in minimal media supplemented with 2% glucose</w:t>
            </w:r>
            <w:r w:rsidRPr="002854C7">
              <w:t xml:space="preserve"> (1.65 times 10</w:t>
            </w:r>
            <w:r>
              <w:rPr>
                <w:vertAlign w:val="superscript"/>
              </w:rPr>
              <w:t>9</w:t>
            </w:r>
            <w:r w:rsidRPr="002854C7">
              <w:t xml:space="preserve"> cells/mL), followed by sucrose (8.44 times 10</w:t>
            </w:r>
            <w:r>
              <w:rPr>
                <w:vertAlign w:val="superscript"/>
              </w:rPr>
              <w:t>8</w:t>
            </w:r>
            <w:r w:rsidRPr="002854C7">
              <w:t xml:space="preserve"> cells/mL), with significantly lower growth observed on sorbitol and fructose. </w:t>
            </w:r>
            <w:r w:rsidRPr="002854C7">
              <w:rPr>
                <w:i/>
                <w:iCs/>
              </w:rPr>
              <w:t>C. terrigena</w:t>
            </w:r>
            <w:r w:rsidRPr="002854C7">
              <w:t xml:space="preserve"> exhibited a distinct preference for sucrose (6.48 times 10</w:t>
            </w:r>
            <w:r>
              <w:rPr>
                <w:vertAlign w:val="superscript"/>
              </w:rPr>
              <w:t>8</w:t>
            </w:r>
            <w:r w:rsidRPr="002854C7">
              <w:t xml:space="preserve"> cells/mL), followed by comparable growth on glucose and sorbitol, and reduced growth on fructose. </w:t>
            </w:r>
            <w:r w:rsidRPr="002854C7">
              <w:rPr>
                <w:i/>
                <w:iCs/>
              </w:rPr>
              <w:t>M. radiotolerans</w:t>
            </w:r>
            <w:r w:rsidRPr="002854C7">
              <w:t xml:space="preserve"> also displayed maximal growth on sucrose (1.25 times 10</w:t>
            </w:r>
            <w:r>
              <w:rPr>
                <w:vertAlign w:val="superscript"/>
              </w:rPr>
              <w:t>8</w:t>
            </w:r>
            <w:r w:rsidRPr="002854C7">
              <w:t xml:space="preserve"> cells/mL), followed by glucose and sorbitol, with fructose supporting the least growth (8.95 </w:t>
            </w:r>
            <w:r>
              <w:t>t</w:t>
            </w:r>
            <w:r w:rsidRPr="002854C7">
              <w:t>imes 10</w:t>
            </w:r>
            <w:r>
              <w:rPr>
                <w:vertAlign w:val="superscript"/>
              </w:rPr>
              <w:t>6</w:t>
            </w:r>
            <w:r w:rsidRPr="002854C7">
              <w:t xml:space="preserve"> cells/mL). </w:t>
            </w:r>
            <w:r w:rsidRPr="002854C7">
              <w:rPr>
                <w:i/>
                <w:iCs/>
              </w:rPr>
              <w:t>K. cowanii</w:t>
            </w:r>
            <w:r w:rsidRPr="002854C7">
              <w:t xml:space="preserve"> showed robust growth on sucrose (1.04 times 10</w:t>
            </w:r>
            <w:r>
              <w:rPr>
                <w:vertAlign w:val="superscript"/>
              </w:rPr>
              <w:t>10</w:t>
            </w:r>
            <w:r w:rsidRPr="002854C7">
              <w:t xml:space="preserve"> cells/mL), sorbitol, and glucose, while growth on fructose was notably reduced (3.56 times 10</w:t>
            </w:r>
            <w:r>
              <w:rPr>
                <w:vertAlign w:val="superscript"/>
              </w:rPr>
              <w:t>8</w:t>
            </w:r>
            <w:r w:rsidRPr="002854C7">
              <w:t xml:space="preserve"> cells/mL). In contrast, </w:t>
            </w:r>
            <w:r w:rsidRPr="002854C7">
              <w:rPr>
                <w:i/>
                <w:iCs/>
              </w:rPr>
              <w:t>A. pittii</w:t>
            </w:r>
            <w:r w:rsidRPr="002854C7">
              <w:t xml:space="preserve"> grew efficiently on glucose and sucrose but was completely unable to utilize fructose as a sole carbon source.</w:t>
            </w:r>
          </w:p>
        </w:tc>
      </w:tr>
    </w:tbl>
    <w:p w14:paraId="4BB10F45" w14:textId="77777777" w:rsidR="00AF06B6" w:rsidRDefault="00AF06B6" w:rsidP="00AF06B6">
      <w:pPr>
        <w:bidi w:val="0"/>
      </w:pPr>
    </w:p>
    <w:p w14:paraId="73933A5E" w14:textId="2711F7B3" w:rsidR="00E04959" w:rsidRDefault="00E04959" w:rsidP="00E04959">
      <w:pPr>
        <w:bidi w:val="0"/>
      </w:pPr>
    </w:p>
    <w:tbl>
      <w:tblPr>
        <w:tblStyle w:val="TableGrid"/>
        <w:tblW w:w="0" w:type="auto"/>
        <w:tblLook w:val="04A0" w:firstRow="1" w:lastRow="0" w:firstColumn="1" w:lastColumn="0" w:noHBand="0" w:noVBand="1"/>
      </w:tblPr>
      <w:tblGrid>
        <w:gridCol w:w="8296"/>
      </w:tblGrid>
      <w:tr w:rsidR="004B38EC" w14:paraId="47CC8C2B" w14:textId="77777777" w:rsidTr="00460C88">
        <w:tc>
          <w:tcPr>
            <w:tcW w:w="8296" w:type="dxa"/>
          </w:tcPr>
          <w:p w14:paraId="6CCB0FC4" w14:textId="77777777" w:rsidR="004B38EC" w:rsidRDefault="004B38EC" w:rsidP="00460C88">
            <w:pPr>
              <w:bidi w:val="0"/>
              <w:rPr>
                <w:noProof/>
              </w:rPr>
            </w:pPr>
            <w:r>
              <w:t>A</w:t>
            </w:r>
          </w:p>
          <w:p w14:paraId="4528C2F8" w14:textId="77777777" w:rsidR="004B38EC" w:rsidRDefault="004B38EC" w:rsidP="00460C88">
            <w:pPr>
              <w:bidi w:val="0"/>
            </w:pPr>
            <w:r>
              <w:rPr>
                <w:noProof/>
              </w:rPr>
              <w:lastRenderedPageBreak/>
              <w:drawing>
                <wp:anchor distT="0" distB="0" distL="114300" distR="114300" simplePos="0" relativeHeight="251660288" behindDoc="0" locked="0" layoutInCell="1" allowOverlap="1" wp14:anchorId="5F055412" wp14:editId="01D54DF4">
                  <wp:simplePos x="0" y="0"/>
                  <wp:positionH relativeFrom="column">
                    <wp:posOffset>1508186</wp:posOffset>
                  </wp:positionH>
                  <wp:positionV relativeFrom="paragraph">
                    <wp:posOffset>188137</wp:posOffset>
                  </wp:positionV>
                  <wp:extent cx="2506854" cy="1023359"/>
                  <wp:effectExtent l="0" t="0" r="8255" b="5715"/>
                  <wp:wrapSquare wrapText="bothSides"/>
                  <wp:docPr id="562302427"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02427" name="תמונה 562302427"/>
                          <pic:cNvPicPr/>
                        </pic:nvPicPr>
                        <pic:blipFill rotWithShape="1">
                          <a:blip r:embed="rId15" cstate="print">
                            <a:extLst>
                              <a:ext uri="{28A0092B-C50C-407E-A947-70E740481C1C}">
                                <a14:useLocalDpi xmlns:a14="http://schemas.microsoft.com/office/drawing/2010/main" val="0"/>
                              </a:ext>
                            </a:extLst>
                          </a:blip>
                          <a:srcRect t="28334" b="27926"/>
                          <a:stretch>
                            <a:fillRect/>
                          </a:stretch>
                        </pic:blipFill>
                        <pic:spPr bwMode="auto">
                          <a:xfrm>
                            <a:off x="0" y="0"/>
                            <a:ext cx="2506854" cy="1023359"/>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9264" behindDoc="0" locked="0" layoutInCell="1" allowOverlap="1" wp14:anchorId="773A4E32" wp14:editId="12D6D9C4">
                  <wp:simplePos x="0" y="0"/>
                  <wp:positionH relativeFrom="column">
                    <wp:posOffset>-15939</wp:posOffset>
                  </wp:positionH>
                  <wp:positionV relativeFrom="paragraph">
                    <wp:posOffset>107906</wp:posOffset>
                  </wp:positionV>
                  <wp:extent cx="1517015" cy="1305560"/>
                  <wp:effectExtent l="0" t="0" r="6985" b="8890"/>
                  <wp:wrapSquare wrapText="bothSides"/>
                  <wp:docPr id="206319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93" name="תמונה 20631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7015" cy="1305560"/>
                          </a:xfrm>
                          <a:prstGeom prst="rect">
                            <a:avLst/>
                          </a:prstGeom>
                        </pic:spPr>
                      </pic:pic>
                    </a:graphicData>
                  </a:graphic>
                  <wp14:sizeRelH relativeFrom="margin">
                    <wp14:pctWidth>0</wp14:pctWidth>
                  </wp14:sizeRelH>
                  <wp14:sizeRelV relativeFrom="margin">
                    <wp14:pctHeight>0</wp14:pctHeight>
                  </wp14:sizeRelV>
                </wp:anchor>
              </w:drawing>
            </w:r>
          </w:p>
        </w:tc>
      </w:tr>
      <w:tr w:rsidR="004B38EC" w14:paraId="722EEFCA" w14:textId="77777777" w:rsidTr="00460C88">
        <w:tc>
          <w:tcPr>
            <w:tcW w:w="8296" w:type="dxa"/>
          </w:tcPr>
          <w:p w14:paraId="0D2A32ED" w14:textId="77777777" w:rsidR="004B38EC" w:rsidRDefault="004B38EC" w:rsidP="00460C88">
            <w:pPr>
              <w:bidi w:val="0"/>
              <w:rPr>
                <w:noProof/>
              </w:rPr>
            </w:pPr>
            <w:r>
              <w:lastRenderedPageBreak/>
              <w:t>B</w:t>
            </w:r>
          </w:p>
          <w:p w14:paraId="26F077C1" w14:textId="77777777" w:rsidR="004B38EC" w:rsidRDefault="004B38EC" w:rsidP="00460C88">
            <w:pPr>
              <w:bidi w:val="0"/>
            </w:pPr>
            <w:r>
              <w:rPr>
                <w:noProof/>
              </w:rPr>
              <w:drawing>
                <wp:inline distT="0" distB="0" distL="0" distR="0" wp14:anchorId="576CE295" wp14:editId="073D58AE">
                  <wp:extent cx="2409576" cy="1060028"/>
                  <wp:effectExtent l="0" t="0" r="0" b="6985"/>
                  <wp:docPr id="1693049437" name="תמונה 6" descr="תמונה שמכילה חשבונייה, מחשבון, צבעוני, צהוב&#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49437" name="תמונה 6" descr="תמונה שמכילה חשבונייה, מחשבון, צבעוני, צהוב&#10;&#10;תוכן בינה מלאכותית גנרטיבית עשוי להיות שגו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4573" cy="1066625"/>
                          </a:xfrm>
                          <a:prstGeom prst="rect">
                            <a:avLst/>
                          </a:prstGeom>
                        </pic:spPr>
                      </pic:pic>
                    </a:graphicData>
                  </a:graphic>
                </wp:inline>
              </w:drawing>
            </w:r>
          </w:p>
        </w:tc>
      </w:tr>
      <w:tr w:rsidR="004B38EC" w14:paraId="0FB201CE" w14:textId="77777777" w:rsidTr="00460C88">
        <w:tc>
          <w:tcPr>
            <w:tcW w:w="8296" w:type="dxa"/>
          </w:tcPr>
          <w:p w14:paraId="0DB21FEE" w14:textId="77777777" w:rsidR="004B38EC" w:rsidRDefault="004B38EC" w:rsidP="00460C88">
            <w:pPr>
              <w:bidi w:val="0"/>
              <w:rPr>
                <w:noProof/>
              </w:rPr>
            </w:pPr>
            <w:r>
              <w:t>C</w:t>
            </w:r>
          </w:p>
          <w:p w14:paraId="057FB792" w14:textId="77777777" w:rsidR="004B38EC" w:rsidRDefault="004B38EC" w:rsidP="00460C88">
            <w:pPr>
              <w:bidi w:val="0"/>
            </w:pPr>
            <w:r>
              <w:rPr>
                <w:noProof/>
              </w:rPr>
              <w:drawing>
                <wp:inline distT="0" distB="0" distL="0" distR="0" wp14:anchorId="577FC9ED" wp14:editId="5C726436">
                  <wp:extent cx="2481658" cy="972273"/>
                  <wp:effectExtent l="0" t="0" r="0" b="0"/>
                  <wp:docPr id="1267443244"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43244" name="תמונה 1267443244"/>
                          <pic:cNvPicPr/>
                        </pic:nvPicPr>
                        <pic:blipFill rotWithShape="1">
                          <a:blip r:embed="rId18" cstate="print">
                            <a:extLst>
                              <a:ext uri="{28A0092B-C50C-407E-A947-70E740481C1C}">
                                <a14:useLocalDpi xmlns:a14="http://schemas.microsoft.com/office/drawing/2010/main" val="0"/>
                              </a:ext>
                            </a:extLst>
                          </a:blip>
                          <a:srcRect t="29359" b="29693"/>
                          <a:stretch>
                            <a:fillRect/>
                          </a:stretch>
                        </pic:blipFill>
                        <pic:spPr bwMode="auto">
                          <a:xfrm>
                            <a:off x="0" y="0"/>
                            <a:ext cx="2514023" cy="984953"/>
                          </a:xfrm>
                          <a:prstGeom prst="rect">
                            <a:avLst/>
                          </a:prstGeom>
                          <a:ln>
                            <a:noFill/>
                          </a:ln>
                          <a:extLst>
                            <a:ext uri="{53640926-AAD7-44D8-BBD7-CCE9431645EC}">
                              <a14:shadowObscured xmlns:a14="http://schemas.microsoft.com/office/drawing/2010/main"/>
                            </a:ext>
                          </a:extLst>
                        </pic:spPr>
                      </pic:pic>
                    </a:graphicData>
                  </a:graphic>
                </wp:inline>
              </w:drawing>
            </w:r>
          </w:p>
        </w:tc>
      </w:tr>
      <w:tr w:rsidR="004B38EC" w14:paraId="713D7D85" w14:textId="77777777" w:rsidTr="00460C88">
        <w:tc>
          <w:tcPr>
            <w:tcW w:w="8296" w:type="dxa"/>
          </w:tcPr>
          <w:p w14:paraId="3AFC044B" w14:textId="0595FDBD" w:rsidR="004B38EC" w:rsidRDefault="004B38EC" w:rsidP="00460C88">
            <w:pPr>
              <w:bidi w:val="0"/>
              <w:jc w:val="both"/>
            </w:pPr>
            <w:r w:rsidRPr="00361595">
              <w:rPr>
                <w:b/>
                <w:bCs/>
              </w:rPr>
              <w:t xml:space="preserve">Supplementary Figure </w:t>
            </w:r>
            <w:r>
              <w:rPr>
                <w:b/>
                <w:bCs/>
              </w:rPr>
              <w:t>11</w:t>
            </w:r>
            <w:r w:rsidRPr="00361595">
              <w:rPr>
                <w:b/>
                <w:bCs/>
              </w:rPr>
              <w:t xml:space="preserve">. Experimental validation of </w:t>
            </w:r>
            <w:r w:rsidRPr="00361595">
              <w:rPr>
                <w:b/>
                <w:bCs/>
                <w:i/>
                <w:iCs/>
              </w:rPr>
              <w:t>Penicillium expansum</w:t>
            </w:r>
            <w:r w:rsidRPr="00361595">
              <w:rPr>
                <w:b/>
                <w:bCs/>
              </w:rPr>
              <w:t xml:space="preserve"> inhibition by native bacterial isolates across </w:t>
            </w:r>
            <w:r>
              <w:rPr>
                <w:b/>
                <w:bCs/>
              </w:rPr>
              <w:t>co-culture plates, double-plate volatiles,</w:t>
            </w:r>
            <w:r w:rsidRPr="00361595">
              <w:rPr>
                <w:b/>
                <w:bCs/>
              </w:rPr>
              <w:t xml:space="preserve"> and </w:t>
            </w:r>
            <w:r>
              <w:rPr>
                <w:b/>
                <w:bCs/>
              </w:rPr>
              <w:t>fruit</w:t>
            </w:r>
            <w:r w:rsidRPr="00361595">
              <w:rPr>
                <w:b/>
                <w:bCs/>
              </w:rPr>
              <w:t xml:space="preserve"> assays.</w:t>
            </w:r>
            <w:r w:rsidRPr="00361595">
              <w:t xml:space="preserve"> Representative images and corresponding quantitative bar plots measuring the growth of </w:t>
            </w:r>
            <w:r w:rsidRPr="00361595">
              <w:rPr>
                <w:i/>
                <w:iCs/>
              </w:rPr>
              <w:t>P. expansum</w:t>
            </w:r>
            <w:r w:rsidRPr="00361595">
              <w:t xml:space="preserve"> after </w:t>
            </w:r>
            <w:r>
              <w:t>seven</w:t>
            </w:r>
            <w:r w:rsidRPr="00361595">
              <w:t xml:space="preserve"> days of co-incubation with individual bacterial isolates. </w:t>
            </w:r>
            <w:r w:rsidRPr="00361595">
              <w:rPr>
                <w:b/>
                <w:bCs/>
              </w:rPr>
              <w:t>(A)</w:t>
            </w:r>
            <w:r w:rsidRPr="00B33697">
              <w:t xml:space="preserve"> Co-culture plates assay evaluating </w:t>
            </w:r>
            <w:r w:rsidRPr="00B33697">
              <w:rPr>
                <w:i/>
                <w:iCs/>
              </w:rPr>
              <w:t>P. expansum</w:t>
            </w:r>
            <w:r w:rsidRPr="00B33697">
              <w:t xml:space="preserve"> inhibition via resource competition and secreted soluble metabolites. The bar plot shows the mean </w:t>
            </w:r>
            <w:r w:rsidRPr="00B33697">
              <w:rPr>
                <w:i/>
                <w:iCs/>
              </w:rPr>
              <w:t>P. expansum</w:t>
            </w:r>
            <w:r w:rsidRPr="00B33697">
              <w:t xml:space="preserve"> radial growth (mm). Different letters above the bars indicate statistically significant differences between treatments, as determined by ANOVA followed by Tukey’s HSD post hoc test (p &lt; 0.05).</w:t>
            </w:r>
            <w:r w:rsidRPr="00361595">
              <w:t xml:space="preserve"> </w:t>
            </w:r>
            <w:r w:rsidRPr="00361595">
              <w:rPr>
                <w:b/>
                <w:bCs/>
              </w:rPr>
              <w:t>(B)</w:t>
            </w:r>
            <w:r w:rsidRPr="00361595">
              <w:t xml:space="preserve"> </w:t>
            </w:r>
            <w:r>
              <w:t>F</w:t>
            </w:r>
            <w:r w:rsidRPr="00361595">
              <w:t xml:space="preserve">ruit assay assessing biocontrol efficacy on the native host tissue. </w:t>
            </w:r>
            <w:r w:rsidRPr="00361595">
              <w:rPr>
                <w:b/>
                <w:bCs/>
              </w:rPr>
              <w:t>(C)</w:t>
            </w:r>
            <w:r>
              <w:t xml:space="preserve"> Double-plate</w:t>
            </w:r>
            <w:r w:rsidRPr="00361595">
              <w:t xml:space="preserve"> volatile organic compounds (VOCs) assay evaluating inhibition strictly through gaseous emissions without direct physical contact between the microorganisms.</w:t>
            </w:r>
          </w:p>
        </w:tc>
      </w:tr>
    </w:tbl>
    <w:p w14:paraId="5A390D0B" w14:textId="77777777" w:rsidR="00E0034A" w:rsidRDefault="00E0034A" w:rsidP="00E0034A">
      <w:pPr>
        <w:bidi w:val="0"/>
      </w:pPr>
    </w:p>
    <w:tbl>
      <w:tblPr>
        <w:tblStyle w:val="TableGrid"/>
        <w:tblW w:w="0" w:type="auto"/>
        <w:tblLook w:val="04A0" w:firstRow="1" w:lastRow="0" w:firstColumn="1" w:lastColumn="0" w:noHBand="0" w:noVBand="1"/>
      </w:tblPr>
      <w:tblGrid>
        <w:gridCol w:w="8296"/>
      </w:tblGrid>
      <w:tr w:rsidR="00896B26" w14:paraId="362F7446" w14:textId="77777777" w:rsidTr="00460C88">
        <w:tc>
          <w:tcPr>
            <w:tcW w:w="8296" w:type="dxa"/>
          </w:tcPr>
          <w:p w14:paraId="6D036465" w14:textId="004B778E" w:rsidR="00896B26" w:rsidRDefault="00836B30" w:rsidP="00460C88">
            <w:pPr>
              <w:bidi w:val="0"/>
            </w:pPr>
            <w:r>
              <w:rPr>
                <w:noProof/>
              </w:rPr>
              <w:drawing>
                <wp:inline distT="0" distB="0" distL="0" distR="0" wp14:anchorId="6A362580" wp14:editId="5454054A">
                  <wp:extent cx="4846849" cy="1375978"/>
                  <wp:effectExtent l="0" t="0" r="0" b="0"/>
                  <wp:docPr id="17788668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66818" name="Picture 17788668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61198" cy="1380052"/>
                          </a:xfrm>
                          <a:prstGeom prst="rect">
                            <a:avLst/>
                          </a:prstGeom>
                        </pic:spPr>
                      </pic:pic>
                    </a:graphicData>
                  </a:graphic>
                </wp:inline>
              </w:drawing>
            </w:r>
          </w:p>
        </w:tc>
      </w:tr>
      <w:tr w:rsidR="00896B26" w14:paraId="061A7D81" w14:textId="77777777" w:rsidTr="00460C88">
        <w:tc>
          <w:tcPr>
            <w:tcW w:w="8296" w:type="dxa"/>
          </w:tcPr>
          <w:p w14:paraId="558C6563" w14:textId="77777777" w:rsidR="00896B26" w:rsidRDefault="00896B26" w:rsidP="00460C88">
            <w:pPr>
              <w:bidi w:val="0"/>
              <w:jc w:val="both"/>
            </w:pPr>
            <w:r w:rsidRPr="007D44E2">
              <w:rPr>
                <w:b/>
                <w:bCs/>
              </w:rPr>
              <w:t xml:space="preserve">Supplementary Figure </w:t>
            </w:r>
            <w:r>
              <w:rPr>
                <w:b/>
                <w:bCs/>
              </w:rPr>
              <w:t>12</w:t>
            </w:r>
            <w:r w:rsidRPr="007D44E2">
              <w:rPr>
                <w:b/>
                <w:bCs/>
              </w:rPr>
              <w:t xml:space="preserve">: Pathway reconstruction and functional refinement of the </w:t>
            </w:r>
            <w:r w:rsidRPr="007D44E2">
              <w:rPr>
                <w:b/>
                <w:bCs/>
                <w:i/>
                <w:iCs/>
              </w:rPr>
              <w:t>P. expansum</w:t>
            </w:r>
            <w:r w:rsidRPr="007D44E2">
              <w:rPr>
                <w:b/>
                <w:bCs/>
              </w:rPr>
              <w:t xml:space="preserve"> metabolic model.</w:t>
            </w:r>
            <w:r w:rsidRPr="007D44E2">
              <w:t xml:space="preserve"> Schematic representation of the manual curation performed to restore critical metabolic capabilities required for biomass formation. Nodes represent metabolites (ellipses) and enzymatic reactions or downstream pathways (rectangles). Reaction nodes are color-coded by origin: purple indicates reactions present in the automated draft, green denotes genome-supported additions, and yellow highlights gap-filled reactions added from a universal database. Dashed grey rectangles represent downstream pathway blocks. Metabolite statuses are distinguished by color: red for dead-</w:t>
            </w:r>
            <w:r w:rsidRPr="007D44E2">
              <w:lastRenderedPageBreak/>
              <w:t>ends, light blue for intermediates, green for metabolic bottlenecks, and orange for unproduced biomass components. The network diagram illustrates the specific routes reconstructed to bridge metabolic discontinuities, resolving critical bottlenecks at diphosphate (opppp), succinylbenzoate (sucbz), and succinylbenzoate-CoA (sbzcoa) to rescue menaquinol-8 (mql8) biosynthesis. This comprehensive rescue details both the DXP/MEP pathway steps (incorporating genome-supported MCS alongside universal DXPS, HDR, and OPPPS) to form the isoprenoid side-chain, and the parallel menaquinol backbone steps (incorporating universal 2S6HCCi, SUCBZS, SUCBZL, and DMPPS8). Essential waste recycling is also depicted, with Inorganic Pyrophosphatase (PPA) and Adenylate Kinase (ADK1) managing the resulting byproducts. The successful completion of these modules links central metabolism and essential precursors to the final biomass growth objective function (green circle).</w:t>
            </w:r>
          </w:p>
        </w:tc>
      </w:tr>
    </w:tbl>
    <w:p w14:paraId="3618ABAF" w14:textId="77777777" w:rsidR="00E0034A" w:rsidRDefault="00E0034A" w:rsidP="00E0034A">
      <w:pPr>
        <w:bidi w:val="0"/>
      </w:pPr>
    </w:p>
    <w:sectPr w:rsidR="00E0034A" w:rsidSect="00B14B13">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D46"/>
    <w:rsid w:val="00044C31"/>
    <w:rsid w:val="00072F76"/>
    <w:rsid w:val="000950E4"/>
    <w:rsid w:val="000A1DAD"/>
    <w:rsid w:val="000C1180"/>
    <w:rsid w:val="000C723E"/>
    <w:rsid w:val="000D500E"/>
    <w:rsid w:val="000D7261"/>
    <w:rsid w:val="001037F8"/>
    <w:rsid w:val="00121DDF"/>
    <w:rsid w:val="00154512"/>
    <w:rsid w:val="001557E5"/>
    <w:rsid w:val="001571E6"/>
    <w:rsid w:val="00183FD8"/>
    <w:rsid w:val="001A36C0"/>
    <w:rsid w:val="001A6BBE"/>
    <w:rsid w:val="001B414F"/>
    <w:rsid w:val="001B4CA2"/>
    <w:rsid w:val="001C058E"/>
    <w:rsid w:val="001C6A1E"/>
    <w:rsid w:val="001F66E3"/>
    <w:rsid w:val="00207DCC"/>
    <w:rsid w:val="00210FC5"/>
    <w:rsid w:val="00280562"/>
    <w:rsid w:val="00283BAF"/>
    <w:rsid w:val="00293C46"/>
    <w:rsid w:val="002B04A0"/>
    <w:rsid w:val="002D4055"/>
    <w:rsid w:val="002E453E"/>
    <w:rsid w:val="002F1B86"/>
    <w:rsid w:val="00333C27"/>
    <w:rsid w:val="00337389"/>
    <w:rsid w:val="00344969"/>
    <w:rsid w:val="00361595"/>
    <w:rsid w:val="003A276B"/>
    <w:rsid w:val="003B5E14"/>
    <w:rsid w:val="003E2320"/>
    <w:rsid w:val="00447439"/>
    <w:rsid w:val="004572A1"/>
    <w:rsid w:val="00463521"/>
    <w:rsid w:val="00466222"/>
    <w:rsid w:val="004A3DA6"/>
    <w:rsid w:val="004A534D"/>
    <w:rsid w:val="004A6239"/>
    <w:rsid w:val="004A74FF"/>
    <w:rsid w:val="004B29DA"/>
    <w:rsid w:val="004B38EC"/>
    <w:rsid w:val="005033CA"/>
    <w:rsid w:val="005068D9"/>
    <w:rsid w:val="0054754F"/>
    <w:rsid w:val="005752A3"/>
    <w:rsid w:val="00586691"/>
    <w:rsid w:val="00591346"/>
    <w:rsid w:val="005B67CE"/>
    <w:rsid w:val="005D484B"/>
    <w:rsid w:val="005D4BBA"/>
    <w:rsid w:val="005F1E14"/>
    <w:rsid w:val="005F2622"/>
    <w:rsid w:val="0061308A"/>
    <w:rsid w:val="00623B19"/>
    <w:rsid w:val="0063192B"/>
    <w:rsid w:val="00632B69"/>
    <w:rsid w:val="006401FB"/>
    <w:rsid w:val="006405C9"/>
    <w:rsid w:val="006563FA"/>
    <w:rsid w:val="00666579"/>
    <w:rsid w:val="006A0F8E"/>
    <w:rsid w:val="006A3AC2"/>
    <w:rsid w:val="006B39B4"/>
    <w:rsid w:val="006F1186"/>
    <w:rsid w:val="00734B10"/>
    <w:rsid w:val="00741AB7"/>
    <w:rsid w:val="0074254D"/>
    <w:rsid w:val="00751B4E"/>
    <w:rsid w:val="00763757"/>
    <w:rsid w:val="00774FF1"/>
    <w:rsid w:val="007D44E2"/>
    <w:rsid w:val="007E44F5"/>
    <w:rsid w:val="007F123A"/>
    <w:rsid w:val="00800A97"/>
    <w:rsid w:val="00804CC3"/>
    <w:rsid w:val="00811054"/>
    <w:rsid w:val="00825160"/>
    <w:rsid w:val="00836B30"/>
    <w:rsid w:val="00867BBD"/>
    <w:rsid w:val="00873FC1"/>
    <w:rsid w:val="00895204"/>
    <w:rsid w:val="00896B26"/>
    <w:rsid w:val="008D4F14"/>
    <w:rsid w:val="008E0846"/>
    <w:rsid w:val="008E59FA"/>
    <w:rsid w:val="008F16B4"/>
    <w:rsid w:val="00901200"/>
    <w:rsid w:val="009275B4"/>
    <w:rsid w:val="00931DFA"/>
    <w:rsid w:val="00936D46"/>
    <w:rsid w:val="0096063A"/>
    <w:rsid w:val="00991910"/>
    <w:rsid w:val="009B510C"/>
    <w:rsid w:val="009B6AB6"/>
    <w:rsid w:val="009C176C"/>
    <w:rsid w:val="009C1F99"/>
    <w:rsid w:val="009F1EF0"/>
    <w:rsid w:val="00A024E3"/>
    <w:rsid w:val="00A04D17"/>
    <w:rsid w:val="00A113E2"/>
    <w:rsid w:val="00A260A1"/>
    <w:rsid w:val="00A27DFD"/>
    <w:rsid w:val="00A40CAB"/>
    <w:rsid w:val="00A45BF9"/>
    <w:rsid w:val="00A52FF3"/>
    <w:rsid w:val="00A673F9"/>
    <w:rsid w:val="00A71966"/>
    <w:rsid w:val="00A84DE0"/>
    <w:rsid w:val="00A85605"/>
    <w:rsid w:val="00A95556"/>
    <w:rsid w:val="00AA5BE7"/>
    <w:rsid w:val="00AB23A6"/>
    <w:rsid w:val="00AF06B6"/>
    <w:rsid w:val="00B007E5"/>
    <w:rsid w:val="00B14B13"/>
    <w:rsid w:val="00B24DFF"/>
    <w:rsid w:val="00B82896"/>
    <w:rsid w:val="00B862D4"/>
    <w:rsid w:val="00B93FEB"/>
    <w:rsid w:val="00BA1A26"/>
    <w:rsid w:val="00BB632F"/>
    <w:rsid w:val="00BD4D2E"/>
    <w:rsid w:val="00BE0614"/>
    <w:rsid w:val="00BE4B9C"/>
    <w:rsid w:val="00BF0AB5"/>
    <w:rsid w:val="00C009EB"/>
    <w:rsid w:val="00C25AC4"/>
    <w:rsid w:val="00C56D0B"/>
    <w:rsid w:val="00C72375"/>
    <w:rsid w:val="00CA558F"/>
    <w:rsid w:val="00CE2C46"/>
    <w:rsid w:val="00D16B03"/>
    <w:rsid w:val="00D20106"/>
    <w:rsid w:val="00D3715C"/>
    <w:rsid w:val="00D42678"/>
    <w:rsid w:val="00D50CAA"/>
    <w:rsid w:val="00D72956"/>
    <w:rsid w:val="00D907DE"/>
    <w:rsid w:val="00DA2C1F"/>
    <w:rsid w:val="00DD5629"/>
    <w:rsid w:val="00DD6318"/>
    <w:rsid w:val="00DF6234"/>
    <w:rsid w:val="00E0034A"/>
    <w:rsid w:val="00E04959"/>
    <w:rsid w:val="00E06A04"/>
    <w:rsid w:val="00E1120F"/>
    <w:rsid w:val="00E23FB3"/>
    <w:rsid w:val="00E33936"/>
    <w:rsid w:val="00E438F4"/>
    <w:rsid w:val="00E74327"/>
    <w:rsid w:val="00E90E0C"/>
    <w:rsid w:val="00EC2029"/>
    <w:rsid w:val="00ED3E06"/>
    <w:rsid w:val="00EF5F42"/>
    <w:rsid w:val="00F2790B"/>
    <w:rsid w:val="00F352F9"/>
    <w:rsid w:val="00F528F6"/>
    <w:rsid w:val="00FB3BAF"/>
    <w:rsid w:val="00FD0AB4"/>
    <w:rsid w:val="00FF02D8"/>
    <w:rsid w:val="00FF05FC"/>
    <w:rsid w:val="00FF2696"/>
    <w:rsid w:val="00FF692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47FA6"/>
  <w15:chartTrackingRefBased/>
  <w15:docId w15:val="{1FB5E2B3-EFD5-4B6D-A1E1-D4A0992D3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936D4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936D4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36D46"/>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936D46"/>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936D46"/>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936D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6D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6D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6D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6D46"/>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936D4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936D46"/>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936D46"/>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936D46"/>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36D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6D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6D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6D46"/>
    <w:rPr>
      <w:rFonts w:eastAsiaTheme="majorEastAsia" w:cstheme="majorBidi"/>
      <w:color w:val="272727" w:themeColor="text1" w:themeTint="D8"/>
    </w:rPr>
  </w:style>
  <w:style w:type="paragraph" w:styleId="Title">
    <w:name w:val="Title"/>
    <w:basedOn w:val="Normal"/>
    <w:next w:val="Normal"/>
    <w:link w:val="TitleChar"/>
    <w:uiPriority w:val="10"/>
    <w:qFormat/>
    <w:rsid w:val="00936D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6D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6D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6D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6D46"/>
    <w:pPr>
      <w:spacing w:before="160"/>
      <w:jc w:val="center"/>
    </w:pPr>
    <w:rPr>
      <w:i/>
      <w:iCs/>
      <w:color w:val="404040" w:themeColor="text1" w:themeTint="BF"/>
    </w:rPr>
  </w:style>
  <w:style w:type="character" w:customStyle="1" w:styleId="QuoteChar">
    <w:name w:val="Quote Char"/>
    <w:basedOn w:val="DefaultParagraphFont"/>
    <w:link w:val="Quote"/>
    <w:uiPriority w:val="29"/>
    <w:rsid w:val="00936D46"/>
    <w:rPr>
      <w:i/>
      <w:iCs/>
      <w:color w:val="404040" w:themeColor="text1" w:themeTint="BF"/>
    </w:rPr>
  </w:style>
  <w:style w:type="paragraph" w:styleId="ListParagraph">
    <w:name w:val="List Paragraph"/>
    <w:basedOn w:val="Normal"/>
    <w:uiPriority w:val="34"/>
    <w:qFormat/>
    <w:rsid w:val="00936D46"/>
    <w:pPr>
      <w:ind w:left="720"/>
      <w:contextualSpacing/>
    </w:pPr>
  </w:style>
  <w:style w:type="character" w:styleId="IntenseEmphasis">
    <w:name w:val="Intense Emphasis"/>
    <w:basedOn w:val="DefaultParagraphFont"/>
    <w:uiPriority w:val="21"/>
    <w:qFormat/>
    <w:rsid w:val="00936D46"/>
    <w:rPr>
      <w:i/>
      <w:iCs/>
      <w:color w:val="2E74B5" w:themeColor="accent1" w:themeShade="BF"/>
    </w:rPr>
  </w:style>
  <w:style w:type="paragraph" w:styleId="IntenseQuote">
    <w:name w:val="Intense Quote"/>
    <w:basedOn w:val="Normal"/>
    <w:next w:val="Normal"/>
    <w:link w:val="IntenseQuoteChar"/>
    <w:uiPriority w:val="30"/>
    <w:qFormat/>
    <w:rsid w:val="00936D4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936D46"/>
    <w:rPr>
      <w:i/>
      <w:iCs/>
      <w:color w:val="2E74B5" w:themeColor="accent1" w:themeShade="BF"/>
    </w:rPr>
  </w:style>
  <w:style w:type="character" w:styleId="IntenseReference">
    <w:name w:val="Intense Reference"/>
    <w:basedOn w:val="DefaultParagraphFont"/>
    <w:uiPriority w:val="32"/>
    <w:qFormat/>
    <w:rsid w:val="00936D46"/>
    <w:rPr>
      <w:b/>
      <w:bCs/>
      <w:smallCaps/>
      <w:color w:val="2E74B5" w:themeColor="accent1" w:themeShade="BF"/>
      <w:spacing w:val="5"/>
    </w:rPr>
  </w:style>
  <w:style w:type="table" w:styleId="TableGrid">
    <w:name w:val="Table Grid"/>
    <w:basedOn w:val="TableNormal"/>
    <w:uiPriority w:val="39"/>
    <w:rsid w:val="00157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00A97"/>
    <w:rPr>
      <w:sz w:val="16"/>
      <w:szCs w:val="16"/>
    </w:rPr>
  </w:style>
  <w:style w:type="paragraph" w:styleId="CommentText">
    <w:name w:val="annotation text"/>
    <w:basedOn w:val="Normal"/>
    <w:link w:val="CommentTextChar"/>
    <w:uiPriority w:val="99"/>
    <w:unhideWhenUsed/>
    <w:rsid w:val="00800A97"/>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800A97"/>
    <w:rPr>
      <w:kern w:val="0"/>
      <w:sz w:val="20"/>
      <w:szCs w:val="20"/>
      <w14:ligatures w14:val="none"/>
    </w:rPr>
  </w:style>
  <w:style w:type="table" w:styleId="PlainTable2">
    <w:name w:val="Plain Table 2"/>
    <w:basedOn w:val="TableNormal"/>
    <w:uiPriority w:val="42"/>
    <w:rsid w:val="00800A97"/>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image" Target="media/image13.tiff"/><Relationship Id="rId2" Type="http://schemas.openxmlformats.org/officeDocument/2006/relationships/styles" Target="styles.xml"/><Relationship Id="rId16" Type="http://schemas.openxmlformats.org/officeDocument/2006/relationships/image" Target="media/image12.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image" Target="media/image11.png"/><Relationship Id="rId10" Type="http://schemas.openxmlformats.org/officeDocument/2006/relationships/image" Target="media/image6.tiff"/><Relationship Id="rId19" Type="http://schemas.openxmlformats.org/officeDocument/2006/relationships/image" Target="media/image15.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2AB00FB8FEF4686A14950831C71343C"/>
        <w:category>
          <w:name w:val="כללי"/>
          <w:gallery w:val="placeholder"/>
        </w:category>
        <w:types>
          <w:type w:val="bbPlcHdr"/>
        </w:types>
        <w:behaviors>
          <w:behavior w:val="content"/>
        </w:behaviors>
        <w:guid w:val="{FED1D680-5BE5-4E28-8C9F-D4A46BD8D3EE}"/>
      </w:docPartPr>
      <w:docPartBody>
        <w:p w:rsidR="003724AB" w:rsidRDefault="008F6CEC" w:rsidP="008F6CEC">
          <w:pPr>
            <w:pStyle w:val="22AB00FB8FEF4686A14950831C71343C"/>
          </w:pPr>
          <w:r w:rsidRPr="00A4242D">
            <w:rPr>
              <w:rStyle w:val="PlaceholderText"/>
              <w:rtl/>
            </w:rPr>
            <w:t>לחץ או הקש כאן להזנת טקסט</w:t>
          </w:r>
          <w:r w:rsidRPr="00A4242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62A"/>
    <w:rsid w:val="000C1180"/>
    <w:rsid w:val="001B414F"/>
    <w:rsid w:val="002134B1"/>
    <w:rsid w:val="00293C46"/>
    <w:rsid w:val="002F262A"/>
    <w:rsid w:val="003724AB"/>
    <w:rsid w:val="004B29DA"/>
    <w:rsid w:val="00530307"/>
    <w:rsid w:val="005D1DB8"/>
    <w:rsid w:val="00895204"/>
    <w:rsid w:val="008F6CEC"/>
    <w:rsid w:val="00980AB0"/>
    <w:rsid w:val="009E7D41"/>
    <w:rsid w:val="00A13710"/>
    <w:rsid w:val="00A85DE2"/>
    <w:rsid w:val="00BE0614"/>
    <w:rsid w:val="00CE2C46"/>
    <w:rsid w:val="00E06A04"/>
    <w:rsid w:val="00F163E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6CEC"/>
    <w:rPr>
      <w:color w:val="666666"/>
    </w:rPr>
  </w:style>
  <w:style w:type="paragraph" w:customStyle="1" w:styleId="22AB00FB8FEF4686A14950831C71343C">
    <w:name w:val="22AB00FB8FEF4686A14950831C71343C"/>
    <w:rsid w:val="008F6CEC"/>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ECF380D-DB31-4DA4-85B2-AE277FD6E91B}">
  <we:reference id="wa104382081" version="1.55.1.0" store="en-001" storeType="OMEX"/>
  <we:alternateReferences>
    <we:reference id="WA104382081" version="1.55.1.0" store="" storeType="OMEX"/>
  </we:alternateReferences>
  <we:properties>
    <we:property name="MENDELEY_CITATIONS" value="[{&quot;citationID&quot;:&quot;MENDELEY_CITATION_3a832588-11c2-489f-9e3a-67a6cb2fec60&quot;,&quot;properties&quot;:{&quot;noteIndex&quot;:0},&quot;isEdited&quot;:false,&quot;manualOverride&quot;:{&quot;isManuallyOverridden&quot;:false,&quot;citeprocText&quot;:&quot;(1)&quot;,&quot;manualOverrideText&quot;:&quot;&quot;},&quot;citationTag&quot;:&quot;MENDELEY_CITATION_v3_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&quot;,&quot;citationItems&quot;:[{&quot;id&quot;:&quot;74f8a793-d69d-3c4a-8008-e32bfcaaaf2e&quot;,&quot;itemData&quot;:{&quot;type&quot;:&quot;article-journal&quot;,&quot;id&quot;:&quot;74f8a793-d69d-3c4a-8008-e32bfcaaaf2e&quot;,&quot;title&quot;:&quot;Chemical compositional characterization of some apple cultivars&quot;,&quot;author&quot;:[{&quot;family&quot;:&quot;Wu&quot;,&quot;given&quot;:&quot;Jihong&quot;,&quot;parse-names&quot;:false,&quot;dropping-particle&quot;:&quot;&quot;,&quot;non-dropping-particle&quot;:&quot;&quot;},{&quot;family&quot;:&quot;Gao&quot;,&quot;given&quot;:&quot;Haiyan&quot;,&quot;parse-names&quot;:false,&quot;dropping-particle&quot;:&quot;&quot;,&quot;non-dropping-particle&quot;:&quot;&quot;},{&quot;family&quot;:&quot;Zhao&quot;,&quot;given&quot;:&quot;Lei&quot;,&quot;parse-names&quot;:false,&quot;dropping-particle&quot;:&quot;&quot;,&quot;non-dropping-particle&quot;:&quot;&quot;},{&quot;family&quot;:&quot;Liao&quot;,&quot;given&quot;:&quot;Xiaojun&quot;,&quot;parse-names&quot;:false,&quot;dropping-particle&quot;:&quot;&quot;,&quot;non-dropping-particle&quot;:&quot;&quot;},{&quot;family&quot;:&quot;Chen&quot;,&quot;given&quot;:&quot;Fang&quot;,&quot;parse-names&quot;:false,&quot;dropping-particle&quot;:&quot;&quot;,&quot;non-dropping-particle&quot;:&quot;&quot;},{&quot;family&quot;:&quot;Wang&quot;,&quot;given&quot;:&quot;Zhenfu&quot;,&quot;parse-names&quot;:false,&quot;dropping-particle&quot;:&quot;&quot;,&quot;non-dropping-particle&quot;:&quot;&quot;},{&quot;family&quot;:&quot;Hu&quot;,&quot;given&quot;:&quot;Xiaosong&quot;,&quot;parse-names&quot;:false,&quot;dropping-particle&quot;:&quot;&quot;,&quot;non-dropping-particle&quot;:&quot;&quot;}],&quot;container-title&quot;:&quot;Food Chemistry&quot;,&quot;container-title-short&quot;:&quot;Food Chem.&quot;,&quot;DOI&quot;:&quot;https://doi.org/10.1016/j.foodchem.2006.07.030&quot;,&quot;ISSN&quot;:&quot;0308-8146&quot;,&quot;URL&quot;:&quot;https://www.sciencedirect.com/science/article/pii/S0308814606006157&quot;,&quot;issued&quot;:{&quot;date-parts&quot;:[[2007]]},&quot;page&quot;:&quot;88-93&quot;,&quot;abstract&quot;:&quot;Eight commercially harvested apple cultivars were analysed by gas chromatography and high-performance liquid chromatography, in particular the composition and level of sugars, organic acids, amino acids, phenolic compounds and fatty acids. The results showed great quantitative differences in the composition of the apple cultivars, particularly in their phenolic contents. Fructose was the most dominant sugar in the different apple cultivars, followed by glucose and sucrose, while malic acid was the principal organic acid. The C16:0, C18:0, C18:1, C18:2 and C18:3 fatty acids were the most abundant fatty acids, and the C18 family accounted for more than 70% of the total fatty acids content. Asparagine and serine were the principal amino acids. Chlorogenic acid and protocatechuic acid were the dominating phenolic compounds. The results provide important information on how to make the best use of the apple cultivars investigated, for both technological research and processing practice.&quot;,&quot;issue&quot;:&quot;1&quot;,&quot;volume&quot;:&quot;103&quot;},&quot;isTemporary&quot;:false}]}]"/>
    <we:property name="MENDELEY_CITATIONS_STYLE" value="{&quot;id&quot;:&quot;https://www.zotero.org/styles/vancouver&quot;,&quot;title&quot;:&quot;NLM/Vancouver: Citing Medicine 2nd edition (citation-sequenc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A93EB-BF66-41BE-AB9C-772E38791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13</Pages>
  <Words>3492</Words>
  <Characters>17464</Characters>
  <Application>Microsoft Office Word</Application>
  <DocSecurity>0</DocSecurity>
  <Lines>145</Lines>
  <Paragraphs>41</Paragraphs>
  <ScaleCrop>false</ScaleCrop>
  <HeadingPairs>
    <vt:vector size="2" baseType="variant">
      <vt:variant>
        <vt:lpstr>שם</vt:lpstr>
      </vt:variant>
      <vt:variant>
        <vt:i4>1</vt:i4>
      </vt:variant>
    </vt:vector>
  </HeadingPairs>
  <TitlesOfParts>
    <vt:vector size="1" baseType="lpstr">
      <vt:lpstr/>
    </vt:vector>
  </TitlesOfParts>
  <Company>Volcani</Company>
  <LinksUpToDate>false</LinksUpToDate>
  <CharactersWithSpaces>20915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Rotem Bartuv</dc:creator>
  <cp:keywords/>
  <dc:description/>
  <cp:lastModifiedBy>Rotem Bartuv</cp:lastModifiedBy>
  <cp:revision>24</cp:revision>
  <dcterms:created xsi:type="dcterms:W3CDTF">2026-03-22T13:54:00Z</dcterms:created>
  <dcterms:modified xsi:type="dcterms:W3CDTF">2026-04-23T08:26:00Z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0e041969-ce60-4a60-8e4f-c75aa14d9e10</vt:lpwstr>
  </property>
</Properties>
</file>