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FAC2" w14:textId="77777777" w:rsidR="005E5098" w:rsidRPr="0014753A" w:rsidRDefault="005E5098" w:rsidP="005E5098">
      <w:pPr>
        <w:pStyle w:val="1"/>
        <w:rPr>
          <w:lang w:val="en-GB"/>
        </w:rPr>
      </w:pPr>
      <w:r w:rsidRPr="0014753A">
        <w:rPr>
          <w:lang w:val="en-GB"/>
        </w:rPr>
        <w:t>Subthalamic Deep Brain Stimulation Restores Temporal Flexibility of Cortical Beta Bursts During Motor Inhibition</w:t>
      </w:r>
    </w:p>
    <w:p w14:paraId="362CBDCB" w14:textId="77777777" w:rsidR="005E5098" w:rsidRPr="0014753A" w:rsidRDefault="005E5098" w:rsidP="005E5098">
      <w:pPr>
        <w:rPr>
          <w:lang w:val="nl-BE"/>
        </w:rPr>
      </w:pPr>
      <w:r w:rsidRPr="0014753A">
        <w:rPr>
          <w:lang w:val="nl-BE"/>
        </w:rPr>
        <w:t>Tingting Zhu</w:t>
      </w:r>
      <w:r w:rsidRPr="0014753A">
        <w:rPr>
          <w:vertAlign w:val="superscript"/>
          <w:lang w:val="nl-BE"/>
        </w:rPr>
        <w:t>a,b</w:t>
      </w:r>
      <w:r w:rsidRPr="0014753A">
        <w:rPr>
          <w:lang w:val="nl-BE"/>
        </w:rPr>
        <w:t>, Wim Vandenberghe</w:t>
      </w:r>
      <w:r w:rsidRPr="0014753A">
        <w:rPr>
          <w:vertAlign w:val="superscript"/>
          <w:lang w:val="nl-BE"/>
        </w:rPr>
        <w:t>c,d</w:t>
      </w:r>
      <w:r w:rsidRPr="0014753A">
        <w:rPr>
          <w:lang w:val="nl-BE"/>
        </w:rPr>
        <w:t>, Dante Mantini</w:t>
      </w:r>
      <w:r w:rsidRPr="0014753A">
        <w:rPr>
          <w:vertAlign w:val="superscript"/>
          <w:lang w:val="nl-BE"/>
        </w:rPr>
        <w:t>e</w:t>
      </w:r>
      <w:r w:rsidRPr="0014753A">
        <w:rPr>
          <w:lang w:val="nl-BE"/>
        </w:rPr>
        <w:t>, Alexander T. Sack</w:t>
      </w:r>
      <w:r w:rsidRPr="0014753A">
        <w:rPr>
          <w:vertAlign w:val="superscript"/>
          <w:lang w:val="nl-BE"/>
        </w:rPr>
        <w:t>a,b</w:t>
      </w:r>
      <w:r w:rsidRPr="0014753A">
        <w:rPr>
          <w:lang w:val="nl-BE"/>
        </w:rPr>
        <w:t xml:space="preserve">, </w:t>
      </w:r>
      <w:r w:rsidRPr="0014753A">
        <w:rPr>
          <w:rFonts w:eastAsia="Times New Roman"/>
          <w:lang w:val="nl-BE"/>
        </w:rPr>
        <w:t>James P. Coxon</w:t>
      </w:r>
      <w:r w:rsidRPr="0014753A">
        <w:rPr>
          <w:rFonts w:eastAsia="Times New Roman"/>
          <w:vertAlign w:val="superscript"/>
          <w:lang w:val="nl-BE"/>
        </w:rPr>
        <w:t>f</w:t>
      </w:r>
      <w:r w:rsidRPr="0014753A">
        <w:rPr>
          <w:lang w:val="nl-BE"/>
        </w:rPr>
        <w:t>, Bart Nuttin</w:t>
      </w:r>
      <w:r w:rsidRPr="0014753A">
        <w:rPr>
          <w:vertAlign w:val="superscript"/>
          <w:lang w:val="nl-BE"/>
        </w:rPr>
        <w:t>g,h</w:t>
      </w:r>
      <w:r w:rsidRPr="0014753A">
        <w:rPr>
          <w:lang w:val="nl-BE"/>
        </w:rPr>
        <w:t>, Stephan P. Swinnen</w:t>
      </w:r>
      <w:r w:rsidRPr="0014753A">
        <w:rPr>
          <w:vertAlign w:val="superscript"/>
          <w:lang w:val="nl-BE"/>
        </w:rPr>
        <w:t>e</w:t>
      </w:r>
      <w:r w:rsidRPr="0014753A">
        <w:rPr>
          <w:lang w:val="nl-BE"/>
        </w:rPr>
        <w:t>, Inge Leunissen</w:t>
      </w:r>
      <w:r w:rsidRPr="0014753A">
        <w:rPr>
          <w:vertAlign w:val="superscript"/>
          <w:lang w:val="nl-BE"/>
        </w:rPr>
        <w:t>a,b*</w:t>
      </w:r>
    </w:p>
    <w:p w14:paraId="2B4D276D" w14:textId="77777777" w:rsidR="005E5098" w:rsidRPr="0014753A" w:rsidRDefault="005E5098" w:rsidP="005E5098">
      <w:r w:rsidRPr="0014753A">
        <w:rPr>
          <w:vertAlign w:val="superscript"/>
        </w:rPr>
        <w:t>a</w:t>
      </w:r>
      <w:r w:rsidRPr="0014753A">
        <w:t xml:space="preserve"> Department of Cognitive Neuroscience, Faculty of Psychology and Neuroscience, Maastricht University, Maastricht 6229 EV, The Netherlands</w:t>
      </w:r>
    </w:p>
    <w:p w14:paraId="49EE4BD3" w14:textId="77777777" w:rsidR="005E5098" w:rsidRPr="0014753A" w:rsidRDefault="005E5098" w:rsidP="005E5098">
      <w:r w:rsidRPr="0014753A">
        <w:rPr>
          <w:vertAlign w:val="superscript"/>
        </w:rPr>
        <w:t>b</w:t>
      </w:r>
      <w:r w:rsidRPr="0014753A">
        <w:t xml:space="preserve"> Maastricht Brain Imaging Centre (MBIC), Maastricht University, </w:t>
      </w:r>
      <w:proofErr w:type="spellStart"/>
      <w:r w:rsidRPr="0014753A">
        <w:t>Oxfordlaan</w:t>
      </w:r>
      <w:proofErr w:type="spellEnd"/>
      <w:r w:rsidRPr="0014753A">
        <w:t xml:space="preserve"> 55, Maastricht 6229 EV, The Netherlands</w:t>
      </w:r>
    </w:p>
    <w:p w14:paraId="55DFC594" w14:textId="77777777" w:rsidR="005E5098" w:rsidRPr="0014753A" w:rsidRDefault="005E5098" w:rsidP="005E5098">
      <w:r w:rsidRPr="0014753A">
        <w:rPr>
          <w:vertAlign w:val="superscript"/>
        </w:rPr>
        <w:t xml:space="preserve">c </w:t>
      </w:r>
      <w:r w:rsidRPr="0014753A">
        <w:rPr>
          <w:bCs/>
        </w:rPr>
        <w:t>Laboratory for Parkinson Research</w:t>
      </w:r>
      <w:r w:rsidRPr="0014753A">
        <w:t>, Department of Neurosciences, KU Leuven, 3000</w:t>
      </w:r>
      <w:r w:rsidRPr="0014753A">
        <w:rPr>
          <w:b/>
          <w:bCs/>
        </w:rPr>
        <w:t xml:space="preserve"> </w:t>
      </w:r>
      <w:r w:rsidRPr="0014753A">
        <w:t>Leuven, Belgium</w:t>
      </w:r>
    </w:p>
    <w:p w14:paraId="04AB9623" w14:textId="77777777" w:rsidR="005E5098" w:rsidRPr="0014753A" w:rsidRDefault="005E5098" w:rsidP="005E5098">
      <w:r w:rsidRPr="0014753A">
        <w:rPr>
          <w:vertAlign w:val="superscript"/>
        </w:rPr>
        <w:t xml:space="preserve">d </w:t>
      </w:r>
      <w:r w:rsidRPr="0014753A">
        <w:t>Department of Neurology, University Hospitals Leuven, 3000 Leuven, Belgium</w:t>
      </w:r>
    </w:p>
    <w:p w14:paraId="45AB6840" w14:textId="77777777" w:rsidR="005E5098" w:rsidRPr="0014753A" w:rsidRDefault="005E5098" w:rsidP="005E5098">
      <w:r w:rsidRPr="0014753A">
        <w:rPr>
          <w:vertAlign w:val="superscript"/>
        </w:rPr>
        <w:t xml:space="preserve">e </w:t>
      </w:r>
      <w:r w:rsidRPr="0014753A">
        <w:t xml:space="preserve">Movement Control and Neuroplasticity Research Group, </w:t>
      </w:r>
      <w:bookmarkStart w:id="0" w:name="_Hlk218511888"/>
      <w:r w:rsidRPr="0014753A">
        <w:t>Department of Movement Sciences, </w:t>
      </w:r>
      <w:bookmarkEnd w:id="0"/>
      <w:r w:rsidRPr="0014753A">
        <w:t xml:space="preserve">KU Leuven, 3001 Leuven, Belgium </w:t>
      </w:r>
    </w:p>
    <w:p w14:paraId="5BCB272E" w14:textId="77777777" w:rsidR="005E5098" w:rsidRPr="0014753A" w:rsidRDefault="005E5098" w:rsidP="005E5098">
      <w:pPr>
        <w:rPr>
          <w:rFonts w:eastAsia="Times New Roman"/>
        </w:rPr>
      </w:pPr>
      <w:r w:rsidRPr="0014753A">
        <w:rPr>
          <w:rFonts w:eastAsia="Times New Roman"/>
          <w:vertAlign w:val="superscript"/>
        </w:rPr>
        <w:t xml:space="preserve">f </w:t>
      </w:r>
      <w:r w:rsidRPr="0014753A">
        <w:rPr>
          <w:rFonts w:eastAsia="Times New Roman"/>
        </w:rPr>
        <w:t>School of Psychological Sciences, Turner Institute for Brain and Mental Health, Monash University, 3800 Victoria, Australia</w:t>
      </w:r>
    </w:p>
    <w:p w14:paraId="1BAAF7F0" w14:textId="77777777" w:rsidR="005E5098" w:rsidRPr="0014753A" w:rsidRDefault="005E5098" w:rsidP="005E5098">
      <w:r w:rsidRPr="0014753A">
        <w:rPr>
          <w:vertAlign w:val="superscript"/>
        </w:rPr>
        <w:t xml:space="preserve">g </w:t>
      </w:r>
      <w:r w:rsidRPr="0014753A">
        <w:t>Research Group Experimental Neurosurgery and Neuroanatomy, Department of Neurosurgery, KU Leuven, 3000 Leuven, Belgium</w:t>
      </w:r>
    </w:p>
    <w:p w14:paraId="08F67F11" w14:textId="77777777" w:rsidR="005E5098" w:rsidRPr="0014753A" w:rsidRDefault="005E5098" w:rsidP="005E5098">
      <w:r w:rsidRPr="0014753A">
        <w:rPr>
          <w:vertAlign w:val="superscript"/>
        </w:rPr>
        <w:t>h</w:t>
      </w:r>
      <w:r w:rsidRPr="0014753A">
        <w:t xml:space="preserve"> Department of Neurosurgery, University Hospital of Leuven, 3000 Leuven, Belgium</w:t>
      </w:r>
    </w:p>
    <w:p w14:paraId="73757096" w14:textId="77777777" w:rsidR="005E5098" w:rsidRPr="0014753A" w:rsidRDefault="005E5098" w:rsidP="005E5098"/>
    <w:p w14:paraId="7B6D1A48" w14:textId="77777777" w:rsidR="005E5098" w:rsidRPr="0014753A" w:rsidRDefault="005E5098" w:rsidP="005E5098">
      <w:r w:rsidRPr="0014753A">
        <w:t>*Corresponding author</w:t>
      </w:r>
    </w:p>
    <w:p w14:paraId="42D926C7" w14:textId="1FB18260" w:rsidR="002E3690" w:rsidRDefault="005E5098" w:rsidP="002E3690">
      <w:r w:rsidRPr="0014753A">
        <w:t xml:space="preserve">Email address: </w:t>
      </w:r>
      <w:hyperlink r:id="rId7">
        <w:r w:rsidRPr="0014753A">
          <w:rPr>
            <w:rStyle w:val="af2"/>
            <w:color w:val="0D0D0D" w:themeColor="text1" w:themeTint="F2"/>
          </w:rPr>
          <w:t>inge.leunissen@maastrichtuniversity.nl</w:t>
        </w:r>
      </w:hyperlink>
    </w:p>
    <w:p w14:paraId="6AF80B8A" w14:textId="77777777" w:rsidR="002E3690" w:rsidRDefault="002E3690" w:rsidP="002E3690"/>
    <w:p w14:paraId="2E532340" w14:textId="78C1EE1F" w:rsidR="000F6C16" w:rsidRDefault="00DC4C3C" w:rsidP="00AD7290">
      <w:pPr>
        <w:pStyle w:val="1"/>
      </w:pPr>
      <w:r>
        <w:lastRenderedPageBreak/>
        <w:t>Supplementary material</w:t>
      </w:r>
    </w:p>
    <w:p w14:paraId="54065D1D" w14:textId="7D051D52" w:rsidR="00DC4C3C" w:rsidRDefault="00DC4C3C">
      <w:r>
        <w:t xml:space="preserve">Table S1. Deep brain stimulation parameters for patients with Parkinson’s disease </w:t>
      </w:r>
    </w:p>
    <w:tbl>
      <w:tblPr>
        <w:tblW w:w="1308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08"/>
        <w:gridCol w:w="2416"/>
        <w:gridCol w:w="1499"/>
        <w:gridCol w:w="1600"/>
        <w:gridCol w:w="1606"/>
        <w:gridCol w:w="1843"/>
        <w:gridCol w:w="1531"/>
      </w:tblGrid>
      <w:tr w:rsidR="00E700DC" w:rsidRPr="00E700DC" w14:paraId="01F35E64" w14:textId="77777777" w:rsidTr="00E700DC">
        <w:trPr>
          <w:trHeight w:val="60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7197D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Participant ID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DB80E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Session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EDF22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STN-contacts (L/R)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02EF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Electrical potential (V)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C5ACC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Pulse width (µs)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82A80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Frequency (Hz)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75354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Impedance (Ω)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893CE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Current amplitude (mA)</w:t>
            </w:r>
          </w:p>
        </w:tc>
      </w:tr>
      <w:tr w:rsidR="00E700DC" w:rsidRPr="00E700DC" w14:paraId="5AF8BAF0" w14:textId="77777777" w:rsidTr="00E700DC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078D354" w14:textId="3D8C00D6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  <w:hideMark/>
          </w:tcPr>
          <w:p w14:paraId="665035C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  <w:hideMark/>
          </w:tcPr>
          <w:p w14:paraId="2E2BF23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  <w:hideMark/>
          </w:tcPr>
          <w:p w14:paraId="66F87A3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2.6/2.45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  <w:hideMark/>
          </w:tcPr>
          <w:p w14:paraId="6575F72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  <w:hideMark/>
          </w:tcPr>
          <w:p w14:paraId="7996BB0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  <w:hideMark/>
          </w:tcPr>
          <w:p w14:paraId="2692CA8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1726/1275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  <w:hideMark/>
          </w:tcPr>
          <w:p w14:paraId="68713B3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1.48/1.97</w:t>
            </w:r>
          </w:p>
        </w:tc>
      </w:tr>
      <w:tr w:rsidR="00E700DC" w:rsidRPr="00E700DC" w14:paraId="56940E3B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132877D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128AF14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775675F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4AF8BB1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2.85/2.7</w:t>
            </w:r>
          </w:p>
        </w:tc>
        <w:tc>
          <w:tcPr>
            <w:tcW w:w="1625" w:type="dxa"/>
            <w:vAlign w:val="center"/>
            <w:hideMark/>
          </w:tcPr>
          <w:p w14:paraId="432ED92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774D2E3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66F2E2A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1805/1218</w:t>
            </w:r>
          </w:p>
        </w:tc>
        <w:tc>
          <w:tcPr>
            <w:tcW w:w="1560" w:type="dxa"/>
            <w:vAlign w:val="center"/>
            <w:hideMark/>
          </w:tcPr>
          <w:p w14:paraId="0EEDDF1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1.61/2.26</w:t>
            </w:r>
          </w:p>
        </w:tc>
      </w:tr>
      <w:tr w:rsidR="00E700DC" w:rsidRPr="00E700DC" w14:paraId="00CF2FEA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08F2D2F7" w14:textId="2C0EE670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669405E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57B437C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2+3–/10+11–</w:t>
            </w:r>
          </w:p>
        </w:tc>
        <w:tc>
          <w:tcPr>
            <w:tcW w:w="1530" w:type="dxa"/>
            <w:vAlign w:val="center"/>
            <w:hideMark/>
          </w:tcPr>
          <w:p w14:paraId="37CCAF9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3.5/3.45</w:t>
            </w:r>
          </w:p>
        </w:tc>
        <w:tc>
          <w:tcPr>
            <w:tcW w:w="1625" w:type="dxa"/>
            <w:vAlign w:val="center"/>
            <w:hideMark/>
          </w:tcPr>
          <w:p w14:paraId="4279666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90/90</w:t>
            </w:r>
          </w:p>
        </w:tc>
        <w:tc>
          <w:tcPr>
            <w:tcW w:w="1606" w:type="dxa"/>
            <w:vAlign w:val="center"/>
            <w:hideMark/>
          </w:tcPr>
          <w:p w14:paraId="465A9E3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1D74762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17E6802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6F44A898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276DCC0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3A38B58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2C980B7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2+3–/10+11–</w:t>
            </w:r>
          </w:p>
        </w:tc>
        <w:tc>
          <w:tcPr>
            <w:tcW w:w="1530" w:type="dxa"/>
            <w:vAlign w:val="center"/>
            <w:hideMark/>
          </w:tcPr>
          <w:p w14:paraId="5FFC9E1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3.45/3.45</w:t>
            </w:r>
          </w:p>
        </w:tc>
        <w:tc>
          <w:tcPr>
            <w:tcW w:w="1625" w:type="dxa"/>
            <w:vAlign w:val="center"/>
            <w:hideMark/>
          </w:tcPr>
          <w:p w14:paraId="794A75C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90/90</w:t>
            </w:r>
          </w:p>
        </w:tc>
        <w:tc>
          <w:tcPr>
            <w:tcW w:w="1606" w:type="dxa"/>
            <w:vAlign w:val="center"/>
            <w:hideMark/>
          </w:tcPr>
          <w:p w14:paraId="3894684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3071F6C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1284/1397</w:t>
            </w:r>
          </w:p>
        </w:tc>
        <w:tc>
          <w:tcPr>
            <w:tcW w:w="1560" w:type="dxa"/>
            <w:vAlign w:val="center"/>
            <w:hideMark/>
          </w:tcPr>
          <w:p w14:paraId="1F1477C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2.71/2.51</w:t>
            </w:r>
          </w:p>
        </w:tc>
      </w:tr>
      <w:tr w:rsidR="00E700DC" w:rsidRPr="00E700DC" w14:paraId="5EF98B4E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3804C71B" w14:textId="362E35FD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2A57224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6BCA3AC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1+2–/10–9+</w:t>
            </w:r>
          </w:p>
        </w:tc>
        <w:tc>
          <w:tcPr>
            <w:tcW w:w="1530" w:type="dxa"/>
            <w:vAlign w:val="center"/>
            <w:hideMark/>
          </w:tcPr>
          <w:p w14:paraId="483EE23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3.65/3.75</w:t>
            </w:r>
          </w:p>
        </w:tc>
        <w:tc>
          <w:tcPr>
            <w:tcW w:w="1625" w:type="dxa"/>
            <w:vAlign w:val="center"/>
            <w:hideMark/>
          </w:tcPr>
          <w:p w14:paraId="2F78B7F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80/80</w:t>
            </w:r>
          </w:p>
        </w:tc>
        <w:tc>
          <w:tcPr>
            <w:tcW w:w="1606" w:type="dxa"/>
            <w:vAlign w:val="center"/>
            <w:hideMark/>
          </w:tcPr>
          <w:p w14:paraId="4537293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7036228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67D7DB0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1B376FB7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2662164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1BFDDE6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75495D1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1+2–/10–9+</w:t>
            </w:r>
          </w:p>
        </w:tc>
        <w:tc>
          <w:tcPr>
            <w:tcW w:w="1530" w:type="dxa"/>
            <w:vAlign w:val="center"/>
            <w:hideMark/>
          </w:tcPr>
          <w:p w14:paraId="1A8464F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3.65/3.75</w:t>
            </w:r>
          </w:p>
        </w:tc>
        <w:tc>
          <w:tcPr>
            <w:tcW w:w="1625" w:type="dxa"/>
            <w:vAlign w:val="center"/>
            <w:hideMark/>
          </w:tcPr>
          <w:p w14:paraId="6422211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80/80</w:t>
            </w:r>
          </w:p>
        </w:tc>
        <w:tc>
          <w:tcPr>
            <w:tcW w:w="1606" w:type="dxa"/>
            <w:vAlign w:val="center"/>
            <w:hideMark/>
          </w:tcPr>
          <w:p w14:paraId="0C5C1C2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44B1429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5F5356D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7A88C5CC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38C591C1" w14:textId="25DA00EE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4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0E755D8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4791B14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1+2–/9–10+</w:t>
            </w:r>
          </w:p>
        </w:tc>
        <w:tc>
          <w:tcPr>
            <w:tcW w:w="1530" w:type="dxa"/>
            <w:vAlign w:val="center"/>
            <w:hideMark/>
          </w:tcPr>
          <w:p w14:paraId="3B4BA5B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2.5/2.5</w:t>
            </w:r>
          </w:p>
        </w:tc>
        <w:tc>
          <w:tcPr>
            <w:tcW w:w="1625" w:type="dxa"/>
            <w:vAlign w:val="center"/>
            <w:hideMark/>
          </w:tcPr>
          <w:p w14:paraId="6021805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60/70</w:t>
            </w:r>
          </w:p>
        </w:tc>
        <w:tc>
          <w:tcPr>
            <w:tcW w:w="1606" w:type="dxa"/>
            <w:vAlign w:val="center"/>
            <w:hideMark/>
          </w:tcPr>
          <w:p w14:paraId="0046B85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341BD1A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2262/2181</w:t>
            </w:r>
          </w:p>
        </w:tc>
        <w:tc>
          <w:tcPr>
            <w:tcW w:w="1560" w:type="dxa"/>
            <w:vAlign w:val="center"/>
            <w:hideMark/>
          </w:tcPr>
          <w:p w14:paraId="2A46D5E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0.83/1.35</w:t>
            </w:r>
          </w:p>
        </w:tc>
      </w:tr>
      <w:tr w:rsidR="00E700DC" w:rsidRPr="00E700DC" w14:paraId="2D679413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6C191CD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1A7550E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21AEA40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1+2–/9–10+</w:t>
            </w:r>
          </w:p>
        </w:tc>
        <w:tc>
          <w:tcPr>
            <w:tcW w:w="1530" w:type="dxa"/>
            <w:vAlign w:val="center"/>
            <w:hideMark/>
          </w:tcPr>
          <w:p w14:paraId="43D7C47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2.5/2.5</w:t>
            </w:r>
          </w:p>
        </w:tc>
        <w:tc>
          <w:tcPr>
            <w:tcW w:w="1625" w:type="dxa"/>
            <w:vAlign w:val="center"/>
            <w:hideMark/>
          </w:tcPr>
          <w:p w14:paraId="4799B35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60/70</w:t>
            </w:r>
          </w:p>
        </w:tc>
        <w:tc>
          <w:tcPr>
            <w:tcW w:w="1606" w:type="dxa"/>
            <w:vAlign w:val="center"/>
            <w:hideMark/>
          </w:tcPr>
          <w:p w14:paraId="6E8313A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3597080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1703/2496</w:t>
            </w:r>
          </w:p>
        </w:tc>
        <w:tc>
          <w:tcPr>
            <w:tcW w:w="1560" w:type="dxa"/>
            <w:vAlign w:val="center"/>
            <w:hideMark/>
          </w:tcPr>
          <w:p w14:paraId="7E1CAEB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1.49/1.02</w:t>
            </w:r>
          </w:p>
        </w:tc>
      </w:tr>
      <w:tr w:rsidR="00E700DC" w:rsidRPr="00E700DC" w14:paraId="10606AAC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79A85E76" w14:textId="37627205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5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4B3CD29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776809A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2–3+/10+11–</w:t>
            </w:r>
          </w:p>
        </w:tc>
        <w:tc>
          <w:tcPr>
            <w:tcW w:w="1530" w:type="dxa"/>
            <w:vAlign w:val="center"/>
            <w:hideMark/>
          </w:tcPr>
          <w:p w14:paraId="6D463B5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2.6/4.9</w:t>
            </w:r>
          </w:p>
        </w:tc>
        <w:tc>
          <w:tcPr>
            <w:tcW w:w="1625" w:type="dxa"/>
            <w:vAlign w:val="center"/>
            <w:hideMark/>
          </w:tcPr>
          <w:p w14:paraId="3A5FF23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70/130</w:t>
            </w:r>
          </w:p>
        </w:tc>
        <w:tc>
          <w:tcPr>
            <w:tcW w:w="1606" w:type="dxa"/>
            <w:vAlign w:val="center"/>
            <w:hideMark/>
          </w:tcPr>
          <w:p w14:paraId="0DDB1D7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2A05312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243B420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648445A8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5DE90C7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508F419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22D3FEF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2–3+/10+11–</w:t>
            </w:r>
          </w:p>
        </w:tc>
        <w:tc>
          <w:tcPr>
            <w:tcW w:w="1530" w:type="dxa"/>
            <w:vAlign w:val="center"/>
            <w:hideMark/>
          </w:tcPr>
          <w:p w14:paraId="39E9440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2.6/5.1</w:t>
            </w:r>
          </w:p>
        </w:tc>
        <w:tc>
          <w:tcPr>
            <w:tcW w:w="1625" w:type="dxa"/>
            <w:vAlign w:val="center"/>
            <w:hideMark/>
          </w:tcPr>
          <w:p w14:paraId="44E311B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70/140</w:t>
            </w:r>
          </w:p>
        </w:tc>
        <w:tc>
          <w:tcPr>
            <w:tcW w:w="1606" w:type="dxa"/>
            <w:vAlign w:val="center"/>
            <w:hideMark/>
          </w:tcPr>
          <w:p w14:paraId="562B5F2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58EEA54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56465DA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346FD7E9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41712462" w14:textId="3F08F300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2C8DA21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509001B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2–c+/9–c+</w:t>
            </w:r>
          </w:p>
        </w:tc>
        <w:tc>
          <w:tcPr>
            <w:tcW w:w="1530" w:type="dxa"/>
            <w:vAlign w:val="center"/>
            <w:hideMark/>
          </w:tcPr>
          <w:p w14:paraId="3F9E3CD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1.7/1.2</w:t>
            </w:r>
          </w:p>
        </w:tc>
        <w:tc>
          <w:tcPr>
            <w:tcW w:w="1625" w:type="dxa"/>
            <w:vAlign w:val="center"/>
            <w:hideMark/>
          </w:tcPr>
          <w:p w14:paraId="3490036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13DE77D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58A7E6D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3C4EC1D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454C14E4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41BAC7F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3595D25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4FB2AF9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2–c+/9–c+</w:t>
            </w:r>
          </w:p>
        </w:tc>
        <w:tc>
          <w:tcPr>
            <w:tcW w:w="1530" w:type="dxa"/>
            <w:vAlign w:val="center"/>
            <w:hideMark/>
          </w:tcPr>
          <w:p w14:paraId="1506195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1.9/1.3</w:t>
            </w:r>
          </w:p>
        </w:tc>
        <w:tc>
          <w:tcPr>
            <w:tcW w:w="1625" w:type="dxa"/>
            <w:vAlign w:val="center"/>
            <w:hideMark/>
          </w:tcPr>
          <w:p w14:paraId="26077D1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0855DA2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609FEAD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1040/1216</w:t>
            </w:r>
          </w:p>
        </w:tc>
        <w:tc>
          <w:tcPr>
            <w:tcW w:w="1560" w:type="dxa"/>
            <w:vAlign w:val="center"/>
            <w:hideMark/>
          </w:tcPr>
          <w:p w14:paraId="7201ACB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1.8/1.1</w:t>
            </w:r>
          </w:p>
        </w:tc>
      </w:tr>
      <w:tr w:rsidR="00E700DC" w:rsidRPr="00E700DC" w14:paraId="09F47193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12CA4706" w14:textId="555F17FF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75135CA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02D5C08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1–c+/9–c+</w:t>
            </w:r>
          </w:p>
        </w:tc>
        <w:tc>
          <w:tcPr>
            <w:tcW w:w="1530" w:type="dxa"/>
            <w:vAlign w:val="center"/>
            <w:hideMark/>
          </w:tcPr>
          <w:p w14:paraId="5D485A8D" w14:textId="76607B44" w:rsidR="00E700DC" w:rsidRPr="00925A27" w:rsidRDefault="00925A27" w:rsidP="00E700DC">
            <w:pPr>
              <w:spacing w:after="0"/>
              <w:jc w:val="center"/>
              <w:rPr>
                <w:color w:val="000000"/>
                <w:kern w:val="0"/>
                <w14:ligatures w14:val="none"/>
              </w:rPr>
            </w:pPr>
            <w:r>
              <w:rPr>
                <w:rFonts w:hint="eastAsia"/>
                <w:color w:val="000000"/>
                <w:kern w:val="0"/>
                <w14:ligatures w14:val="none"/>
              </w:rPr>
              <w:t>2/2</w:t>
            </w:r>
          </w:p>
        </w:tc>
        <w:tc>
          <w:tcPr>
            <w:tcW w:w="1625" w:type="dxa"/>
            <w:vAlign w:val="center"/>
            <w:hideMark/>
          </w:tcPr>
          <w:p w14:paraId="3BC6CD0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54B5904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546C560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856/1268</w:t>
            </w:r>
          </w:p>
        </w:tc>
        <w:tc>
          <w:tcPr>
            <w:tcW w:w="1560" w:type="dxa"/>
            <w:vAlign w:val="center"/>
            <w:hideMark/>
          </w:tcPr>
          <w:p w14:paraId="5B2DDFE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2.35/1.6</w:t>
            </w:r>
          </w:p>
        </w:tc>
      </w:tr>
      <w:tr w:rsidR="00E700DC" w:rsidRPr="00E700DC" w14:paraId="5D8DB7AE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01B5CC2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3665AD0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75AC2D4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1–c+/9–c+</w:t>
            </w:r>
          </w:p>
        </w:tc>
        <w:tc>
          <w:tcPr>
            <w:tcW w:w="1530" w:type="dxa"/>
            <w:vAlign w:val="center"/>
            <w:hideMark/>
          </w:tcPr>
          <w:p w14:paraId="6952DD8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2.3/2.3</w:t>
            </w:r>
          </w:p>
        </w:tc>
        <w:tc>
          <w:tcPr>
            <w:tcW w:w="1625" w:type="dxa"/>
            <w:vAlign w:val="center"/>
            <w:hideMark/>
          </w:tcPr>
          <w:p w14:paraId="2B0A70B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4A931E6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0902544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3967C8C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35647907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20CC7C0F" w14:textId="72B8DFDF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5FC009D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654748E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7AC411F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1.85/1.85</w:t>
            </w:r>
          </w:p>
        </w:tc>
        <w:tc>
          <w:tcPr>
            <w:tcW w:w="1625" w:type="dxa"/>
            <w:vAlign w:val="center"/>
            <w:hideMark/>
          </w:tcPr>
          <w:p w14:paraId="4EF31BD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5F7F9D3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3DBEEA7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1260/1342</w:t>
            </w:r>
          </w:p>
        </w:tc>
        <w:tc>
          <w:tcPr>
            <w:tcW w:w="1560" w:type="dxa"/>
            <w:vAlign w:val="center"/>
            <w:hideMark/>
          </w:tcPr>
          <w:p w14:paraId="6036E7B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1.28/1.21</w:t>
            </w:r>
          </w:p>
        </w:tc>
      </w:tr>
      <w:tr w:rsidR="00E700DC" w:rsidRPr="00E700DC" w14:paraId="28047CAF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6A83CCB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5D50A99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7A88143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517DACC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1.85/1.85</w:t>
            </w:r>
          </w:p>
        </w:tc>
        <w:tc>
          <w:tcPr>
            <w:tcW w:w="1625" w:type="dxa"/>
            <w:vAlign w:val="center"/>
            <w:hideMark/>
          </w:tcPr>
          <w:p w14:paraId="5D59F36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5EDACD1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0AF9F68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3274058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06A39ED6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4F301659" w14:textId="56BCEF33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>9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02D626D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6C9C6C5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47F4C02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3/0.6</w:t>
            </w:r>
          </w:p>
        </w:tc>
        <w:tc>
          <w:tcPr>
            <w:tcW w:w="1625" w:type="dxa"/>
            <w:vAlign w:val="center"/>
            <w:hideMark/>
          </w:tcPr>
          <w:p w14:paraId="137BE59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1323BAC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5CC0635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1243/2315</w:t>
            </w:r>
          </w:p>
        </w:tc>
        <w:tc>
          <w:tcPr>
            <w:tcW w:w="1560" w:type="dxa"/>
            <w:vAlign w:val="center"/>
            <w:hideMark/>
          </w:tcPr>
          <w:p w14:paraId="5BAFE9A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2.28/0.28</w:t>
            </w:r>
          </w:p>
        </w:tc>
      </w:tr>
      <w:tr w:rsidR="00E700DC" w:rsidRPr="00E700DC" w14:paraId="19CC17BC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4E11323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04BF28F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34944BA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3827F68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3.4/0.4</w:t>
            </w:r>
          </w:p>
        </w:tc>
        <w:tc>
          <w:tcPr>
            <w:tcW w:w="1625" w:type="dxa"/>
            <w:vAlign w:val="center"/>
            <w:hideMark/>
          </w:tcPr>
          <w:p w14:paraId="702A5CB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2434662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093F8F2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1342/2200</w:t>
            </w:r>
          </w:p>
        </w:tc>
        <w:tc>
          <w:tcPr>
            <w:tcW w:w="1560" w:type="dxa"/>
            <w:vAlign w:val="center"/>
            <w:hideMark/>
          </w:tcPr>
          <w:p w14:paraId="6663B2B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2.6/0.2</w:t>
            </w:r>
          </w:p>
        </w:tc>
      </w:tr>
      <w:tr w:rsidR="00E700DC" w:rsidRPr="00E700DC" w14:paraId="4C50C89E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45B7476F" w14:textId="397159D6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233C59B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5D4BC7D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1–c+/9–c+</w:t>
            </w:r>
          </w:p>
        </w:tc>
        <w:tc>
          <w:tcPr>
            <w:tcW w:w="1530" w:type="dxa"/>
            <w:vAlign w:val="center"/>
            <w:hideMark/>
          </w:tcPr>
          <w:p w14:paraId="3F3F03B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3.5/1.95</w:t>
            </w:r>
          </w:p>
        </w:tc>
        <w:tc>
          <w:tcPr>
            <w:tcW w:w="1625" w:type="dxa"/>
            <w:vAlign w:val="center"/>
            <w:hideMark/>
          </w:tcPr>
          <w:p w14:paraId="6F7F21B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90/60</w:t>
            </w:r>
          </w:p>
        </w:tc>
        <w:tc>
          <w:tcPr>
            <w:tcW w:w="1606" w:type="dxa"/>
            <w:vAlign w:val="center"/>
            <w:hideMark/>
          </w:tcPr>
          <w:p w14:paraId="7B3CF17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130/–</w:t>
            </w:r>
          </w:p>
        </w:tc>
        <w:tc>
          <w:tcPr>
            <w:tcW w:w="1719" w:type="dxa"/>
            <w:vAlign w:val="center"/>
            <w:hideMark/>
          </w:tcPr>
          <w:p w14:paraId="6C097FC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4377219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0BE7181D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522D2DA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2A3DAB8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1AEAFD1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1–c+/9–c+</w:t>
            </w:r>
          </w:p>
        </w:tc>
        <w:tc>
          <w:tcPr>
            <w:tcW w:w="1530" w:type="dxa"/>
            <w:vAlign w:val="center"/>
            <w:hideMark/>
          </w:tcPr>
          <w:p w14:paraId="43FB3B8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3.7/1.9</w:t>
            </w:r>
          </w:p>
        </w:tc>
        <w:tc>
          <w:tcPr>
            <w:tcW w:w="1625" w:type="dxa"/>
            <w:vAlign w:val="center"/>
            <w:hideMark/>
          </w:tcPr>
          <w:p w14:paraId="1827BFC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90/60</w:t>
            </w:r>
          </w:p>
        </w:tc>
        <w:tc>
          <w:tcPr>
            <w:tcW w:w="1606" w:type="dxa"/>
            <w:vAlign w:val="center"/>
            <w:hideMark/>
          </w:tcPr>
          <w:p w14:paraId="47F3FF7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769B71F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446FB10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5F5795B7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3B94B759" w14:textId="4C9028E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534AAE9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7319C2B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2–c+/9+10–</w:t>
            </w:r>
          </w:p>
        </w:tc>
        <w:tc>
          <w:tcPr>
            <w:tcW w:w="1530" w:type="dxa"/>
            <w:vAlign w:val="center"/>
            <w:hideMark/>
          </w:tcPr>
          <w:p w14:paraId="3E4F756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3.8/4.4</w:t>
            </w:r>
          </w:p>
        </w:tc>
        <w:tc>
          <w:tcPr>
            <w:tcW w:w="1625" w:type="dxa"/>
            <w:vAlign w:val="center"/>
            <w:hideMark/>
          </w:tcPr>
          <w:p w14:paraId="09575CD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60/80</w:t>
            </w:r>
          </w:p>
        </w:tc>
        <w:tc>
          <w:tcPr>
            <w:tcW w:w="1606" w:type="dxa"/>
            <w:vAlign w:val="center"/>
            <w:hideMark/>
          </w:tcPr>
          <w:p w14:paraId="7792547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43BF2C5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1531/1518</w:t>
            </w:r>
          </w:p>
        </w:tc>
        <w:tc>
          <w:tcPr>
            <w:tcW w:w="1560" w:type="dxa"/>
            <w:vAlign w:val="center"/>
            <w:hideMark/>
          </w:tcPr>
          <w:p w14:paraId="181456E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2.5/2.7</w:t>
            </w:r>
          </w:p>
        </w:tc>
      </w:tr>
      <w:tr w:rsidR="00E700DC" w:rsidRPr="00E700DC" w14:paraId="14158130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3E17829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26F9D76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59C8C67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2–c+/9+10–</w:t>
            </w:r>
          </w:p>
        </w:tc>
        <w:tc>
          <w:tcPr>
            <w:tcW w:w="1530" w:type="dxa"/>
            <w:vAlign w:val="center"/>
            <w:hideMark/>
          </w:tcPr>
          <w:p w14:paraId="06725A0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3.8/4.4</w:t>
            </w:r>
          </w:p>
        </w:tc>
        <w:tc>
          <w:tcPr>
            <w:tcW w:w="1625" w:type="dxa"/>
            <w:vAlign w:val="center"/>
            <w:hideMark/>
          </w:tcPr>
          <w:p w14:paraId="6BF3E0F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60/80</w:t>
            </w:r>
          </w:p>
        </w:tc>
        <w:tc>
          <w:tcPr>
            <w:tcW w:w="1606" w:type="dxa"/>
            <w:vAlign w:val="center"/>
            <w:hideMark/>
          </w:tcPr>
          <w:p w14:paraId="0609F5D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4729F7A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1564/1500</w:t>
            </w:r>
          </w:p>
        </w:tc>
        <w:tc>
          <w:tcPr>
            <w:tcW w:w="1560" w:type="dxa"/>
            <w:vAlign w:val="center"/>
            <w:hideMark/>
          </w:tcPr>
          <w:p w14:paraId="300D94E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2.5/2.9</w:t>
            </w:r>
          </w:p>
        </w:tc>
      </w:tr>
      <w:tr w:rsidR="00E700DC" w:rsidRPr="00E700DC" w14:paraId="6BAE4485" w14:textId="77777777" w:rsidTr="00E700DC">
        <w:trPr>
          <w:trHeight w:val="900"/>
        </w:trPr>
        <w:tc>
          <w:tcPr>
            <w:tcW w:w="1376" w:type="dxa"/>
            <w:vMerge w:val="restart"/>
            <w:vAlign w:val="center"/>
            <w:hideMark/>
          </w:tcPr>
          <w:p w14:paraId="1809D52C" w14:textId="29315903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</w:t>
            </w:r>
            <w:r w:rsidRPr="00E700DC">
              <w:rPr>
                <w:rFonts w:eastAsia="Times New Roman"/>
                <w:color w:val="000000"/>
                <w:kern w:val="0"/>
                <w:vertAlign w:val="superscript"/>
                <w14:ligatures w14:val="none"/>
              </w:rPr>
              <w:t>#</w:t>
            </w:r>
          </w:p>
        </w:tc>
        <w:tc>
          <w:tcPr>
            <w:tcW w:w="1234" w:type="dxa"/>
            <w:vAlign w:val="center"/>
            <w:hideMark/>
          </w:tcPr>
          <w:p w14:paraId="4C43BE7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5DEDDD8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contacts 2–4 (34/33/33%)/contacts 2–4 (20–13%)</w:t>
            </w:r>
          </w:p>
        </w:tc>
        <w:tc>
          <w:tcPr>
            <w:tcW w:w="1530" w:type="dxa"/>
            <w:vAlign w:val="center"/>
            <w:hideMark/>
          </w:tcPr>
          <w:p w14:paraId="0957594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0.9/–</w:t>
            </w:r>
          </w:p>
        </w:tc>
        <w:tc>
          <w:tcPr>
            <w:tcW w:w="1625" w:type="dxa"/>
            <w:vAlign w:val="center"/>
            <w:hideMark/>
          </w:tcPr>
          <w:p w14:paraId="7708FA9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60/90</w:t>
            </w:r>
          </w:p>
        </w:tc>
        <w:tc>
          <w:tcPr>
            <w:tcW w:w="1606" w:type="dxa"/>
            <w:vAlign w:val="center"/>
            <w:hideMark/>
          </w:tcPr>
          <w:p w14:paraId="2E817D9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38BBFFD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1F53C4B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–/1.3</w:t>
            </w:r>
          </w:p>
        </w:tc>
      </w:tr>
      <w:tr w:rsidR="00E700DC" w:rsidRPr="00E700DC" w14:paraId="097F4160" w14:textId="77777777" w:rsidTr="00E700DC">
        <w:trPr>
          <w:trHeight w:val="900"/>
        </w:trPr>
        <w:tc>
          <w:tcPr>
            <w:tcW w:w="1376" w:type="dxa"/>
            <w:vMerge/>
            <w:vAlign w:val="center"/>
            <w:hideMark/>
          </w:tcPr>
          <w:p w14:paraId="17878A5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45D223C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29B2BD9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contacts 10–15 (34/33/33%)/contacts 10–15 (20–13%)</w:t>
            </w:r>
          </w:p>
        </w:tc>
        <w:tc>
          <w:tcPr>
            <w:tcW w:w="1530" w:type="dxa"/>
            <w:vAlign w:val="center"/>
            <w:hideMark/>
          </w:tcPr>
          <w:p w14:paraId="49211EB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1.2/–</w:t>
            </w:r>
          </w:p>
        </w:tc>
        <w:tc>
          <w:tcPr>
            <w:tcW w:w="1625" w:type="dxa"/>
            <w:vAlign w:val="center"/>
            <w:hideMark/>
          </w:tcPr>
          <w:p w14:paraId="16A3C41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60/90</w:t>
            </w:r>
          </w:p>
        </w:tc>
        <w:tc>
          <w:tcPr>
            <w:tcW w:w="1606" w:type="dxa"/>
            <w:vAlign w:val="center"/>
            <w:hideMark/>
          </w:tcPr>
          <w:p w14:paraId="23A6AB5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4C08855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7DF05F2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–/1.6</w:t>
            </w:r>
          </w:p>
        </w:tc>
      </w:tr>
      <w:tr w:rsidR="00E700DC" w:rsidRPr="00E700DC" w14:paraId="66219146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71FBAA0F" w14:textId="517E0EAB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5EB7E56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4FE8863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1–2–c+/9–10–c+</w:t>
            </w:r>
          </w:p>
        </w:tc>
        <w:tc>
          <w:tcPr>
            <w:tcW w:w="1530" w:type="dxa"/>
            <w:vAlign w:val="center"/>
            <w:hideMark/>
          </w:tcPr>
          <w:p w14:paraId="2672F2F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3.3/3.3</w:t>
            </w:r>
          </w:p>
        </w:tc>
        <w:tc>
          <w:tcPr>
            <w:tcW w:w="1625" w:type="dxa"/>
            <w:vAlign w:val="center"/>
            <w:hideMark/>
          </w:tcPr>
          <w:p w14:paraId="22DF733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71534F5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130/130</w:t>
            </w:r>
          </w:p>
        </w:tc>
        <w:tc>
          <w:tcPr>
            <w:tcW w:w="1719" w:type="dxa"/>
            <w:vAlign w:val="center"/>
            <w:hideMark/>
          </w:tcPr>
          <w:p w14:paraId="2417479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2076/2072</w:t>
            </w:r>
          </w:p>
        </w:tc>
        <w:tc>
          <w:tcPr>
            <w:tcW w:w="1560" w:type="dxa"/>
            <w:vAlign w:val="center"/>
            <w:hideMark/>
          </w:tcPr>
          <w:p w14:paraId="2C236D3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1.6/1.6</w:t>
            </w:r>
          </w:p>
        </w:tc>
      </w:tr>
      <w:tr w:rsidR="00E700DC" w:rsidRPr="00E700DC" w14:paraId="0D9D1712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30CF106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12B547C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4F8FDA5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2–c+/10–c+</w:t>
            </w:r>
          </w:p>
        </w:tc>
        <w:tc>
          <w:tcPr>
            <w:tcW w:w="1530" w:type="dxa"/>
            <w:vAlign w:val="center"/>
            <w:hideMark/>
          </w:tcPr>
          <w:p w14:paraId="5CB7F9C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3.45/3.45</w:t>
            </w:r>
          </w:p>
        </w:tc>
        <w:tc>
          <w:tcPr>
            <w:tcW w:w="1625" w:type="dxa"/>
            <w:vAlign w:val="center"/>
            <w:hideMark/>
          </w:tcPr>
          <w:p w14:paraId="18F6D7C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90/90</w:t>
            </w:r>
          </w:p>
        </w:tc>
        <w:tc>
          <w:tcPr>
            <w:tcW w:w="1606" w:type="dxa"/>
            <w:vAlign w:val="center"/>
            <w:hideMark/>
          </w:tcPr>
          <w:p w14:paraId="50C1EBB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110/110</w:t>
            </w:r>
          </w:p>
        </w:tc>
        <w:tc>
          <w:tcPr>
            <w:tcW w:w="1719" w:type="dxa"/>
            <w:vAlign w:val="center"/>
            <w:hideMark/>
          </w:tcPr>
          <w:p w14:paraId="3A7D1C0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1776/2003</w:t>
            </w:r>
          </w:p>
        </w:tc>
        <w:tc>
          <w:tcPr>
            <w:tcW w:w="1560" w:type="dxa"/>
            <w:vAlign w:val="center"/>
            <w:hideMark/>
          </w:tcPr>
          <w:p w14:paraId="6CA83F9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2/1.8</w:t>
            </w:r>
          </w:p>
        </w:tc>
      </w:tr>
      <w:tr w:rsidR="00E700DC" w:rsidRPr="00E700DC" w14:paraId="3F0F0AD5" w14:textId="77777777" w:rsidTr="00E700DC">
        <w:trPr>
          <w:trHeight w:val="300"/>
        </w:trPr>
        <w:tc>
          <w:tcPr>
            <w:tcW w:w="1376" w:type="dxa"/>
            <w:vMerge w:val="restart"/>
            <w:vAlign w:val="center"/>
            <w:hideMark/>
          </w:tcPr>
          <w:p w14:paraId="5E8AC775" w14:textId="6C058D69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14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34" w:type="dxa"/>
            <w:vAlign w:val="center"/>
            <w:hideMark/>
          </w:tcPr>
          <w:p w14:paraId="0D12BD0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2430" w:type="dxa"/>
            <w:vAlign w:val="center"/>
            <w:hideMark/>
          </w:tcPr>
          <w:p w14:paraId="22E99F9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3–c+/9–c+</w:t>
            </w:r>
          </w:p>
        </w:tc>
        <w:tc>
          <w:tcPr>
            <w:tcW w:w="1530" w:type="dxa"/>
            <w:vAlign w:val="center"/>
            <w:hideMark/>
          </w:tcPr>
          <w:p w14:paraId="779D121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1.9/1.8</w:t>
            </w:r>
          </w:p>
        </w:tc>
        <w:tc>
          <w:tcPr>
            <w:tcW w:w="1625" w:type="dxa"/>
            <w:vAlign w:val="center"/>
            <w:hideMark/>
          </w:tcPr>
          <w:p w14:paraId="5FCCD8B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50A20FB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125/125</w:t>
            </w:r>
          </w:p>
        </w:tc>
        <w:tc>
          <w:tcPr>
            <w:tcW w:w="1719" w:type="dxa"/>
            <w:vAlign w:val="center"/>
            <w:hideMark/>
          </w:tcPr>
          <w:p w14:paraId="74428EC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386CC00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3AD49793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3F1F5BC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310FD4C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pre-R2</w:t>
            </w:r>
          </w:p>
        </w:tc>
        <w:tc>
          <w:tcPr>
            <w:tcW w:w="2430" w:type="dxa"/>
            <w:vAlign w:val="center"/>
            <w:hideMark/>
          </w:tcPr>
          <w:p w14:paraId="4763A69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–/10–c+</w:t>
            </w:r>
          </w:p>
        </w:tc>
        <w:tc>
          <w:tcPr>
            <w:tcW w:w="1530" w:type="dxa"/>
            <w:vAlign w:val="center"/>
            <w:hideMark/>
          </w:tcPr>
          <w:p w14:paraId="54FA10A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–/2.2</w:t>
            </w:r>
          </w:p>
        </w:tc>
        <w:tc>
          <w:tcPr>
            <w:tcW w:w="1625" w:type="dxa"/>
            <w:vAlign w:val="center"/>
            <w:hideMark/>
          </w:tcPr>
          <w:p w14:paraId="185E63F7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–/90</w:t>
            </w:r>
          </w:p>
        </w:tc>
        <w:tc>
          <w:tcPr>
            <w:tcW w:w="1606" w:type="dxa"/>
            <w:vAlign w:val="center"/>
            <w:hideMark/>
          </w:tcPr>
          <w:p w14:paraId="782DA72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–/125</w:t>
            </w:r>
          </w:p>
        </w:tc>
        <w:tc>
          <w:tcPr>
            <w:tcW w:w="1719" w:type="dxa"/>
            <w:vAlign w:val="center"/>
            <w:hideMark/>
          </w:tcPr>
          <w:p w14:paraId="0A72C51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  <w:tc>
          <w:tcPr>
            <w:tcW w:w="1560" w:type="dxa"/>
            <w:vAlign w:val="center"/>
            <w:hideMark/>
          </w:tcPr>
          <w:p w14:paraId="6FFF93C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–/–</w:t>
            </w:r>
          </w:p>
        </w:tc>
      </w:tr>
      <w:tr w:rsidR="00E700DC" w:rsidRPr="00E700DC" w14:paraId="2E6BA633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08C7C66F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7314569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</w:t>
            </w:r>
          </w:p>
        </w:tc>
        <w:tc>
          <w:tcPr>
            <w:tcW w:w="2430" w:type="dxa"/>
            <w:vAlign w:val="center"/>
            <w:hideMark/>
          </w:tcPr>
          <w:p w14:paraId="6E4B60A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3–c+/9–c+</w:t>
            </w:r>
          </w:p>
        </w:tc>
        <w:tc>
          <w:tcPr>
            <w:tcW w:w="1530" w:type="dxa"/>
            <w:vAlign w:val="center"/>
            <w:hideMark/>
          </w:tcPr>
          <w:p w14:paraId="5CC8F47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1.9/1.8</w:t>
            </w:r>
          </w:p>
        </w:tc>
        <w:tc>
          <w:tcPr>
            <w:tcW w:w="1625" w:type="dxa"/>
            <w:vAlign w:val="center"/>
            <w:hideMark/>
          </w:tcPr>
          <w:p w14:paraId="2457397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60/60</w:t>
            </w:r>
          </w:p>
        </w:tc>
        <w:tc>
          <w:tcPr>
            <w:tcW w:w="1606" w:type="dxa"/>
            <w:vAlign w:val="center"/>
            <w:hideMark/>
          </w:tcPr>
          <w:p w14:paraId="4143977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125/125</w:t>
            </w:r>
          </w:p>
        </w:tc>
        <w:tc>
          <w:tcPr>
            <w:tcW w:w="1719" w:type="dxa"/>
            <w:vAlign w:val="center"/>
            <w:hideMark/>
          </w:tcPr>
          <w:p w14:paraId="59159966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1303/1215</w:t>
            </w:r>
          </w:p>
        </w:tc>
        <w:tc>
          <w:tcPr>
            <w:tcW w:w="1560" w:type="dxa"/>
            <w:vAlign w:val="center"/>
            <w:hideMark/>
          </w:tcPr>
          <w:p w14:paraId="2CAAC59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1.5/1.5</w:t>
            </w:r>
          </w:p>
        </w:tc>
      </w:tr>
      <w:tr w:rsidR="00E700DC" w:rsidRPr="00E700DC" w14:paraId="2F8C35B9" w14:textId="77777777" w:rsidTr="00E700DC">
        <w:trPr>
          <w:trHeight w:val="300"/>
        </w:trPr>
        <w:tc>
          <w:tcPr>
            <w:tcW w:w="1376" w:type="dxa"/>
            <w:vMerge/>
            <w:vAlign w:val="center"/>
            <w:hideMark/>
          </w:tcPr>
          <w:p w14:paraId="72D3B2A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34" w:type="dxa"/>
            <w:vAlign w:val="center"/>
            <w:hideMark/>
          </w:tcPr>
          <w:p w14:paraId="3E7A102E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post-R2</w:t>
            </w:r>
          </w:p>
        </w:tc>
        <w:tc>
          <w:tcPr>
            <w:tcW w:w="2430" w:type="dxa"/>
            <w:vAlign w:val="center"/>
            <w:hideMark/>
          </w:tcPr>
          <w:p w14:paraId="6BCB884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–/10–c+</w:t>
            </w:r>
          </w:p>
        </w:tc>
        <w:tc>
          <w:tcPr>
            <w:tcW w:w="1530" w:type="dxa"/>
            <w:vAlign w:val="center"/>
            <w:hideMark/>
          </w:tcPr>
          <w:p w14:paraId="7A3713C1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–/2.2</w:t>
            </w:r>
          </w:p>
        </w:tc>
        <w:tc>
          <w:tcPr>
            <w:tcW w:w="1625" w:type="dxa"/>
            <w:vAlign w:val="center"/>
            <w:hideMark/>
          </w:tcPr>
          <w:p w14:paraId="2DFDD3E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–/90</w:t>
            </w:r>
          </w:p>
        </w:tc>
        <w:tc>
          <w:tcPr>
            <w:tcW w:w="1606" w:type="dxa"/>
            <w:vAlign w:val="center"/>
            <w:hideMark/>
          </w:tcPr>
          <w:p w14:paraId="7DB79B22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–/125</w:t>
            </w:r>
          </w:p>
        </w:tc>
        <w:tc>
          <w:tcPr>
            <w:tcW w:w="1719" w:type="dxa"/>
            <w:vAlign w:val="center"/>
            <w:hideMark/>
          </w:tcPr>
          <w:p w14:paraId="07C7737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–/1304</w:t>
            </w:r>
          </w:p>
        </w:tc>
        <w:tc>
          <w:tcPr>
            <w:tcW w:w="1560" w:type="dxa"/>
            <w:vAlign w:val="center"/>
            <w:hideMark/>
          </w:tcPr>
          <w:p w14:paraId="09A58FD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–/1.7</w:t>
            </w:r>
          </w:p>
        </w:tc>
      </w:tr>
      <w:tr w:rsidR="00E700DC" w:rsidRPr="00E700DC" w14:paraId="1387F705" w14:textId="77777777" w:rsidTr="00E700DC">
        <w:trPr>
          <w:trHeight w:val="300"/>
        </w:trPr>
        <w:tc>
          <w:tcPr>
            <w:tcW w:w="1376" w:type="dxa"/>
            <w:vAlign w:val="center"/>
            <w:hideMark/>
          </w:tcPr>
          <w:p w14:paraId="30F5D565" w14:textId="79486AAF" w:rsidR="00E700DC" w:rsidRPr="00AD7290" w:rsidRDefault="00AD7290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D7290">
              <w:rPr>
                <w:rFonts w:eastAsia="Times New Roman"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1234" w:type="dxa"/>
            <w:vAlign w:val="center"/>
            <w:hideMark/>
          </w:tcPr>
          <w:p w14:paraId="62085FB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vAlign w:val="center"/>
            <w:hideMark/>
          </w:tcPr>
          <w:p w14:paraId="764C585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</w:t>
            </w:r>
          </w:p>
        </w:tc>
        <w:tc>
          <w:tcPr>
            <w:tcW w:w="1530" w:type="dxa"/>
            <w:vAlign w:val="center"/>
            <w:hideMark/>
          </w:tcPr>
          <w:p w14:paraId="69E5637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2.69/2.62</w:t>
            </w:r>
          </w:p>
        </w:tc>
        <w:tc>
          <w:tcPr>
            <w:tcW w:w="1625" w:type="dxa"/>
            <w:vAlign w:val="center"/>
            <w:hideMark/>
          </w:tcPr>
          <w:p w14:paraId="2026654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67.50/75.33</w:t>
            </w:r>
          </w:p>
        </w:tc>
        <w:tc>
          <w:tcPr>
            <w:tcW w:w="1606" w:type="dxa"/>
            <w:vAlign w:val="center"/>
            <w:hideMark/>
          </w:tcPr>
          <w:p w14:paraId="7C08882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125.36/125.17</w:t>
            </w:r>
          </w:p>
        </w:tc>
        <w:tc>
          <w:tcPr>
            <w:tcW w:w="1719" w:type="dxa"/>
            <w:vAlign w:val="center"/>
            <w:hideMark/>
          </w:tcPr>
          <w:p w14:paraId="6E5CD3FA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1518.07/1657.50</w:t>
            </w:r>
          </w:p>
        </w:tc>
        <w:tc>
          <w:tcPr>
            <w:tcW w:w="1560" w:type="dxa"/>
            <w:vAlign w:val="center"/>
            <w:hideMark/>
          </w:tcPr>
          <w:p w14:paraId="7A3D0F7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1.90/1.58</w:t>
            </w:r>
          </w:p>
        </w:tc>
      </w:tr>
      <w:tr w:rsidR="00E700DC" w:rsidRPr="00E700DC" w14:paraId="7079CF48" w14:textId="77777777" w:rsidTr="00E700DC">
        <w:trPr>
          <w:trHeight w:val="300"/>
        </w:trPr>
        <w:tc>
          <w:tcPr>
            <w:tcW w:w="1376" w:type="dxa"/>
            <w:vAlign w:val="center"/>
            <w:hideMark/>
          </w:tcPr>
          <w:p w14:paraId="621C2EBD" w14:textId="77777777" w:rsidR="00E700DC" w:rsidRPr="00AD7290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D7290">
              <w:rPr>
                <w:rFonts w:eastAsia="Times New Roman"/>
                <w:color w:val="000000"/>
                <w:kern w:val="0"/>
                <w14:ligatures w14:val="none"/>
              </w:rPr>
              <w:t>STD</w:t>
            </w:r>
          </w:p>
        </w:tc>
        <w:tc>
          <w:tcPr>
            <w:tcW w:w="1234" w:type="dxa"/>
            <w:vAlign w:val="center"/>
            <w:hideMark/>
          </w:tcPr>
          <w:p w14:paraId="6E3A042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vAlign w:val="center"/>
            <w:hideMark/>
          </w:tcPr>
          <w:p w14:paraId="42BDC01B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</w:t>
            </w:r>
          </w:p>
        </w:tc>
        <w:tc>
          <w:tcPr>
            <w:tcW w:w="1530" w:type="dxa"/>
            <w:vAlign w:val="center"/>
            <w:hideMark/>
          </w:tcPr>
          <w:p w14:paraId="047F9C5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0.84/1.22</w:t>
            </w:r>
          </w:p>
        </w:tc>
        <w:tc>
          <w:tcPr>
            <w:tcW w:w="1625" w:type="dxa"/>
            <w:vAlign w:val="center"/>
            <w:hideMark/>
          </w:tcPr>
          <w:p w14:paraId="2E9E330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12.06/20.63</w:t>
            </w:r>
          </w:p>
        </w:tc>
        <w:tc>
          <w:tcPr>
            <w:tcW w:w="1606" w:type="dxa"/>
            <w:vAlign w:val="center"/>
            <w:hideMark/>
          </w:tcPr>
          <w:p w14:paraId="0617DFC5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8.27/8.07</w:t>
            </w:r>
          </w:p>
        </w:tc>
        <w:tc>
          <w:tcPr>
            <w:tcW w:w="1719" w:type="dxa"/>
            <w:vAlign w:val="center"/>
            <w:hideMark/>
          </w:tcPr>
          <w:p w14:paraId="5CF04EB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381.21/462.85</w:t>
            </w:r>
          </w:p>
        </w:tc>
        <w:tc>
          <w:tcPr>
            <w:tcW w:w="1560" w:type="dxa"/>
            <w:vAlign w:val="center"/>
            <w:hideMark/>
          </w:tcPr>
          <w:p w14:paraId="0A080378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0.56/0.73</w:t>
            </w:r>
          </w:p>
        </w:tc>
      </w:tr>
      <w:tr w:rsidR="00E700DC" w:rsidRPr="00E700DC" w14:paraId="7F1FB279" w14:textId="77777777" w:rsidTr="00E700DC">
        <w:trPr>
          <w:trHeight w:val="600"/>
        </w:trPr>
        <w:tc>
          <w:tcPr>
            <w:tcW w:w="1376" w:type="dxa"/>
            <w:vAlign w:val="center"/>
            <w:hideMark/>
          </w:tcPr>
          <w:p w14:paraId="0C12024F" w14:textId="77777777" w:rsidR="00E700DC" w:rsidRPr="00AD7290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D7290">
              <w:rPr>
                <w:rFonts w:eastAsia="Times New Roman"/>
                <w:color w:val="000000"/>
                <w:kern w:val="0"/>
                <w14:ligatures w14:val="none"/>
              </w:rPr>
              <w:t>Range</w:t>
            </w:r>
          </w:p>
        </w:tc>
        <w:tc>
          <w:tcPr>
            <w:tcW w:w="1234" w:type="dxa"/>
            <w:vAlign w:val="center"/>
            <w:hideMark/>
          </w:tcPr>
          <w:p w14:paraId="29EF3BA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430" w:type="dxa"/>
            <w:vAlign w:val="center"/>
            <w:hideMark/>
          </w:tcPr>
          <w:p w14:paraId="59CF92C3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–</w:t>
            </w:r>
          </w:p>
        </w:tc>
        <w:tc>
          <w:tcPr>
            <w:tcW w:w="1530" w:type="dxa"/>
            <w:vAlign w:val="center"/>
            <w:hideMark/>
          </w:tcPr>
          <w:p w14:paraId="0B3E25AC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0.90–3.80 / 0.40–5.10</w:t>
            </w:r>
          </w:p>
        </w:tc>
        <w:tc>
          <w:tcPr>
            <w:tcW w:w="1625" w:type="dxa"/>
            <w:vAlign w:val="center"/>
            <w:hideMark/>
          </w:tcPr>
          <w:p w14:paraId="6A38015D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60–90 / 60–140</w:t>
            </w:r>
          </w:p>
        </w:tc>
        <w:tc>
          <w:tcPr>
            <w:tcW w:w="1606" w:type="dxa"/>
            <w:vAlign w:val="center"/>
            <w:hideMark/>
          </w:tcPr>
          <w:p w14:paraId="01992A60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110–130 / 110–130</w:t>
            </w:r>
          </w:p>
        </w:tc>
        <w:tc>
          <w:tcPr>
            <w:tcW w:w="1719" w:type="dxa"/>
            <w:vAlign w:val="center"/>
            <w:hideMark/>
          </w:tcPr>
          <w:p w14:paraId="6BFB5354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856–2262 / 1215–2496</w:t>
            </w:r>
          </w:p>
        </w:tc>
        <w:tc>
          <w:tcPr>
            <w:tcW w:w="1560" w:type="dxa"/>
            <w:vAlign w:val="center"/>
            <w:hideMark/>
          </w:tcPr>
          <w:p w14:paraId="23B8AF09" w14:textId="77777777" w:rsidR="00E700DC" w:rsidRPr="00E700DC" w:rsidRDefault="00E700DC" w:rsidP="00E700DC">
            <w:pPr>
              <w:spacing w:after="0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700DC">
              <w:rPr>
                <w:rFonts w:eastAsia="Times New Roman"/>
                <w:color w:val="000000"/>
                <w:kern w:val="0"/>
                <w14:ligatures w14:val="none"/>
              </w:rPr>
              <w:t>0.83–2.71 / 0.20–2.90</w:t>
            </w:r>
          </w:p>
        </w:tc>
      </w:tr>
    </w:tbl>
    <w:p w14:paraId="3E7C642F" w14:textId="61B113FA" w:rsidR="00DC4C3C" w:rsidRDefault="00DC4C3C" w:rsidP="00DC4C3C">
      <w:r>
        <w:lastRenderedPageBreak/>
        <w:t xml:space="preserve">*Bipolar </w:t>
      </w:r>
      <w:r w:rsidR="00AD7290">
        <w:t xml:space="preserve">stimulation; </w:t>
      </w:r>
      <w:r w:rsidRPr="00E169D0">
        <w:rPr>
          <w:vertAlign w:val="superscript"/>
        </w:rPr>
        <w:t>#</w:t>
      </w:r>
      <w:r>
        <w:t>Monopolar stimulation</w:t>
      </w:r>
      <w:r w:rsidR="0047232A">
        <w:t xml:space="preserve">. </w:t>
      </w:r>
      <w:r w:rsidR="00E700DC" w:rsidRPr="00E700DC">
        <w:t xml:space="preserve">All parameters are presented in the order of </w:t>
      </w:r>
      <w:r w:rsidR="00AD7290">
        <w:t>l</w:t>
      </w:r>
      <w:r w:rsidR="00E700DC" w:rsidRPr="00E700DC">
        <w:t>eft/</w:t>
      </w:r>
      <w:r w:rsidR="00AD7290">
        <w:t>r</w:t>
      </w:r>
      <w:r w:rsidR="00E700DC" w:rsidRPr="00E700DC">
        <w:t xml:space="preserve">ight </w:t>
      </w:r>
      <w:r w:rsidR="002F5AAB">
        <w:t xml:space="preserve">subthalamus nucleus </w:t>
      </w:r>
      <w:r w:rsidR="00E700DC" w:rsidRPr="00E700DC">
        <w:t>(L/R</w:t>
      </w:r>
      <w:r w:rsidR="002F5AAB">
        <w:t xml:space="preserve"> STN</w:t>
      </w:r>
      <w:r w:rsidR="00E700DC" w:rsidRPr="00E700DC">
        <w:t>) across columns</w:t>
      </w:r>
      <w:r w:rsidR="00E700DC">
        <w:t>. Participant 14 had two right STN electrodes, where the second right electrode was added in a single row.</w:t>
      </w:r>
    </w:p>
    <w:p w14:paraId="436BEFB0" w14:textId="77777777" w:rsidR="00DC4C3C" w:rsidRDefault="00DC4C3C" w:rsidP="00DC4C3C"/>
    <w:p w14:paraId="474F87D7" w14:textId="58A39BAB" w:rsidR="00E700DC" w:rsidRDefault="00D06DA4" w:rsidP="00DC4C3C">
      <w:r>
        <w:rPr>
          <w:noProof/>
        </w:rPr>
        <w:drawing>
          <wp:inline distT="0" distB="0" distL="0" distR="0" wp14:anchorId="1797C60A" wp14:editId="014C43E8">
            <wp:extent cx="8229600" cy="3426460"/>
            <wp:effectExtent l="0" t="0" r="0" b="2540"/>
            <wp:docPr id="1487357676" name="Picture 1" descr="A group of blue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57676" name="Picture 1" descr="A group of blue and black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8ECEF" w14:textId="5B543926" w:rsidR="00D06DA4" w:rsidRDefault="00D06DA4" w:rsidP="00D06DA4">
      <w:pPr>
        <w:rPr>
          <w:rFonts w:eastAsia="Times New Roman"/>
          <w:color w:val="0D0D0D"/>
        </w:rPr>
      </w:pPr>
      <w:r>
        <w:t>Figure S1. Correlation between beta burst properties and</w:t>
      </w:r>
      <w:r w:rsidRPr="00273D4A">
        <w:rPr>
          <w:rFonts w:eastAsia="Times New Roman"/>
          <w:color w:val="0D0D0D"/>
        </w:rPr>
        <w:t xml:space="preserve"> clinical symptom severity</w:t>
      </w:r>
      <w:r>
        <w:rPr>
          <w:rFonts w:eastAsia="Times New Roman"/>
          <w:color w:val="0D0D0D"/>
        </w:rPr>
        <w:t xml:space="preserve">. The correlation was displayed for A-D) overall </w:t>
      </w:r>
      <w:r w:rsidR="001C748A" w:rsidRPr="00CE2394">
        <w:rPr>
          <w:rFonts w:eastAsia="Times New Roman"/>
          <w:color w:val="0D0D0D"/>
        </w:rPr>
        <w:t>Unified Parkinson’s Disease Rating Scale</w:t>
      </w:r>
      <w:r w:rsidR="001C748A">
        <w:rPr>
          <w:rFonts w:eastAsia="Times New Roman"/>
          <w:color w:val="0D0D0D"/>
        </w:rPr>
        <w:t xml:space="preserve"> </w:t>
      </w:r>
      <w:r w:rsidR="001C748A" w:rsidRPr="00CE2394">
        <w:rPr>
          <w:rFonts w:eastAsia="Times New Roman"/>
          <w:color w:val="0D0D0D"/>
        </w:rPr>
        <w:t>III</w:t>
      </w:r>
      <w:r w:rsidR="001C748A">
        <w:rPr>
          <w:rFonts w:eastAsia="Times New Roman"/>
          <w:color w:val="0D0D0D"/>
        </w:rPr>
        <w:t xml:space="preserve"> (</w:t>
      </w:r>
      <w:r>
        <w:rPr>
          <w:rFonts w:eastAsia="Times New Roman"/>
          <w:color w:val="0D0D0D"/>
        </w:rPr>
        <w:t>UPDRS</w:t>
      </w:r>
      <w:r w:rsidR="001C748A">
        <w:rPr>
          <w:rFonts w:eastAsia="Times New Roman"/>
          <w:color w:val="0D0D0D"/>
        </w:rPr>
        <w:t>)</w:t>
      </w:r>
      <w:r>
        <w:rPr>
          <w:rFonts w:eastAsia="Times New Roman"/>
          <w:color w:val="0D0D0D"/>
        </w:rPr>
        <w:t xml:space="preserve"> and E-H) </w:t>
      </w:r>
      <w:r w:rsidRPr="00DF2748">
        <w:rPr>
          <w:rFonts w:eastAsia="Times New Roman"/>
          <w:color w:val="0D0D0D"/>
        </w:rPr>
        <w:t>bradykinesia</w:t>
      </w:r>
      <w:r>
        <w:rPr>
          <w:rFonts w:eastAsia="Times New Roman"/>
          <w:color w:val="0D0D0D"/>
        </w:rPr>
        <w:t xml:space="preserve"> </w:t>
      </w:r>
      <w:r w:rsidR="001C748A">
        <w:rPr>
          <w:rFonts w:eastAsia="Times New Roman"/>
          <w:color w:val="0D0D0D"/>
        </w:rPr>
        <w:t>sub-score</w:t>
      </w:r>
      <w:r>
        <w:rPr>
          <w:rFonts w:eastAsia="Times New Roman"/>
          <w:color w:val="0D0D0D"/>
        </w:rPr>
        <w:t>.</w:t>
      </w:r>
    </w:p>
    <w:p w14:paraId="3CEC7533" w14:textId="77777777" w:rsidR="00D06DA4" w:rsidRDefault="00D06DA4" w:rsidP="00DC4C3C"/>
    <w:p w14:paraId="12043B96" w14:textId="77777777" w:rsidR="00D06DA4" w:rsidRDefault="00D06DA4" w:rsidP="00DC4C3C"/>
    <w:sectPr w:rsidR="00D06DA4" w:rsidSect="00DC4C3C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9653" w14:textId="77777777" w:rsidR="00512001" w:rsidRDefault="00512001" w:rsidP="000F4DED">
      <w:pPr>
        <w:spacing w:after="0" w:line="240" w:lineRule="auto"/>
      </w:pPr>
      <w:r>
        <w:separator/>
      </w:r>
    </w:p>
  </w:endnote>
  <w:endnote w:type="continuationSeparator" w:id="0">
    <w:p w14:paraId="400EDF2E" w14:textId="77777777" w:rsidR="00512001" w:rsidRDefault="00512001" w:rsidP="000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172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C64B08A" w14:textId="7BEE50B5" w:rsidR="000F4DED" w:rsidRPr="000F4DED" w:rsidRDefault="000F4DED">
        <w:pPr>
          <w:pStyle w:val="af0"/>
          <w:jc w:val="center"/>
          <w:rPr>
            <w:sz w:val="20"/>
            <w:szCs w:val="20"/>
          </w:rPr>
        </w:pPr>
        <w:r w:rsidRPr="000F4DED">
          <w:rPr>
            <w:sz w:val="20"/>
            <w:szCs w:val="20"/>
          </w:rPr>
          <w:fldChar w:fldCharType="begin"/>
        </w:r>
        <w:r w:rsidRPr="000F4DED">
          <w:rPr>
            <w:sz w:val="20"/>
            <w:szCs w:val="20"/>
          </w:rPr>
          <w:instrText xml:space="preserve"> PAGE   \* MERGEFORMAT </w:instrText>
        </w:r>
        <w:r w:rsidRPr="000F4DED">
          <w:rPr>
            <w:sz w:val="20"/>
            <w:szCs w:val="20"/>
          </w:rPr>
          <w:fldChar w:fldCharType="separate"/>
        </w:r>
        <w:r w:rsidRPr="000F4DED">
          <w:rPr>
            <w:noProof/>
            <w:sz w:val="20"/>
            <w:szCs w:val="20"/>
          </w:rPr>
          <w:t>2</w:t>
        </w:r>
        <w:r w:rsidRPr="000F4DED">
          <w:rPr>
            <w:noProof/>
            <w:sz w:val="20"/>
            <w:szCs w:val="20"/>
          </w:rPr>
          <w:fldChar w:fldCharType="end"/>
        </w:r>
      </w:p>
    </w:sdtContent>
  </w:sdt>
  <w:p w14:paraId="26C3412C" w14:textId="77777777" w:rsidR="000F4DED" w:rsidRDefault="000F4DE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9E99" w14:textId="77777777" w:rsidR="00512001" w:rsidRDefault="00512001" w:rsidP="000F4DED">
      <w:pPr>
        <w:spacing w:after="0" w:line="240" w:lineRule="auto"/>
      </w:pPr>
      <w:r>
        <w:separator/>
      </w:r>
    </w:p>
  </w:footnote>
  <w:footnote w:type="continuationSeparator" w:id="0">
    <w:p w14:paraId="6E5E37D1" w14:textId="77777777" w:rsidR="00512001" w:rsidRDefault="00512001" w:rsidP="000F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A9"/>
    <w:multiLevelType w:val="multilevel"/>
    <w:tmpl w:val="DC740648"/>
    <w:lvl w:ilvl="0">
      <w:start w:val="1"/>
      <w:numFmt w:val="decimal"/>
      <w:lvlText w:val="%1."/>
      <w:lvlJc w:val="left"/>
      <w:pPr>
        <w:ind w:left="27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1" w15:restartNumberingAfterBreak="0">
    <w:nsid w:val="23DC68B2"/>
    <w:multiLevelType w:val="multilevel"/>
    <w:tmpl w:val="3D1CD2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284B25"/>
    <w:multiLevelType w:val="hybridMultilevel"/>
    <w:tmpl w:val="3C2838C0"/>
    <w:lvl w:ilvl="0" w:tplc="97DA23E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84686"/>
    <w:multiLevelType w:val="hybridMultilevel"/>
    <w:tmpl w:val="764A50D2"/>
    <w:lvl w:ilvl="0" w:tplc="94F866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51168"/>
    <w:multiLevelType w:val="hybridMultilevel"/>
    <w:tmpl w:val="97E2676C"/>
    <w:lvl w:ilvl="0" w:tplc="2940E7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A2655"/>
    <w:multiLevelType w:val="multilevel"/>
    <w:tmpl w:val="7170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B80C20"/>
    <w:multiLevelType w:val="multilevel"/>
    <w:tmpl w:val="3502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3708097">
    <w:abstractNumId w:val="3"/>
  </w:num>
  <w:num w:numId="2" w16cid:durableId="1553806196">
    <w:abstractNumId w:val="2"/>
  </w:num>
  <w:num w:numId="3" w16cid:durableId="1664317614">
    <w:abstractNumId w:val="1"/>
  </w:num>
  <w:num w:numId="4" w16cid:durableId="63645125">
    <w:abstractNumId w:val="0"/>
  </w:num>
  <w:num w:numId="5" w16cid:durableId="393479090">
    <w:abstractNumId w:val="0"/>
  </w:num>
  <w:num w:numId="6" w16cid:durableId="1317296024">
    <w:abstractNumId w:val="0"/>
  </w:num>
  <w:num w:numId="7" w16cid:durableId="1441949343">
    <w:abstractNumId w:val="6"/>
  </w:num>
  <w:num w:numId="8" w16cid:durableId="538592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52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7312966">
    <w:abstractNumId w:val="1"/>
  </w:num>
  <w:num w:numId="11" w16cid:durableId="1379017023">
    <w:abstractNumId w:val="0"/>
  </w:num>
  <w:num w:numId="12" w16cid:durableId="741486127">
    <w:abstractNumId w:val="0"/>
  </w:num>
  <w:num w:numId="13" w16cid:durableId="2078939558">
    <w:abstractNumId w:val="5"/>
  </w:num>
  <w:num w:numId="14" w16cid:durableId="159096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3C"/>
    <w:rsid w:val="000075D9"/>
    <w:rsid w:val="000F4DED"/>
    <w:rsid w:val="000F6C16"/>
    <w:rsid w:val="001C748A"/>
    <w:rsid w:val="002E3690"/>
    <w:rsid w:val="002F26E9"/>
    <w:rsid w:val="002F5AAB"/>
    <w:rsid w:val="0047232A"/>
    <w:rsid w:val="004B03E6"/>
    <w:rsid w:val="00512001"/>
    <w:rsid w:val="005B43FD"/>
    <w:rsid w:val="005D6BBB"/>
    <w:rsid w:val="005E5098"/>
    <w:rsid w:val="007F0791"/>
    <w:rsid w:val="008C520F"/>
    <w:rsid w:val="00917CD2"/>
    <w:rsid w:val="00925A27"/>
    <w:rsid w:val="00943317"/>
    <w:rsid w:val="009F16D2"/>
    <w:rsid w:val="00A57730"/>
    <w:rsid w:val="00AD7290"/>
    <w:rsid w:val="00C90240"/>
    <w:rsid w:val="00D06DA4"/>
    <w:rsid w:val="00DC4C3C"/>
    <w:rsid w:val="00DD12F1"/>
    <w:rsid w:val="00E169D0"/>
    <w:rsid w:val="00E700DC"/>
    <w:rsid w:val="00E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A61D"/>
  <w15:chartTrackingRefBased/>
  <w15:docId w15:val="{0D798435-A32A-4DD6-B7B7-A834DA67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CC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37CC"/>
    <w:pPr>
      <w:outlineLvl w:val="0"/>
    </w:pPr>
    <w:rPr>
      <w:b/>
      <w:sz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EC37CC"/>
    <w:pPr>
      <w:ind w:left="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EC37CC"/>
    <w:pPr>
      <w:outlineLvl w:val="2"/>
    </w:pPr>
    <w:rPr>
      <w:b/>
    </w:rPr>
  </w:style>
  <w:style w:type="paragraph" w:styleId="4">
    <w:name w:val="heading 4"/>
    <w:basedOn w:val="a0"/>
    <w:next w:val="a"/>
    <w:link w:val="40"/>
    <w:uiPriority w:val="9"/>
    <w:unhideWhenUsed/>
    <w:qFormat/>
    <w:rsid w:val="00EC37CC"/>
    <w:pPr>
      <w:numPr>
        <w:ilvl w:val="2"/>
        <w:numId w:val="13"/>
      </w:numPr>
      <w:spacing w:line="276" w:lineRule="auto"/>
      <w:ind w:left="1044" w:hanging="504"/>
      <w:jc w:val="both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C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C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C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C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C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uiPriority w:val="11"/>
    <w:qFormat/>
    <w:rsid w:val="005B43FD"/>
    <w:pPr>
      <w:tabs>
        <w:tab w:val="num" w:pos="720"/>
      </w:tabs>
      <w:ind w:left="720" w:hanging="360"/>
      <w:outlineLvl w:val="2"/>
    </w:pPr>
    <w:rPr>
      <w:b/>
      <w:i/>
      <w:spacing w:val="15"/>
    </w:rPr>
  </w:style>
  <w:style w:type="character" w:customStyle="1" w:styleId="a5">
    <w:name w:val="副标题 字符"/>
    <w:basedOn w:val="a1"/>
    <w:link w:val="a4"/>
    <w:uiPriority w:val="11"/>
    <w:rsid w:val="005B43FD"/>
    <w:rPr>
      <w:rFonts w:ascii="Times New Roman" w:hAnsi="Times New Roman"/>
      <w:b/>
      <w:i/>
      <w:color w:val="0D0D0D" w:themeColor="text1" w:themeTint="F2"/>
      <w:spacing w:val="15"/>
      <w:sz w:val="24"/>
    </w:rPr>
  </w:style>
  <w:style w:type="character" w:customStyle="1" w:styleId="10">
    <w:name w:val="标题 1 字符"/>
    <w:basedOn w:val="a1"/>
    <w:link w:val="1"/>
    <w:uiPriority w:val="9"/>
    <w:rsid w:val="00EC37CC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标题 2 字符"/>
    <w:basedOn w:val="a1"/>
    <w:link w:val="2"/>
    <w:uiPriority w:val="9"/>
    <w:rsid w:val="00EC37CC"/>
    <w:rPr>
      <w:rFonts w:ascii="Times New Roman" w:hAnsi="Times New Roman" w:cs="Times New Roman"/>
      <w:b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5B43FD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7">
    <w:name w:val="标题 字符"/>
    <w:basedOn w:val="a1"/>
    <w:link w:val="a6"/>
    <w:uiPriority w:val="10"/>
    <w:rsid w:val="005B43FD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30">
    <w:name w:val="标题 3 字符"/>
    <w:basedOn w:val="a1"/>
    <w:link w:val="3"/>
    <w:uiPriority w:val="9"/>
    <w:rsid w:val="00EC37CC"/>
    <w:rPr>
      <w:rFonts w:ascii="Times New Roman" w:hAnsi="Times New Roman" w:cs="Times New Roman"/>
      <w:b/>
      <w:sz w:val="24"/>
      <w:szCs w:val="24"/>
    </w:rPr>
  </w:style>
  <w:style w:type="paragraph" w:styleId="a0">
    <w:name w:val="List Paragraph"/>
    <w:basedOn w:val="a"/>
    <w:uiPriority w:val="34"/>
    <w:qFormat/>
    <w:rsid w:val="005B43FD"/>
    <w:pPr>
      <w:ind w:left="720"/>
      <w:contextualSpacing/>
    </w:pPr>
  </w:style>
  <w:style w:type="character" w:customStyle="1" w:styleId="40">
    <w:name w:val="标题 4 字符"/>
    <w:basedOn w:val="a1"/>
    <w:link w:val="4"/>
    <w:uiPriority w:val="9"/>
    <w:rsid w:val="00EC37CC"/>
    <w:rPr>
      <w:rFonts w:ascii="Times New Roman" w:hAnsi="Times New Roman" w:cs="Times New Roman"/>
      <w:color w:val="0D0D0D" w:themeColor="text1" w:themeTint="F2"/>
      <w:sz w:val="24"/>
      <w:szCs w:val="24"/>
    </w:rPr>
  </w:style>
  <w:style w:type="character" w:customStyle="1" w:styleId="50">
    <w:name w:val="标题 5 字符"/>
    <w:basedOn w:val="a1"/>
    <w:link w:val="5"/>
    <w:uiPriority w:val="9"/>
    <w:semiHidden/>
    <w:rsid w:val="00DC4C3C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DC4C3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DC4C3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DC4C3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DC4C3C"/>
    <w:rPr>
      <w:rFonts w:eastAsiaTheme="majorEastAsia" w:cstheme="majorBidi"/>
      <w:color w:val="272727" w:themeColor="text1" w:themeTint="D8"/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rsid w:val="00DC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DC4C3C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aa">
    <w:name w:val="Intense Emphasis"/>
    <w:basedOn w:val="a1"/>
    <w:uiPriority w:val="21"/>
    <w:qFormat/>
    <w:rsid w:val="00DC4C3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C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DC4C3C"/>
    <w:rPr>
      <w:rFonts w:ascii="Times New Roman" w:hAnsi="Times New Roman" w:cs="Times New Roman"/>
      <w:i/>
      <w:iCs/>
      <w:color w:val="2E74B5" w:themeColor="accent1" w:themeShade="BF"/>
      <w:sz w:val="24"/>
      <w:szCs w:val="24"/>
    </w:rPr>
  </w:style>
  <w:style w:type="character" w:styleId="ad">
    <w:name w:val="Intense Reference"/>
    <w:basedOn w:val="a1"/>
    <w:uiPriority w:val="32"/>
    <w:qFormat/>
    <w:rsid w:val="00DC4C3C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1"/>
    <w:link w:val="ae"/>
    <w:uiPriority w:val="99"/>
    <w:rsid w:val="000F4DED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1"/>
    <w:link w:val="af0"/>
    <w:uiPriority w:val="99"/>
    <w:rsid w:val="000F4DED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1"/>
    <w:uiPriority w:val="99"/>
    <w:unhideWhenUsed/>
    <w:rsid w:val="005E5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ge.leunissen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Supplementary material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Tingting (PSYCHOLOGY)</dc:creator>
  <cp:keywords/>
  <dc:description/>
  <cp:lastModifiedBy>朱婷婷</cp:lastModifiedBy>
  <cp:revision>11</cp:revision>
  <dcterms:created xsi:type="dcterms:W3CDTF">2025-10-29T10:10:00Z</dcterms:created>
  <dcterms:modified xsi:type="dcterms:W3CDTF">2026-04-20T00:17:00Z</dcterms:modified>
</cp:coreProperties>
</file>