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B148B">
      <w:pPr>
        <w:spacing w:line="360" w:lineRule="auto"/>
        <w:rPr>
          <w:rFonts w:hint="eastAsia" w:ascii="Times New Roman" w:hAnsi="Times New Roman" w:cs="Times New Roman"/>
          <w:sz w:val="20"/>
          <w:szCs w:val="20"/>
          <w:lang w:val="en-US" w:eastAsia="zh-CN"/>
        </w:rPr>
      </w:pPr>
      <w:bookmarkStart w:id="0" w:name="_GoBack"/>
      <w:bookmarkEnd w:id="0"/>
      <w:r>
        <w:rPr>
          <w:rFonts w:hint="eastAsia" w:ascii="Times New Roman" w:hAnsi="Times New Roman" w:cs="Times New Roman"/>
          <w:sz w:val="20"/>
          <w:szCs w:val="20"/>
          <w:lang w:val="en-US" w:eastAsia="zh-CN"/>
        </w:rPr>
        <w:t xml:space="preserve">Supplementary document 1: </w:t>
      </w:r>
    </w:p>
    <w:p w14:paraId="2CE1F46A">
      <w:pPr>
        <w:spacing w:line="360" w:lineRule="auto"/>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Some relevant instructions and definitions included in this article:</w:t>
      </w:r>
    </w:p>
    <w:p w14:paraId="0729ABBE">
      <w:pPr>
        <w:spacing w:line="360" w:lineRule="auto"/>
        <w:rPr>
          <w:rFonts w:hint="default" w:ascii="Times New Roman" w:hAnsi="Times New Roman" w:cs="Times New Roman"/>
          <w:sz w:val="20"/>
          <w:szCs w:val="20"/>
        </w:rPr>
      </w:pPr>
      <w:r>
        <w:rPr>
          <w:rFonts w:hint="default" w:ascii="Times New Roman" w:hAnsi="Times New Roman" w:cs="Times New Roman"/>
          <w:sz w:val="20"/>
          <w:szCs w:val="20"/>
        </w:rPr>
        <w:t>1. All community hospitals involved in this study were located in the major administrative districts of Guangzhou city, including Yuexiu District, Tianhe District, Haizhu District, Liwan District, Huangpu District, Huadu District, Nansha District and Conghua District.</w:t>
      </w:r>
    </w:p>
    <w:p w14:paraId="55781712">
      <w:pPr>
        <w:spacing w:line="360" w:lineRule="auto"/>
        <w:rPr>
          <w:rFonts w:hint="default" w:ascii="Times New Roman" w:hAnsi="Times New Roman" w:cs="Times New Roman"/>
          <w:sz w:val="20"/>
          <w:szCs w:val="20"/>
        </w:rPr>
      </w:pPr>
      <w:r>
        <w:rPr>
          <w:rFonts w:hint="default" w:ascii="Times New Roman" w:hAnsi="Times New Roman" w:cs="Times New Roman"/>
          <w:sz w:val="20"/>
          <w:szCs w:val="20"/>
        </w:rPr>
        <w:t>2. Chronic Disease: A chronic disease is defined as a non-communicable disease that is slowly developing, long lasting, incurable, progressive and/or life-limiting.</w:t>
      </w:r>
    </w:p>
    <w:p w14:paraId="3F44BB34">
      <w:pPr>
        <w:spacing w:line="360" w:lineRule="auto"/>
        <w:rPr>
          <w:rFonts w:hint="default" w:ascii="Times New Roman" w:hAnsi="Times New Roman" w:cs="Times New Roman"/>
          <w:sz w:val="20"/>
          <w:szCs w:val="20"/>
        </w:rPr>
      </w:pPr>
      <w:r>
        <w:rPr>
          <w:rFonts w:hint="default" w:ascii="Times New Roman" w:hAnsi="Times New Roman" w:cs="Times New Roman"/>
          <w:sz w:val="20"/>
          <w:szCs w:val="20"/>
        </w:rPr>
        <w:t>3. Cancer Comorbidity: Cancer comorbidity means that one or more chronic diseases in addition to cancer for cancer patients.</w:t>
      </w:r>
    </w:p>
    <w:p w14:paraId="41B5084D">
      <w:pPr>
        <w:spacing w:line="360" w:lineRule="auto"/>
        <w:rPr>
          <w:rFonts w:hint="default" w:ascii="Times New Roman" w:hAnsi="Times New Roman" w:cs="Times New Roman"/>
          <w:sz w:val="20"/>
          <w:szCs w:val="20"/>
        </w:rPr>
      </w:pPr>
      <w:r>
        <w:rPr>
          <w:rFonts w:hint="default" w:ascii="Times New Roman" w:hAnsi="Times New Roman" w:cs="Times New Roman"/>
          <w:sz w:val="20"/>
          <w:szCs w:val="20"/>
        </w:rPr>
        <w:t xml:space="preserve">4. Comorbidity Assessment Tools: The commonly tools used to assess cancer comorbidity include Charlson Comorbidity Index (CCI), Elixhauser Comorbidity Index, Geriatric Index of Comorbidity (GIC), Comprehensive Geriatric Assessment (CGA), etc. </w:t>
      </w:r>
    </w:p>
    <w:p w14:paraId="4A2517EA">
      <w:pPr>
        <w:spacing w:line="360" w:lineRule="auto"/>
        <w:rPr>
          <w:rFonts w:hint="default" w:ascii="Times New Roman" w:hAnsi="Times New Roman" w:cs="Times New Roman"/>
          <w:sz w:val="20"/>
          <w:szCs w:val="20"/>
        </w:rPr>
      </w:pPr>
      <w:r>
        <w:rPr>
          <w:rFonts w:hint="default" w:ascii="Times New Roman" w:hAnsi="Times New Roman" w:cs="Times New Roman"/>
          <w:sz w:val="20"/>
          <w:szCs w:val="20"/>
        </w:rPr>
        <w:t>5.</w:t>
      </w:r>
      <w:r>
        <w:rPr>
          <w:rFonts w:hint="eastAsia" w:ascii="Times New Roman" w:hAnsi="Times New Roman" w:cs="Times New Roman"/>
          <w:sz w:val="20"/>
          <w:szCs w:val="20"/>
          <w:lang w:val="en-US" w:eastAsia="zh-CN"/>
        </w:rPr>
        <w:t>M</w:t>
      </w:r>
      <w:r>
        <w:rPr>
          <w:rFonts w:hint="default" w:ascii="Times New Roman" w:hAnsi="Times New Roman" w:cs="Times New Roman"/>
          <w:sz w:val="20"/>
          <w:szCs w:val="20"/>
        </w:rPr>
        <w:t>ulti-</w:t>
      </w:r>
      <w:r>
        <w:rPr>
          <w:rFonts w:hint="eastAsia" w:ascii="Times New Roman" w:hAnsi="Times New Roman" w:cs="Times New Roman"/>
          <w:sz w:val="20"/>
          <w:szCs w:val="20"/>
          <w:lang w:val="en-US" w:eastAsia="zh-CN"/>
        </w:rPr>
        <w:t>D</w:t>
      </w:r>
      <w:r>
        <w:rPr>
          <w:rFonts w:hint="default" w:ascii="Times New Roman" w:hAnsi="Times New Roman" w:cs="Times New Roman"/>
          <w:sz w:val="20"/>
          <w:szCs w:val="20"/>
        </w:rPr>
        <w:t xml:space="preserve">isciplinary </w:t>
      </w:r>
      <w:r>
        <w:rPr>
          <w:rFonts w:hint="eastAsia" w:ascii="Times New Roman" w:hAnsi="Times New Roman" w:cs="Times New Roman"/>
          <w:sz w:val="20"/>
          <w:szCs w:val="20"/>
          <w:lang w:val="en-US" w:eastAsia="zh-CN"/>
        </w:rPr>
        <w:t>T</w:t>
      </w:r>
      <w:r>
        <w:rPr>
          <w:rFonts w:hint="default" w:ascii="Times New Roman" w:hAnsi="Times New Roman" w:cs="Times New Roman"/>
          <w:sz w:val="20"/>
          <w:szCs w:val="20"/>
        </w:rPr>
        <w:t xml:space="preserve">reatment (MDT): MDT refers to a group of doctors of different </w:t>
      </w:r>
      <w:r>
        <w:rPr>
          <w:rFonts w:hint="eastAsia" w:ascii="Times New Roman" w:hAnsi="Times New Roman" w:cs="Times New Roman"/>
          <w:sz w:val="20"/>
          <w:szCs w:val="20"/>
          <w:lang w:eastAsia="zh-CN"/>
        </w:rPr>
        <w:t>specialists</w:t>
      </w:r>
      <w:r>
        <w:rPr>
          <w:rFonts w:hint="default" w:ascii="Times New Roman" w:hAnsi="Times New Roman" w:cs="Times New Roman"/>
          <w:sz w:val="20"/>
          <w:szCs w:val="20"/>
        </w:rPr>
        <w:t>, each of whom can independently make decisions on the diagnosis and treatment of patients, make collective decisions on patients’ diagnosis and treatment by contacting with each other at a specific time through face-to-face or telephone conference mode.</w:t>
      </w:r>
    </w:p>
    <w:p w14:paraId="65831396">
      <w:pPr>
        <w:spacing w:line="360" w:lineRule="auto"/>
        <w:rPr>
          <w:rFonts w:hint="default" w:ascii="Times New Roman" w:hAnsi="Times New Roman" w:cs="Times New Roman"/>
          <w:sz w:val="20"/>
          <w:szCs w:val="20"/>
        </w:rPr>
      </w:pPr>
    </w:p>
    <w:p w14:paraId="452099AF">
      <w:pPr>
        <w:rPr>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OTM5ZWI0YmY0OWUwZmY0MGY5ZDc2ZmY2ZDNkYjQifQ=="/>
  </w:docVars>
  <w:rsids>
    <w:rsidRoot w:val="00000000"/>
    <w:rsid w:val="05472B41"/>
    <w:rsid w:val="05A90000"/>
    <w:rsid w:val="4F265FB0"/>
    <w:rsid w:val="580C603A"/>
    <w:rsid w:val="6ED30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169</Words>
  <Characters>1078</Characters>
  <Lines>0</Lines>
  <Paragraphs>0</Paragraphs>
  <TotalTime>4</TotalTime>
  <ScaleCrop>false</ScaleCrop>
  <LinksUpToDate>false</LinksUpToDate>
  <CharactersWithSpaces>1242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2024-03-09T00:46:00Z</dcterms:created>
  <dc:creator>doctor</dc:creator>
  <cp:lastModifiedBy>吴文霞</cp:lastModifiedBy>
  <dcterms:modified xsi:type="dcterms:W3CDTF">2025-02-20T15:16:12Z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1BA9999196A74CF1A8A66F2773D63DBE_13</vt:lpwstr>
  </property>
</Properties>
</file>