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78DE" w14:textId="07B2C66D" w:rsidR="00D61CB9" w:rsidRDefault="00171C1C" w:rsidP="007102A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05F74">
        <w:rPr>
          <w:rFonts w:ascii="Times New Roman" w:hAnsi="Times New Roman" w:cs="Times New Roman"/>
          <w:b/>
          <w:bCs/>
          <w:sz w:val="20"/>
          <w:szCs w:val="20"/>
        </w:rPr>
        <w:t>Supplementary Table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:</w:t>
      </w:r>
      <w:r w:rsidRPr="00171C1C">
        <w:rPr>
          <w:rFonts w:hint="eastAsia"/>
        </w:rPr>
        <w:t xml:space="preserve"> </w:t>
      </w:r>
      <w:r w:rsidRPr="00171C1C">
        <w:rPr>
          <w:rFonts w:ascii="Times New Roman" w:hAnsi="Times New Roman" w:cs="Times New Roman" w:hint="eastAsia"/>
          <w:sz w:val="20"/>
          <w:szCs w:val="20"/>
        </w:rPr>
        <w:t>Sensitivity Analysis: Association between</w:t>
      </w:r>
      <w:r w:rsidR="0034299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71C1C">
        <w:rPr>
          <w:rFonts w:ascii="Times New Roman" w:hAnsi="Times New Roman" w:cs="Times New Roman" w:hint="eastAsia"/>
          <w:sz w:val="20"/>
          <w:szCs w:val="20"/>
        </w:rPr>
        <w:t>IgA/TP and Mortality using a Random Forest-Imputed Dataset.</w:t>
      </w:r>
    </w:p>
    <w:tbl>
      <w:tblPr>
        <w:tblW w:w="10095" w:type="dxa"/>
        <w:tblLook w:val="04A0" w:firstRow="1" w:lastRow="0" w:firstColumn="1" w:lastColumn="0" w:noHBand="0" w:noVBand="1"/>
      </w:tblPr>
      <w:tblGrid>
        <w:gridCol w:w="1962"/>
        <w:gridCol w:w="1766"/>
        <w:gridCol w:w="945"/>
        <w:gridCol w:w="1766"/>
        <w:gridCol w:w="945"/>
        <w:gridCol w:w="1766"/>
        <w:gridCol w:w="945"/>
      </w:tblGrid>
      <w:tr w:rsidR="00171C1C" w:rsidRPr="00B66E80" w14:paraId="4001E594" w14:textId="77777777" w:rsidTr="00171C1C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55541F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8EF53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1F043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AFB28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171C1C" w:rsidRPr="00B66E80" w14:paraId="0AE7B85A" w14:textId="77777777" w:rsidTr="00171C1C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13383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1ECC7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D54D02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820D8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0AD26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F6ADD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374E1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171C1C" w:rsidRPr="00B66E80" w14:paraId="6DA692D5" w14:textId="77777777" w:rsidTr="00171C1C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81BA6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9B008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2FF25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F8EC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43E56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869D2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06B71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1C1C" w:rsidRPr="00B66E80" w14:paraId="38E33DC8" w14:textId="77777777" w:rsidTr="00171C1C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BEBD8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Low vs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377B1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89 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3.70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79F3" w14:textId="77777777" w:rsidR="00171C1C" w:rsidRPr="00FF0E72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A1F0B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3.69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5B293" w14:textId="77777777" w:rsidR="00171C1C" w:rsidRPr="00FF0E72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0997B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97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(0.9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4.03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C2A0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062</w:t>
            </w:r>
          </w:p>
        </w:tc>
      </w:tr>
      <w:tr w:rsidR="00171C1C" w:rsidRPr="00B66E80" w14:paraId="6A6507E3" w14:textId="77777777" w:rsidTr="00171C1C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5EA57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High vs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BC66D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2.31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3.36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80DA2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FAA1C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2.42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3.53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DDF19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47D46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2.35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57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3.53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6D34D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171C1C" w:rsidRPr="00B66E80" w14:paraId="54DF0F1F" w14:textId="77777777" w:rsidTr="00171C1C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C8447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B7873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B9C2" w14:textId="77777777" w:rsidR="00171C1C" w:rsidRPr="00B66E80" w:rsidRDefault="00171C1C" w:rsidP="00213AB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B031E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8638" w14:textId="77777777" w:rsidR="00171C1C" w:rsidRPr="00B66E80" w:rsidRDefault="00171C1C" w:rsidP="00213AB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0D089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CE879" w14:textId="77777777" w:rsidR="00171C1C" w:rsidRPr="00B66E80" w:rsidRDefault="00171C1C" w:rsidP="00213AB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1C1C" w:rsidRPr="00B66E80" w14:paraId="0E7F3B98" w14:textId="77777777" w:rsidTr="00171C1C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3F5B3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Low vs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59AEA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2.78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B00A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24FD8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94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27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2.96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DCDA2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6BA96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3.05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0D45A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171C1C" w:rsidRPr="00B66E80" w14:paraId="318EFBF9" w14:textId="77777777" w:rsidTr="00171C1C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DE0DA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High vs Medium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7F29A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2.23 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3.06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2A488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EE426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2.41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3.31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E3717A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52FE9" w14:textId="77777777" w:rsidR="00171C1C" w:rsidRPr="00B66E80" w:rsidRDefault="00171C1C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2.18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3.05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8BC845" w14:textId="77777777" w:rsidR="00171C1C" w:rsidRPr="00B66E80" w:rsidRDefault="00171C1C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</w:tbl>
    <w:p w14:paraId="4CDEA474" w14:textId="52DC93AD" w:rsidR="002248F3" w:rsidRDefault="00FA1175" w:rsidP="00EB73BA">
      <w:pPr>
        <w:spacing w:line="360" w:lineRule="auto"/>
        <w:rPr>
          <w:rFonts w:ascii="Times New Roman" w:hAnsi="Times New Roman" w:cs="Times New Roman"/>
          <w:sz w:val="20"/>
          <w:szCs w:val="21"/>
        </w:rPr>
      </w:pPr>
      <w:r w:rsidRPr="00FA1175">
        <w:rPr>
          <w:rFonts w:ascii="Times New Roman" w:hAnsi="Times New Roman" w:cs="Times New Roman"/>
          <w:sz w:val="20"/>
          <w:szCs w:val="21"/>
        </w:rPr>
        <w:t>Model 1: Unadjusted. Model 2: Adjusted for age, gender, and race. Model 3: Fully adjusted for age, gender, and race (from Model 2), plus the following baseline covariates: Severity of illness scores (Sequential Organ Failure Assessment [SOFA], Oxford Acute Severity of Illness Score [OASIS],  Charlson Comorbidity Index); Comorbidities (hypertension, diabetes, chronic obstructive pulmonary disease, heart failure, stroke, sepsis); Vital signs (minimum mean arterial pressure, maximum heart rate, maximum respiratory rate, maximum temperature); Laboratory values (first measurement of hemoglobin, white blood cell count, platelets, creatinine, lactate, potassium, sodium, chloride, calcium, ); and Interventions (mechanical ventilation, renal replacement therapy, and vasopressors). Abbreviations: CI, confidence interval; HR, hazard ratio.</w:t>
      </w:r>
    </w:p>
    <w:p w14:paraId="02F7E6BF" w14:textId="77777777" w:rsidR="00EB73BA" w:rsidRDefault="00EB73BA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B464BF3" w14:textId="770B2E30" w:rsidR="00171C1C" w:rsidRDefault="002248F3" w:rsidP="00EB73B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05F74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2:</w:t>
      </w:r>
      <w:r w:rsidRPr="002248F3">
        <w:rPr>
          <w:rFonts w:ascii="Times New Roman" w:hAnsi="Times New Roman" w:cs="Times New Roman"/>
          <w:sz w:val="20"/>
          <w:szCs w:val="20"/>
        </w:rPr>
        <w:t xml:space="preserve"> </w:t>
      </w:r>
      <w:r w:rsidRPr="0000502F">
        <w:rPr>
          <w:rFonts w:ascii="Times New Roman" w:hAnsi="Times New Roman" w:cs="Times New Roman"/>
          <w:sz w:val="20"/>
          <w:szCs w:val="20"/>
        </w:rPr>
        <w:t xml:space="preserve">Sensitivity Analysis: Association of </w:t>
      </w:r>
      <w:r>
        <w:rPr>
          <w:rFonts w:ascii="Times New Roman" w:hAnsi="Times New Roman" w:cs="Times New Roman" w:hint="eastAsia"/>
          <w:sz w:val="20"/>
          <w:szCs w:val="20"/>
        </w:rPr>
        <w:t>IgA/TP</w:t>
      </w:r>
      <w:r w:rsidRPr="0000502F">
        <w:rPr>
          <w:rFonts w:ascii="Times New Roman" w:hAnsi="Times New Roman" w:cs="Times New Roman"/>
          <w:sz w:val="20"/>
          <w:szCs w:val="20"/>
        </w:rPr>
        <w:t xml:space="preserve"> with 90-day and 365-day Mortality.</w:t>
      </w:r>
    </w:p>
    <w:tbl>
      <w:tblPr>
        <w:tblpPr w:leftFromText="180" w:rightFromText="180" w:vertAnchor="text" w:horzAnchor="margin" w:tblpY="81"/>
        <w:tblW w:w="10511" w:type="dxa"/>
        <w:tblLook w:val="04A0" w:firstRow="1" w:lastRow="0" w:firstColumn="1" w:lastColumn="0" w:noHBand="0" w:noVBand="1"/>
      </w:tblPr>
      <w:tblGrid>
        <w:gridCol w:w="2043"/>
        <w:gridCol w:w="1839"/>
        <w:gridCol w:w="985"/>
        <w:gridCol w:w="1838"/>
        <w:gridCol w:w="984"/>
        <w:gridCol w:w="1838"/>
        <w:gridCol w:w="984"/>
      </w:tblGrid>
      <w:tr w:rsidR="009029CA" w:rsidRPr="00B66E80" w14:paraId="36C97870" w14:textId="77777777" w:rsidTr="009029CA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4B16C6D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96CC9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F3708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F09D7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9029CA" w:rsidRPr="00B66E80" w14:paraId="5AC685DB" w14:textId="77777777" w:rsidTr="009029CA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E39ED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11FC0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BDCBE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60569C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E7ACF5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330D0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44E24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9029CA" w:rsidRPr="00B66E80" w14:paraId="32EFE743" w14:textId="77777777" w:rsidTr="009029CA">
        <w:trPr>
          <w:trHeight w:val="3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A070A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CD45C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C36E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5664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FDE85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63E3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CF7EC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029CA" w:rsidRPr="00B66E80" w14:paraId="2EEDCF67" w14:textId="77777777" w:rsidTr="009029CA">
        <w:trPr>
          <w:trHeight w:val="3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7B69A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Low vs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513CD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0.62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2.25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81DB" w14:textId="77777777" w:rsidR="009029CA" w:rsidRPr="00BA1647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164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374FE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16 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0.61,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2.22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C0439" w14:textId="77777777" w:rsidR="009029CA" w:rsidRPr="00BA1647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164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D148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2.36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B7114" w14:textId="77777777" w:rsidR="009029CA" w:rsidRPr="00BA1647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A164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0.590</w:t>
            </w:r>
          </w:p>
        </w:tc>
      </w:tr>
      <w:tr w:rsidR="009029CA" w:rsidRPr="00B66E80" w14:paraId="654E539C" w14:textId="77777777" w:rsidTr="009029CA">
        <w:trPr>
          <w:trHeight w:val="3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A72AA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High vs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DD235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2.00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2.72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E4D7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8DEAE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2.14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57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2.90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7EA1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DDEA2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99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44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2.75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2E3E9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9029CA" w:rsidRPr="00B66E80" w14:paraId="6EF69266" w14:textId="77777777" w:rsidTr="009029CA">
        <w:trPr>
          <w:trHeight w:val="3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A6C14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365-Day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0FE07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264F" w14:textId="77777777" w:rsidR="009029CA" w:rsidRPr="00B66E80" w:rsidRDefault="009029CA" w:rsidP="00213AB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A7BF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03EC1" w14:textId="77777777" w:rsidR="009029CA" w:rsidRPr="00B66E80" w:rsidRDefault="009029CA" w:rsidP="00213AB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290A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71D94" w14:textId="77777777" w:rsidR="009029CA" w:rsidRPr="00B66E80" w:rsidRDefault="009029CA" w:rsidP="00213AB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029CA" w:rsidRPr="00B66E80" w14:paraId="0AE0895D" w14:textId="77777777" w:rsidTr="009029CA">
        <w:trPr>
          <w:trHeight w:val="3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B58E1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Low vs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D7319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2.68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56B3C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FBEE1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90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2.86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A8EAA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FC9D5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81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2.81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E9B17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9029CA" w:rsidRPr="00B66E80" w14:paraId="318499BA" w14:textId="77777777" w:rsidTr="009029CA">
        <w:trPr>
          <w:trHeight w:val="33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27D9D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F0E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High vs Medium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9DF27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2.23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65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3.10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2C352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DBE6D8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2.43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79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3.29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3E64D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6FF27" w14:textId="77777777" w:rsidR="009029CA" w:rsidRPr="00B66E80" w:rsidRDefault="009029CA" w:rsidP="00213A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2.23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62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3.06</w:t>
            </w:r>
            <w:r w:rsidRPr="00B66E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473336" w14:textId="77777777" w:rsidR="009029CA" w:rsidRPr="00B66E80" w:rsidRDefault="009029CA" w:rsidP="00213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E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</w:tbl>
    <w:p w14:paraId="56B04E1C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0A89F222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3EE12D28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6C006714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406697E0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5759CC73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05553DA5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29491C7B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6066BFB0" w14:textId="77777777" w:rsidR="009029CA" w:rsidRDefault="009029CA" w:rsidP="00FA1175">
      <w:pPr>
        <w:rPr>
          <w:rFonts w:ascii="Times New Roman" w:hAnsi="Times New Roman" w:cs="Times New Roman"/>
          <w:sz w:val="20"/>
          <w:szCs w:val="21"/>
        </w:rPr>
      </w:pPr>
    </w:p>
    <w:p w14:paraId="58A6F41A" w14:textId="77777777" w:rsidR="009029CA" w:rsidRDefault="009029CA" w:rsidP="00EB73BA">
      <w:pPr>
        <w:spacing w:line="360" w:lineRule="auto"/>
        <w:rPr>
          <w:rFonts w:ascii="Times New Roman" w:hAnsi="Times New Roman" w:cs="Times New Roman"/>
          <w:sz w:val="20"/>
          <w:szCs w:val="21"/>
        </w:rPr>
      </w:pPr>
      <w:r w:rsidRPr="00FA1175">
        <w:rPr>
          <w:rFonts w:ascii="Times New Roman" w:hAnsi="Times New Roman" w:cs="Times New Roman"/>
          <w:sz w:val="20"/>
          <w:szCs w:val="21"/>
        </w:rPr>
        <w:t>Model 1: Unadjusted. Model 2: Adjusted for age, gender, and race. Model 3: Fully adjusted for age, gender, and race (from Model 2), plus the following baseline covariates: Severity of illness scores (Sequential Organ Failure Assessment [SOFA], Oxford Acute Severity of Illness Score [OASIS],  Charlson Comorbidity Index); Comorbidities (hypertension, diabetes, chronic obstructive pulmonary disease, heart failure, stroke, sepsis); Vital signs (minimum mean arterial pressure, maximum heart rate, maximum respiratory rate, maximum temperature); Laboratory values (first measurement of hemoglobin, white blood cell count, platelets, creatinine, lactate, potassium, sodium, chloride, calcium, ); and Interventions (mechanical ventilation, renal replacement therapy, and vasopressors). Abbreviations: CI, confidence interval; HR, hazard ratio.</w:t>
      </w:r>
    </w:p>
    <w:p w14:paraId="0BAE48A3" w14:textId="6F66A5DA" w:rsidR="00EB73BA" w:rsidRDefault="00C74FAA" w:rsidP="00C55003">
      <w:pPr>
        <w:widowControl/>
        <w:rPr>
          <w:rFonts w:ascii="Times New Roman" w:hAnsi="Times New Roman" w:cs="Times New Roman"/>
          <w:sz w:val="20"/>
          <w:szCs w:val="21"/>
        </w:rPr>
        <w:sectPr w:rsidR="00EB73BA" w:rsidSect="00171C1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2AC793A3" w14:textId="1D106049" w:rsidR="00C74FAA" w:rsidRPr="00EB73BA" w:rsidRDefault="00C74FAA" w:rsidP="00EB73B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B73BA">
        <w:rPr>
          <w:rFonts w:ascii="Times New Roman" w:hAnsi="Times New Roman" w:cs="Times New Roman" w:hint="eastAsia"/>
          <w:sz w:val="20"/>
          <w:szCs w:val="20"/>
        </w:rPr>
        <w:lastRenderedPageBreak/>
        <w:t>Figure S</w:t>
      </w:r>
      <w:r w:rsidR="00C55003">
        <w:rPr>
          <w:rFonts w:ascii="Times New Roman" w:hAnsi="Times New Roman" w:cs="Times New Roman" w:hint="eastAsia"/>
          <w:sz w:val="20"/>
          <w:szCs w:val="20"/>
        </w:rPr>
        <w:t>1</w:t>
      </w:r>
      <w:r w:rsidRPr="00EB73BA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EB73BA">
        <w:rPr>
          <w:rFonts w:ascii="Times New Roman" w:hAnsi="Times New Roman" w:cs="Times New Roman"/>
          <w:sz w:val="20"/>
          <w:szCs w:val="20"/>
        </w:rPr>
        <w:t xml:space="preserve">Forest plots of univariate and multivariate Cox regression analyses for </w:t>
      </w:r>
      <w:r w:rsidRPr="00EB73BA">
        <w:rPr>
          <w:rFonts w:ascii="Times New Roman" w:hAnsi="Times New Roman" w:cs="Times New Roman" w:hint="eastAsia"/>
          <w:sz w:val="20"/>
          <w:szCs w:val="20"/>
        </w:rPr>
        <w:t>180</w:t>
      </w:r>
      <w:r w:rsidRPr="00EB73BA">
        <w:rPr>
          <w:rFonts w:ascii="Times New Roman" w:hAnsi="Times New Roman" w:cs="Times New Roman"/>
          <w:sz w:val="20"/>
          <w:szCs w:val="20"/>
        </w:rPr>
        <w:t>-day mortality.</w:t>
      </w:r>
      <w:r w:rsidRPr="00EB73BA">
        <w:rPr>
          <w:rFonts w:hint="eastAsia"/>
          <w:sz w:val="20"/>
          <w:szCs w:val="20"/>
        </w:rPr>
        <w:t xml:space="preserve"> </w:t>
      </w:r>
      <w:r w:rsidRPr="00EB73BA">
        <w:rPr>
          <w:rFonts w:ascii="Times New Roman" w:hAnsi="Times New Roman" w:cs="Times New Roman"/>
          <w:sz w:val="20"/>
          <w:szCs w:val="20"/>
        </w:rPr>
        <w:t>(A) Univariate Cox regression analysis.</w:t>
      </w:r>
      <w:r w:rsidRPr="00EB73B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B73BA">
        <w:rPr>
          <w:rFonts w:ascii="Times New Roman" w:hAnsi="Times New Roman" w:cs="Times New Roman"/>
          <w:sz w:val="20"/>
          <w:szCs w:val="20"/>
        </w:rPr>
        <w:t>(B) Multivariate Cox regression analysis after adjustment for confounding variables.</w:t>
      </w:r>
      <w:r w:rsidRPr="00EB73B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B73BA">
        <w:rPr>
          <w:rFonts w:ascii="Times New Roman" w:hAnsi="Times New Roman" w:cs="Times New Roman"/>
          <w:sz w:val="20"/>
          <w:szCs w:val="20"/>
        </w:rPr>
        <w:t>Hazard ratios (HRs) with 95% confidence intervals (CIs) are displayed for each variable.</w:t>
      </w:r>
    </w:p>
    <w:p w14:paraId="0F90218E" w14:textId="77777777" w:rsidR="00C74FAA" w:rsidRPr="00EB73BA" w:rsidRDefault="00C74FAA" w:rsidP="00EB73B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4552B46" w14:textId="6F8DAA66" w:rsidR="00C74FAA" w:rsidRDefault="00C74FAA" w:rsidP="00EB73B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B73BA">
        <w:rPr>
          <w:rFonts w:ascii="Times New Roman" w:hAnsi="Times New Roman" w:cs="Times New Roman" w:hint="eastAsia"/>
          <w:sz w:val="20"/>
          <w:szCs w:val="20"/>
        </w:rPr>
        <w:t>Figure S</w:t>
      </w:r>
      <w:r w:rsidR="00C55003">
        <w:rPr>
          <w:rFonts w:ascii="Times New Roman" w:hAnsi="Times New Roman" w:cs="Times New Roman" w:hint="eastAsia"/>
          <w:sz w:val="20"/>
          <w:szCs w:val="20"/>
        </w:rPr>
        <w:t>2</w:t>
      </w:r>
      <w:r w:rsidRPr="00EB73BA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EB73BA">
        <w:rPr>
          <w:rFonts w:ascii="Times New Roman" w:hAnsi="Times New Roman" w:cs="Times New Roman"/>
          <w:sz w:val="20"/>
          <w:szCs w:val="20"/>
        </w:rPr>
        <w:t xml:space="preserve">Association of </w:t>
      </w:r>
      <w:r w:rsidRPr="00EB73BA">
        <w:rPr>
          <w:rFonts w:ascii="Times New Roman" w:hAnsi="Times New Roman" w:cs="Times New Roman" w:hint="eastAsia"/>
          <w:sz w:val="20"/>
          <w:szCs w:val="20"/>
        </w:rPr>
        <w:t>Ig</w:t>
      </w:r>
      <w:r w:rsidR="00DF0782" w:rsidRPr="00EB73BA">
        <w:rPr>
          <w:rFonts w:ascii="Times New Roman" w:hAnsi="Times New Roman" w:cs="Times New Roman" w:hint="eastAsia"/>
          <w:sz w:val="20"/>
          <w:szCs w:val="20"/>
        </w:rPr>
        <w:t>M</w:t>
      </w:r>
      <w:r w:rsidRPr="00EB73BA">
        <w:rPr>
          <w:rFonts w:ascii="Times New Roman" w:hAnsi="Times New Roman" w:cs="Times New Roman" w:hint="eastAsia"/>
          <w:sz w:val="20"/>
          <w:szCs w:val="20"/>
        </w:rPr>
        <w:t>/TP</w:t>
      </w:r>
      <w:r w:rsidRPr="00EB73BA">
        <w:rPr>
          <w:rFonts w:ascii="Times New Roman" w:hAnsi="Times New Roman" w:cs="Times New Roman"/>
          <w:sz w:val="20"/>
          <w:szCs w:val="20"/>
        </w:rPr>
        <w:t xml:space="preserve"> with </w:t>
      </w:r>
      <w:r w:rsidRPr="00EB73BA">
        <w:rPr>
          <w:rFonts w:ascii="Times New Roman" w:hAnsi="Times New Roman" w:cs="Times New Roman" w:hint="eastAsia"/>
          <w:sz w:val="20"/>
          <w:szCs w:val="20"/>
        </w:rPr>
        <w:t>28</w:t>
      </w:r>
      <w:r w:rsidRPr="00EB73BA">
        <w:rPr>
          <w:rFonts w:ascii="Times New Roman" w:hAnsi="Times New Roman" w:cs="Times New Roman"/>
          <w:sz w:val="20"/>
          <w:szCs w:val="20"/>
        </w:rPr>
        <w:t>-day mortality.</w:t>
      </w:r>
      <w:r w:rsidRPr="00EB73B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B73BA">
        <w:rPr>
          <w:rFonts w:ascii="Times New Roman" w:hAnsi="Times New Roman" w:cs="Times New Roman"/>
          <w:sz w:val="20"/>
          <w:szCs w:val="20"/>
        </w:rPr>
        <w:t>(A) Dose–response relationships between</w:t>
      </w:r>
      <w:r w:rsidR="00DF0782" w:rsidRPr="00EB73B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B73BA">
        <w:rPr>
          <w:rFonts w:ascii="Times New Roman" w:hAnsi="Times New Roman" w:cs="Times New Roman"/>
          <w:sz w:val="20"/>
          <w:szCs w:val="20"/>
        </w:rPr>
        <w:t>Ig</w:t>
      </w:r>
      <w:r w:rsidR="00DF0782" w:rsidRPr="00EB73BA">
        <w:rPr>
          <w:rFonts w:ascii="Times New Roman" w:hAnsi="Times New Roman" w:cs="Times New Roman" w:hint="eastAsia"/>
          <w:sz w:val="20"/>
          <w:szCs w:val="20"/>
        </w:rPr>
        <w:t>M</w:t>
      </w:r>
      <w:r w:rsidRPr="00EB73BA">
        <w:rPr>
          <w:rFonts w:ascii="Times New Roman" w:hAnsi="Times New Roman" w:cs="Times New Roman"/>
          <w:sz w:val="20"/>
          <w:szCs w:val="20"/>
        </w:rPr>
        <w:t xml:space="preserve">/TP ratios and the adjusted hazard ratio for </w:t>
      </w:r>
      <w:r w:rsidRPr="00EB73BA">
        <w:rPr>
          <w:rFonts w:ascii="Times New Roman" w:hAnsi="Times New Roman" w:cs="Times New Roman" w:hint="eastAsia"/>
          <w:sz w:val="20"/>
          <w:szCs w:val="20"/>
        </w:rPr>
        <w:t>28</w:t>
      </w:r>
      <w:r w:rsidRPr="00EB73BA">
        <w:rPr>
          <w:rFonts w:ascii="Times New Roman" w:hAnsi="Times New Roman" w:cs="Times New Roman"/>
          <w:sz w:val="20"/>
          <w:szCs w:val="20"/>
        </w:rPr>
        <w:t>-day mortality, modeled using restricted cubic splines. Models are adjusted for all covariates presented in Figure 2.</w:t>
      </w:r>
      <w:r w:rsidRPr="00EB73B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B73BA">
        <w:rPr>
          <w:rFonts w:ascii="Times New Roman" w:hAnsi="Times New Roman" w:cs="Times New Roman"/>
          <w:sz w:val="20"/>
          <w:szCs w:val="20"/>
        </w:rPr>
        <w:t>(</w:t>
      </w:r>
      <w:r w:rsidR="00DF0782" w:rsidRPr="00EB73BA">
        <w:rPr>
          <w:rFonts w:ascii="Times New Roman" w:hAnsi="Times New Roman" w:cs="Times New Roman" w:hint="eastAsia"/>
          <w:sz w:val="20"/>
          <w:szCs w:val="20"/>
        </w:rPr>
        <w:t>B</w:t>
      </w:r>
      <w:r w:rsidRPr="00EB73BA">
        <w:rPr>
          <w:rFonts w:ascii="Times New Roman" w:hAnsi="Times New Roman" w:cs="Times New Roman"/>
          <w:sz w:val="20"/>
          <w:szCs w:val="20"/>
        </w:rPr>
        <w:t>)</w:t>
      </w:r>
      <w:r w:rsidR="00DF0782" w:rsidRPr="00EB73BA">
        <w:rPr>
          <w:sz w:val="20"/>
          <w:szCs w:val="20"/>
        </w:rPr>
        <w:t xml:space="preserve"> </w:t>
      </w:r>
      <w:r w:rsidR="00DF0782" w:rsidRPr="00EB73BA">
        <w:rPr>
          <w:rFonts w:ascii="Times New Roman" w:hAnsi="Times New Roman" w:cs="Times New Roman"/>
          <w:sz w:val="20"/>
          <w:szCs w:val="20"/>
        </w:rPr>
        <w:t>Kaplan–Meier survival curves show 28-day survival among patients grouped into tertiles based on the IgM/TP ratio.</w:t>
      </w:r>
    </w:p>
    <w:p w14:paraId="5BFE7C00" w14:textId="77777777" w:rsidR="004D1E3E" w:rsidRPr="00EB73BA" w:rsidRDefault="004D1E3E" w:rsidP="00EB73B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4833201" w14:textId="44B48177" w:rsidR="004D1E3E" w:rsidRPr="00EB73BA" w:rsidRDefault="004D1E3E" w:rsidP="00EB73B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B73BA">
        <w:rPr>
          <w:rFonts w:ascii="Times New Roman" w:hAnsi="Times New Roman" w:cs="Times New Roman" w:hint="eastAsia"/>
          <w:sz w:val="20"/>
          <w:szCs w:val="20"/>
        </w:rPr>
        <w:t>Figure S</w:t>
      </w:r>
      <w:r w:rsidR="00C55003">
        <w:rPr>
          <w:rFonts w:ascii="Times New Roman" w:hAnsi="Times New Roman" w:cs="Times New Roman" w:hint="eastAsia"/>
          <w:sz w:val="20"/>
          <w:szCs w:val="20"/>
        </w:rPr>
        <w:t>3</w:t>
      </w:r>
      <w:r w:rsidRPr="00EB73BA">
        <w:rPr>
          <w:rFonts w:ascii="Times New Roman" w:hAnsi="Times New Roman" w:cs="Times New Roman"/>
          <w:sz w:val="20"/>
          <w:szCs w:val="20"/>
        </w:rPr>
        <w:t xml:space="preserve">: Subgroup analysis of the association between Ig/TP and 180-day mortality. Forest plots show the adjusted hazard ratios of association between (A) IgA/TP and (B) IgG/TP in the prespecified subgroups. The </w:t>
      </w:r>
      <w:r w:rsidRPr="00EB73B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B73BA">
        <w:rPr>
          <w:rFonts w:ascii="Times New Roman" w:hAnsi="Times New Roman" w:cs="Times New Roman"/>
          <w:sz w:val="20"/>
          <w:szCs w:val="20"/>
        </w:rPr>
        <w:t>-values for interaction were calculated to assess for effect modification by the subgroup variable.</w:t>
      </w:r>
    </w:p>
    <w:p w14:paraId="796EA37F" w14:textId="77777777" w:rsidR="004D1E3E" w:rsidRPr="004D1E3E" w:rsidRDefault="004D1E3E" w:rsidP="00DF0782">
      <w:pPr>
        <w:spacing w:line="240" w:lineRule="auto"/>
        <w:rPr>
          <w:rFonts w:ascii="Times New Roman" w:hAnsi="Times New Roman" w:cs="Times New Roman"/>
          <w:sz w:val="20"/>
          <w:szCs w:val="21"/>
        </w:rPr>
      </w:pPr>
    </w:p>
    <w:sectPr w:rsidR="004D1E3E" w:rsidRPr="004D1E3E" w:rsidSect="00EB7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F89" w14:textId="77777777" w:rsidR="006831B7" w:rsidRDefault="006831B7" w:rsidP="00795E0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03D23FF" w14:textId="77777777" w:rsidR="006831B7" w:rsidRDefault="006831B7" w:rsidP="00795E0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3762" w14:textId="77777777" w:rsidR="006831B7" w:rsidRDefault="006831B7" w:rsidP="00795E0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037C46F" w14:textId="77777777" w:rsidR="006831B7" w:rsidRDefault="006831B7" w:rsidP="00795E0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2F"/>
    <w:rsid w:val="00051A97"/>
    <w:rsid w:val="0010473C"/>
    <w:rsid w:val="00171C1C"/>
    <w:rsid w:val="001F2815"/>
    <w:rsid w:val="001F462F"/>
    <w:rsid w:val="002248F3"/>
    <w:rsid w:val="00267A62"/>
    <w:rsid w:val="0034299A"/>
    <w:rsid w:val="003E1C40"/>
    <w:rsid w:val="003E4DD2"/>
    <w:rsid w:val="00443B37"/>
    <w:rsid w:val="004D1E3E"/>
    <w:rsid w:val="00551436"/>
    <w:rsid w:val="006472E1"/>
    <w:rsid w:val="006831B7"/>
    <w:rsid w:val="007102A0"/>
    <w:rsid w:val="007268A3"/>
    <w:rsid w:val="00795E05"/>
    <w:rsid w:val="00796FDF"/>
    <w:rsid w:val="008053D2"/>
    <w:rsid w:val="008560C0"/>
    <w:rsid w:val="008E439B"/>
    <w:rsid w:val="009029CA"/>
    <w:rsid w:val="00980A51"/>
    <w:rsid w:val="00BC5CB5"/>
    <w:rsid w:val="00C14B9F"/>
    <w:rsid w:val="00C55003"/>
    <w:rsid w:val="00C74FAA"/>
    <w:rsid w:val="00D1435D"/>
    <w:rsid w:val="00D61CB9"/>
    <w:rsid w:val="00DF0782"/>
    <w:rsid w:val="00EA00B6"/>
    <w:rsid w:val="00EB73BA"/>
    <w:rsid w:val="00FA1175"/>
    <w:rsid w:val="00FB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E6BB2"/>
  <w15:chartTrackingRefBased/>
  <w15:docId w15:val="{B54D2CEB-7688-4CAF-92C2-301B076A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46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6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6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62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62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62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62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6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4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4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462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462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F462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46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46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46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4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4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4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4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46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46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4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46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462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5E0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95E0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95E0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95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BD0E6-F5B4-4240-93E6-57A33EB5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坤 坤</dc:creator>
  <cp:keywords/>
  <dc:description/>
  <cp:lastModifiedBy>坤 坤</cp:lastModifiedBy>
  <cp:revision>16</cp:revision>
  <dcterms:created xsi:type="dcterms:W3CDTF">2025-10-30T03:36:00Z</dcterms:created>
  <dcterms:modified xsi:type="dcterms:W3CDTF">2026-03-24T07:33:00Z</dcterms:modified>
</cp:coreProperties>
</file>