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110653" w14:textId="77777777" w:rsidR="004B4FB7" w:rsidRPr="001E65D8" w:rsidRDefault="004B4FB7" w:rsidP="004B4FB7">
      <w:pPr>
        <w:spacing w:line="276" w:lineRule="auto"/>
        <w:jc w:val="both"/>
        <w:rPr>
          <w:rFonts w:ascii="Times New Roman" w:hAnsi="Times New Roman" w:cs="Times New Roman"/>
          <w:b/>
          <w:bCs/>
          <w:sz w:val="20"/>
          <w:szCs w:val="20"/>
        </w:rPr>
      </w:pPr>
      <w:r w:rsidRPr="001E65D8">
        <w:rPr>
          <w:rFonts w:ascii="Times New Roman" w:hAnsi="Times New Roman" w:cs="Times New Roman"/>
          <w:b/>
          <w:bCs/>
          <w:sz w:val="20"/>
          <w:szCs w:val="20"/>
        </w:rPr>
        <w:t>STING Beyond Immunity: Tumour-Intrinsic Roles in Breast Cancer Progression and Metastasis</w:t>
      </w:r>
      <w:r w:rsidRPr="001E65D8" w:rsidDel="002779C9">
        <w:rPr>
          <w:rFonts w:ascii="Times New Roman" w:hAnsi="Times New Roman" w:cs="Times New Roman"/>
          <w:b/>
          <w:bCs/>
          <w:sz w:val="20"/>
          <w:szCs w:val="20"/>
        </w:rPr>
        <w:t xml:space="preserve"> </w:t>
      </w:r>
    </w:p>
    <w:p w14:paraId="292CA540" w14:textId="77777777" w:rsidR="004B4FB7" w:rsidRPr="001E65D8" w:rsidRDefault="004B4FB7" w:rsidP="004B4FB7">
      <w:pPr>
        <w:spacing w:line="276" w:lineRule="auto"/>
        <w:jc w:val="both"/>
        <w:rPr>
          <w:rFonts w:ascii="Times New Roman" w:hAnsi="Times New Roman" w:cs="Times New Roman"/>
          <w:sz w:val="20"/>
          <w:szCs w:val="20"/>
        </w:rPr>
      </w:pPr>
      <w:r w:rsidRPr="001E65D8">
        <w:rPr>
          <w:rFonts w:ascii="Times New Roman" w:hAnsi="Times New Roman" w:cs="Times New Roman"/>
          <w:b/>
          <w:bCs/>
          <w:sz w:val="20"/>
          <w:szCs w:val="20"/>
        </w:rPr>
        <w:t>Authors:</w:t>
      </w:r>
      <w:r w:rsidRPr="001E65D8">
        <w:rPr>
          <w:rFonts w:ascii="Times New Roman" w:hAnsi="Times New Roman" w:cs="Times New Roman"/>
          <w:sz w:val="20"/>
          <w:szCs w:val="20"/>
        </w:rPr>
        <w:t xml:space="preserve"> Vaibhavi Joshi</w:t>
      </w:r>
      <w:r w:rsidRPr="001E65D8">
        <w:rPr>
          <w:rFonts w:ascii="Times New Roman" w:hAnsi="Times New Roman" w:cs="Times New Roman"/>
          <w:sz w:val="20"/>
          <w:szCs w:val="20"/>
          <w:vertAlign w:val="superscript"/>
        </w:rPr>
        <w:t>1</w:t>
      </w:r>
      <w:r w:rsidRPr="001E65D8">
        <w:rPr>
          <w:rFonts w:ascii="Times New Roman" w:hAnsi="Times New Roman" w:cs="Times New Roman"/>
          <w:sz w:val="20"/>
          <w:szCs w:val="20"/>
        </w:rPr>
        <w:t>, Kate Beecher</w:t>
      </w:r>
      <w:r w:rsidRPr="001E65D8">
        <w:rPr>
          <w:rFonts w:ascii="Times New Roman" w:hAnsi="Times New Roman" w:cs="Times New Roman"/>
          <w:sz w:val="20"/>
          <w:szCs w:val="20"/>
          <w:vertAlign w:val="superscript"/>
        </w:rPr>
        <w:t>1</w:t>
      </w:r>
      <w:r w:rsidRPr="001E65D8">
        <w:rPr>
          <w:rFonts w:ascii="Times New Roman" w:hAnsi="Times New Roman" w:cs="Times New Roman"/>
          <w:sz w:val="20"/>
          <w:szCs w:val="20"/>
        </w:rPr>
        <w:t>, Pascal HG Duijf</w:t>
      </w:r>
      <w:r w:rsidRPr="001E65D8">
        <w:rPr>
          <w:rFonts w:ascii="Times New Roman" w:hAnsi="Times New Roman" w:cs="Times New Roman"/>
          <w:sz w:val="20"/>
          <w:szCs w:val="20"/>
          <w:vertAlign w:val="superscript"/>
        </w:rPr>
        <w:t>2</w:t>
      </w:r>
      <w:r w:rsidRPr="001E65D8">
        <w:rPr>
          <w:rFonts w:ascii="Times New Roman" w:hAnsi="Times New Roman" w:cs="Times New Roman"/>
          <w:sz w:val="20"/>
          <w:szCs w:val="20"/>
        </w:rPr>
        <w:t>, Andrew Stacey</w:t>
      </w:r>
      <w:r w:rsidRPr="001E65D8">
        <w:rPr>
          <w:rFonts w:ascii="Times New Roman" w:hAnsi="Times New Roman" w:cs="Times New Roman"/>
          <w:sz w:val="20"/>
          <w:szCs w:val="20"/>
          <w:vertAlign w:val="superscript"/>
        </w:rPr>
        <w:t>1,3</w:t>
      </w:r>
      <w:r w:rsidRPr="001E65D8">
        <w:rPr>
          <w:rFonts w:ascii="Times New Roman" w:hAnsi="Times New Roman" w:cs="Times New Roman"/>
          <w:sz w:val="20"/>
          <w:szCs w:val="20"/>
        </w:rPr>
        <w:t>, Sam Druskovich</w:t>
      </w:r>
      <w:r w:rsidRPr="001E65D8">
        <w:rPr>
          <w:rFonts w:ascii="Times New Roman" w:hAnsi="Times New Roman" w:cs="Times New Roman"/>
          <w:sz w:val="20"/>
          <w:szCs w:val="20"/>
          <w:vertAlign w:val="superscript"/>
        </w:rPr>
        <w:t>1,3</w:t>
      </w:r>
      <w:r w:rsidRPr="001E65D8">
        <w:rPr>
          <w:rFonts w:ascii="Times New Roman" w:hAnsi="Times New Roman" w:cs="Times New Roman"/>
          <w:sz w:val="20"/>
          <w:szCs w:val="20"/>
        </w:rPr>
        <w:t>, Sarah Reed</w:t>
      </w:r>
      <w:r w:rsidRPr="001E65D8">
        <w:rPr>
          <w:rFonts w:ascii="Times New Roman" w:hAnsi="Times New Roman" w:cs="Times New Roman"/>
          <w:sz w:val="20"/>
          <w:szCs w:val="20"/>
          <w:vertAlign w:val="superscript"/>
        </w:rPr>
        <w:t>1</w:t>
      </w:r>
      <w:r w:rsidRPr="001E65D8">
        <w:rPr>
          <w:rFonts w:ascii="Times New Roman" w:hAnsi="Times New Roman" w:cs="Times New Roman"/>
          <w:sz w:val="20"/>
          <w:szCs w:val="20"/>
        </w:rPr>
        <w:t>, Peter T Simpson</w:t>
      </w:r>
      <w:r w:rsidRPr="001E65D8">
        <w:rPr>
          <w:rFonts w:ascii="Times New Roman" w:hAnsi="Times New Roman" w:cs="Times New Roman"/>
          <w:sz w:val="20"/>
          <w:szCs w:val="20"/>
          <w:vertAlign w:val="superscript"/>
        </w:rPr>
        <w:t>1,4</w:t>
      </w:r>
      <w:r w:rsidRPr="001E65D8">
        <w:rPr>
          <w:rFonts w:ascii="Times New Roman" w:hAnsi="Times New Roman" w:cs="Times New Roman"/>
          <w:sz w:val="20"/>
          <w:szCs w:val="20"/>
        </w:rPr>
        <w:t>, Sunil R Lakhani</w:t>
      </w:r>
      <w:r w:rsidRPr="001E65D8">
        <w:rPr>
          <w:rFonts w:ascii="Times New Roman" w:hAnsi="Times New Roman" w:cs="Times New Roman"/>
          <w:sz w:val="20"/>
          <w:szCs w:val="20"/>
          <w:vertAlign w:val="superscript"/>
        </w:rPr>
        <w:t>1,3</w:t>
      </w:r>
      <w:r w:rsidRPr="001E65D8">
        <w:rPr>
          <w:rFonts w:ascii="Times New Roman" w:hAnsi="Times New Roman" w:cs="Times New Roman"/>
          <w:sz w:val="20"/>
          <w:szCs w:val="20"/>
        </w:rPr>
        <w:t>, Amy E McCart Reed</w:t>
      </w:r>
      <w:r w:rsidRPr="001E65D8">
        <w:rPr>
          <w:rFonts w:ascii="Times New Roman" w:hAnsi="Times New Roman" w:cs="Times New Roman"/>
          <w:sz w:val="20"/>
          <w:szCs w:val="20"/>
          <w:vertAlign w:val="superscript"/>
        </w:rPr>
        <w:t>1,*</w:t>
      </w:r>
    </w:p>
    <w:p w14:paraId="30CC4EE9" w14:textId="77777777" w:rsidR="004B4FB7" w:rsidRPr="001E65D8" w:rsidRDefault="004B4FB7" w:rsidP="004B4FB7">
      <w:pPr>
        <w:spacing w:line="276" w:lineRule="auto"/>
        <w:jc w:val="both"/>
        <w:rPr>
          <w:rFonts w:ascii="Times New Roman" w:hAnsi="Times New Roman" w:cs="Times New Roman"/>
          <w:b/>
          <w:bCs/>
          <w:sz w:val="20"/>
          <w:szCs w:val="20"/>
        </w:rPr>
      </w:pPr>
      <w:r w:rsidRPr="001E65D8">
        <w:rPr>
          <w:rFonts w:ascii="Times New Roman" w:hAnsi="Times New Roman" w:cs="Times New Roman"/>
          <w:b/>
          <w:bCs/>
          <w:sz w:val="20"/>
          <w:szCs w:val="20"/>
        </w:rPr>
        <w:t xml:space="preserve">Author Affiliations: </w:t>
      </w:r>
    </w:p>
    <w:p w14:paraId="28FBFF23" w14:textId="77777777" w:rsidR="004B4FB7" w:rsidRPr="001E65D8" w:rsidRDefault="004B4FB7" w:rsidP="004B4FB7">
      <w:pPr>
        <w:spacing w:line="276" w:lineRule="auto"/>
        <w:jc w:val="both"/>
        <w:rPr>
          <w:rFonts w:ascii="Times New Roman" w:hAnsi="Times New Roman" w:cs="Times New Roman"/>
          <w:sz w:val="20"/>
          <w:szCs w:val="20"/>
        </w:rPr>
      </w:pPr>
      <w:r w:rsidRPr="001E65D8">
        <w:rPr>
          <w:rFonts w:ascii="Times New Roman" w:hAnsi="Times New Roman" w:cs="Times New Roman"/>
          <w:sz w:val="20"/>
          <w:szCs w:val="20"/>
          <w:vertAlign w:val="superscript"/>
        </w:rPr>
        <w:t>1</w:t>
      </w:r>
      <w:r w:rsidRPr="001E65D8">
        <w:rPr>
          <w:rFonts w:ascii="Times New Roman" w:hAnsi="Times New Roman" w:cs="Times New Roman"/>
          <w:sz w:val="20"/>
          <w:szCs w:val="20"/>
        </w:rPr>
        <w:t>Frazer Institute, Faculty of Health, Medicine and Behavioural Sciences, The University of Queensland, Australia</w:t>
      </w:r>
    </w:p>
    <w:p w14:paraId="6677A7EC" w14:textId="77777777" w:rsidR="004B4FB7" w:rsidRPr="001E65D8" w:rsidRDefault="004B4FB7" w:rsidP="004B4FB7">
      <w:pPr>
        <w:spacing w:line="276" w:lineRule="auto"/>
        <w:jc w:val="both"/>
        <w:rPr>
          <w:rFonts w:ascii="Times New Roman" w:hAnsi="Times New Roman" w:cs="Times New Roman"/>
          <w:sz w:val="20"/>
          <w:szCs w:val="20"/>
        </w:rPr>
      </w:pPr>
      <w:r w:rsidRPr="001E65D8">
        <w:rPr>
          <w:rFonts w:ascii="Times New Roman" w:hAnsi="Times New Roman" w:cs="Times New Roman"/>
          <w:sz w:val="20"/>
          <w:szCs w:val="20"/>
          <w:vertAlign w:val="superscript"/>
        </w:rPr>
        <w:t>2</w:t>
      </w:r>
      <w:r w:rsidRPr="001E65D8">
        <w:rPr>
          <w:rFonts w:ascii="Times New Roman" w:hAnsi="Times New Roman" w:cs="Times New Roman"/>
          <w:sz w:val="20"/>
          <w:szCs w:val="20"/>
        </w:rPr>
        <w:t xml:space="preserve">Centre for Cancer Biology, Clinical and Health Sciences, Adelaide University &amp; SA Pathology, Australia </w:t>
      </w:r>
    </w:p>
    <w:p w14:paraId="1771EA25" w14:textId="77777777" w:rsidR="004B4FB7" w:rsidRPr="001E65D8" w:rsidRDefault="004B4FB7" w:rsidP="004B4FB7">
      <w:pPr>
        <w:spacing w:line="276" w:lineRule="auto"/>
        <w:jc w:val="both"/>
        <w:rPr>
          <w:rFonts w:ascii="Times New Roman" w:hAnsi="Times New Roman" w:cs="Times New Roman"/>
          <w:sz w:val="20"/>
          <w:szCs w:val="20"/>
        </w:rPr>
      </w:pPr>
      <w:r w:rsidRPr="001E65D8">
        <w:rPr>
          <w:rFonts w:ascii="Times New Roman" w:hAnsi="Times New Roman" w:cs="Times New Roman"/>
          <w:sz w:val="20"/>
          <w:szCs w:val="20"/>
          <w:vertAlign w:val="superscript"/>
        </w:rPr>
        <w:t>3</w:t>
      </w:r>
      <w:r w:rsidRPr="001E65D8">
        <w:rPr>
          <w:rFonts w:ascii="Times New Roman" w:hAnsi="Times New Roman" w:cs="Times New Roman"/>
          <w:sz w:val="20"/>
          <w:szCs w:val="20"/>
        </w:rPr>
        <w:t>Pathology Queensland, Royal Brisbane and Women’s Hospital, Australia</w:t>
      </w:r>
    </w:p>
    <w:p w14:paraId="08304604" w14:textId="77777777" w:rsidR="004B4FB7" w:rsidRPr="001E65D8" w:rsidRDefault="004B4FB7" w:rsidP="004B4FB7">
      <w:pPr>
        <w:spacing w:line="276" w:lineRule="auto"/>
        <w:jc w:val="both"/>
        <w:rPr>
          <w:rFonts w:ascii="Times New Roman" w:hAnsi="Times New Roman" w:cs="Times New Roman"/>
          <w:sz w:val="20"/>
          <w:szCs w:val="20"/>
        </w:rPr>
      </w:pPr>
      <w:r w:rsidRPr="001E65D8">
        <w:rPr>
          <w:rFonts w:ascii="Times New Roman" w:hAnsi="Times New Roman" w:cs="Times New Roman"/>
          <w:sz w:val="20"/>
          <w:szCs w:val="20"/>
          <w:vertAlign w:val="superscript"/>
        </w:rPr>
        <w:t>4</w:t>
      </w:r>
      <w:r w:rsidRPr="001E65D8">
        <w:rPr>
          <w:rFonts w:ascii="Times New Roman" w:hAnsi="Times New Roman" w:cs="Times New Roman"/>
          <w:sz w:val="20"/>
          <w:szCs w:val="20"/>
        </w:rPr>
        <w:t>School of Biomedical Sciences, Faculty of Health, Medicine and Behavioural Sciences, The University of Queensland, Australia</w:t>
      </w:r>
    </w:p>
    <w:p w14:paraId="3EFAC040" w14:textId="77777777" w:rsidR="004B4FB7" w:rsidRPr="001E65D8" w:rsidRDefault="004B4FB7" w:rsidP="004B4FB7">
      <w:pPr>
        <w:spacing w:line="276" w:lineRule="auto"/>
        <w:jc w:val="both"/>
        <w:rPr>
          <w:rFonts w:ascii="Times New Roman" w:hAnsi="Times New Roman" w:cs="Times New Roman"/>
          <w:sz w:val="20"/>
          <w:szCs w:val="20"/>
        </w:rPr>
      </w:pPr>
    </w:p>
    <w:p w14:paraId="34AE24F4" w14:textId="77777777" w:rsidR="004B4FB7" w:rsidRPr="001E65D8" w:rsidRDefault="004B4FB7" w:rsidP="004B4FB7">
      <w:pPr>
        <w:spacing w:line="276" w:lineRule="auto"/>
        <w:jc w:val="both"/>
        <w:rPr>
          <w:rFonts w:ascii="Times New Roman" w:hAnsi="Times New Roman" w:cs="Times New Roman"/>
          <w:b/>
          <w:bCs/>
          <w:sz w:val="20"/>
          <w:szCs w:val="20"/>
        </w:rPr>
      </w:pPr>
      <w:r w:rsidRPr="001E65D8">
        <w:rPr>
          <w:rFonts w:ascii="Times New Roman" w:hAnsi="Times New Roman" w:cs="Times New Roman"/>
          <w:b/>
          <w:bCs/>
          <w:sz w:val="20"/>
          <w:szCs w:val="20"/>
          <w:vertAlign w:val="superscript"/>
        </w:rPr>
        <w:t>*</w:t>
      </w:r>
      <w:r w:rsidRPr="001E65D8">
        <w:rPr>
          <w:rFonts w:ascii="Times New Roman" w:hAnsi="Times New Roman" w:cs="Times New Roman"/>
          <w:b/>
          <w:bCs/>
          <w:sz w:val="20"/>
          <w:szCs w:val="20"/>
        </w:rPr>
        <w:t>Corresponding author:</w:t>
      </w:r>
    </w:p>
    <w:p w14:paraId="17CC65FB" w14:textId="77777777" w:rsidR="004B4FB7" w:rsidRPr="001E65D8" w:rsidRDefault="004B4FB7" w:rsidP="004B4FB7">
      <w:pPr>
        <w:spacing w:line="276" w:lineRule="auto"/>
        <w:jc w:val="both"/>
        <w:rPr>
          <w:rFonts w:ascii="Times New Roman" w:hAnsi="Times New Roman" w:cs="Times New Roman"/>
          <w:sz w:val="20"/>
          <w:szCs w:val="20"/>
        </w:rPr>
      </w:pPr>
      <w:r w:rsidRPr="001E65D8">
        <w:rPr>
          <w:rFonts w:ascii="Times New Roman" w:hAnsi="Times New Roman" w:cs="Times New Roman"/>
          <w:sz w:val="20"/>
          <w:szCs w:val="20"/>
        </w:rPr>
        <w:t xml:space="preserve">Amy E McCart Reed, Frazer Institute, Faculty of Health, Medicine and Behavioural Sciences, The University of Queensland, Brisbane 4029, Australia. Email: </w:t>
      </w:r>
      <w:hyperlink r:id="rId6" w:history="1">
        <w:r w:rsidRPr="001E65D8">
          <w:rPr>
            <w:rStyle w:val="Hyperlink"/>
            <w:rFonts w:ascii="Times New Roman" w:hAnsi="Times New Roman" w:cs="Times New Roman"/>
            <w:sz w:val="20"/>
            <w:szCs w:val="20"/>
          </w:rPr>
          <w:t>amy.reed@uq.edu.au</w:t>
        </w:r>
      </w:hyperlink>
    </w:p>
    <w:p w14:paraId="177110A6" w14:textId="77777777" w:rsidR="004B4FB7" w:rsidRPr="001E65D8" w:rsidRDefault="004B4FB7" w:rsidP="004B4FB7">
      <w:pPr>
        <w:spacing w:line="276" w:lineRule="auto"/>
        <w:jc w:val="both"/>
        <w:rPr>
          <w:rFonts w:ascii="Times New Roman" w:hAnsi="Times New Roman" w:cs="Times New Roman"/>
          <w:sz w:val="20"/>
          <w:szCs w:val="20"/>
        </w:rPr>
      </w:pPr>
      <w:r w:rsidRPr="001E65D8">
        <w:rPr>
          <w:rFonts w:ascii="Times New Roman" w:hAnsi="Times New Roman" w:cs="Times New Roman"/>
          <w:b/>
          <w:bCs/>
          <w:sz w:val="20"/>
          <w:szCs w:val="20"/>
        </w:rPr>
        <w:t>Running title:</w:t>
      </w:r>
      <w:r w:rsidRPr="001E65D8">
        <w:rPr>
          <w:rFonts w:ascii="Times New Roman" w:hAnsi="Times New Roman" w:cs="Times New Roman"/>
          <w:sz w:val="20"/>
          <w:szCs w:val="20"/>
        </w:rPr>
        <w:t xml:space="preserve"> STING Beyond Immunity in Breast Cancer</w:t>
      </w:r>
    </w:p>
    <w:p w14:paraId="67986833" w14:textId="77777777" w:rsidR="004B4FB7" w:rsidRPr="001E65D8" w:rsidRDefault="004B4FB7" w:rsidP="004B4FB7">
      <w:pPr>
        <w:spacing w:line="276" w:lineRule="auto"/>
        <w:jc w:val="both"/>
        <w:rPr>
          <w:rFonts w:ascii="Times New Roman" w:hAnsi="Times New Roman" w:cs="Times New Roman"/>
          <w:sz w:val="20"/>
          <w:szCs w:val="20"/>
        </w:rPr>
      </w:pPr>
      <w:r w:rsidRPr="001E65D8">
        <w:rPr>
          <w:rFonts w:ascii="Times New Roman" w:hAnsi="Times New Roman" w:cs="Times New Roman"/>
          <w:b/>
          <w:bCs/>
          <w:sz w:val="20"/>
          <w:szCs w:val="20"/>
        </w:rPr>
        <w:t>Keywords:</w:t>
      </w:r>
      <w:r w:rsidRPr="001E65D8">
        <w:rPr>
          <w:rFonts w:ascii="Times New Roman" w:hAnsi="Times New Roman" w:cs="Times New Roman"/>
          <w:sz w:val="20"/>
          <w:szCs w:val="20"/>
        </w:rPr>
        <w:t xml:space="preserve"> STING, breast cancer, brain metastasis, tumour intrinsic, biomarker </w:t>
      </w:r>
    </w:p>
    <w:p w14:paraId="5CE259B2" w14:textId="77777777" w:rsidR="004B4FB7" w:rsidRPr="001E65D8" w:rsidRDefault="004B4FB7" w:rsidP="004B4FB7">
      <w:pPr>
        <w:spacing w:line="276" w:lineRule="auto"/>
        <w:jc w:val="both"/>
        <w:rPr>
          <w:rFonts w:ascii="Times New Roman" w:hAnsi="Times New Roman" w:cs="Times New Roman"/>
          <w:sz w:val="20"/>
          <w:szCs w:val="20"/>
        </w:rPr>
      </w:pPr>
      <w:r w:rsidRPr="001E65D8">
        <w:rPr>
          <w:rFonts w:ascii="Times New Roman" w:hAnsi="Times New Roman" w:cs="Times New Roman"/>
          <w:b/>
          <w:bCs/>
          <w:sz w:val="20"/>
          <w:szCs w:val="20"/>
        </w:rPr>
        <w:t xml:space="preserve">Conflict of interest statement: </w:t>
      </w:r>
      <w:r w:rsidRPr="001E65D8">
        <w:rPr>
          <w:rFonts w:ascii="Times New Roman" w:hAnsi="Times New Roman" w:cs="Times New Roman"/>
          <w:sz w:val="20"/>
          <w:szCs w:val="20"/>
        </w:rPr>
        <w:t>The authors declare no potential conflicts of interest.</w:t>
      </w:r>
    </w:p>
    <w:p w14:paraId="7D31A843" w14:textId="77777777" w:rsidR="004B4FB7" w:rsidRPr="001E65D8" w:rsidRDefault="004B4FB7" w:rsidP="00877EDF">
      <w:pPr>
        <w:jc w:val="center"/>
        <w:rPr>
          <w:rFonts w:ascii="Times New Roman" w:hAnsi="Times New Roman" w:cs="Times New Roman"/>
          <w:b/>
          <w:bCs/>
          <w:sz w:val="20"/>
          <w:szCs w:val="20"/>
        </w:rPr>
      </w:pPr>
    </w:p>
    <w:p w14:paraId="493C949F" w14:textId="0D61D4E9" w:rsidR="001F3753" w:rsidRPr="001E65D8" w:rsidRDefault="00CC7991" w:rsidP="00877EDF">
      <w:pPr>
        <w:jc w:val="center"/>
        <w:rPr>
          <w:rFonts w:ascii="Times New Roman" w:hAnsi="Times New Roman" w:cs="Times New Roman"/>
          <w:b/>
          <w:bCs/>
          <w:sz w:val="20"/>
          <w:szCs w:val="20"/>
        </w:rPr>
      </w:pPr>
      <w:r w:rsidRPr="001E65D8">
        <w:rPr>
          <w:rFonts w:ascii="Times New Roman" w:hAnsi="Times New Roman" w:cs="Times New Roman"/>
          <w:b/>
          <w:bCs/>
          <w:sz w:val="20"/>
          <w:szCs w:val="20"/>
        </w:rPr>
        <w:t>Supplementary Figures and Tables</w:t>
      </w:r>
    </w:p>
    <w:p w14:paraId="0DC28096" w14:textId="77777777" w:rsidR="001F3753" w:rsidRPr="001E65D8" w:rsidRDefault="001F3753">
      <w:pPr>
        <w:rPr>
          <w:rFonts w:ascii="Times New Roman" w:hAnsi="Times New Roman" w:cs="Times New Roman"/>
          <w:sz w:val="20"/>
          <w:szCs w:val="20"/>
        </w:rPr>
      </w:pPr>
    </w:p>
    <w:p w14:paraId="1941EDB6" w14:textId="4D4240AF" w:rsidR="001F3753" w:rsidRPr="001E65D8" w:rsidRDefault="001F3753">
      <w:pPr>
        <w:rPr>
          <w:rFonts w:ascii="Times New Roman" w:hAnsi="Times New Roman" w:cs="Times New Roman"/>
          <w:sz w:val="20"/>
          <w:szCs w:val="20"/>
        </w:rPr>
      </w:pPr>
      <w:r w:rsidRPr="001E65D8">
        <w:rPr>
          <w:rFonts w:ascii="Times New Roman" w:hAnsi="Times New Roman" w:cs="Times New Roman"/>
          <w:noProof/>
          <w:sz w:val="20"/>
          <w:szCs w:val="20"/>
        </w:rPr>
        <w:drawing>
          <wp:inline distT="0" distB="0" distL="0" distR="0" wp14:anchorId="01B84F12" wp14:editId="2CC8D62B">
            <wp:extent cx="5731510" cy="2867025"/>
            <wp:effectExtent l="0" t="0" r="2540" b="9525"/>
            <wp:docPr id="767305795" name="Picture 3" descr="A screenshot of a graph&#10;&#10;AI-generated content may be incorrect.">
              <a:extLst xmlns:a="http://schemas.openxmlformats.org/drawingml/2006/main">
                <a:ext uri="{FF2B5EF4-FFF2-40B4-BE49-F238E27FC236}">
                  <a16:creationId xmlns:a16="http://schemas.microsoft.com/office/drawing/2014/main" id="{856861D8-8D76-3DBF-D2FE-3EB30222E9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graph&#10;&#10;AI-generated content may be incorrect.">
                      <a:extLst>
                        <a:ext uri="{FF2B5EF4-FFF2-40B4-BE49-F238E27FC236}">
                          <a16:creationId xmlns:a16="http://schemas.microsoft.com/office/drawing/2014/main" id="{856861D8-8D76-3DBF-D2FE-3EB30222E991}"/>
                        </a:ext>
                      </a:extLst>
                    </pic:cNvPr>
                    <pic:cNvPicPr>
                      <a:picLocks noChangeAspect="1"/>
                    </pic:cNvPicPr>
                  </pic:nvPicPr>
                  <pic:blipFill>
                    <a:blip r:embed="rId7"/>
                    <a:stretch>
                      <a:fillRect/>
                    </a:stretch>
                  </pic:blipFill>
                  <pic:spPr>
                    <a:xfrm>
                      <a:off x="0" y="0"/>
                      <a:ext cx="5731510" cy="2867025"/>
                    </a:xfrm>
                    <a:prstGeom prst="rect">
                      <a:avLst/>
                    </a:prstGeom>
                  </pic:spPr>
                </pic:pic>
              </a:graphicData>
            </a:graphic>
          </wp:inline>
        </w:drawing>
      </w:r>
    </w:p>
    <w:p w14:paraId="163337EF" w14:textId="77777777" w:rsidR="001F3753" w:rsidRPr="001E65D8" w:rsidRDefault="001F3753" w:rsidP="001F3753">
      <w:pPr>
        <w:rPr>
          <w:rFonts w:ascii="Times New Roman" w:hAnsi="Times New Roman" w:cs="Times New Roman"/>
          <w:sz w:val="20"/>
          <w:szCs w:val="20"/>
        </w:rPr>
      </w:pPr>
      <w:r w:rsidRPr="001E65D8">
        <w:rPr>
          <w:rFonts w:ascii="Times New Roman" w:hAnsi="Times New Roman" w:cs="Times New Roman"/>
          <w:b/>
          <w:bCs/>
          <w:sz w:val="20"/>
          <w:szCs w:val="20"/>
        </w:rPr>
        <w:t xml:space="preserve">Figure S1. </w:t>
      </w:r>
      <w:r w:rsidRPr="001E65D8">
        <w:rPr>
          <w:rFonts w:ascii="Times New Roman" w:hAnsi="Times New Roman" w:cs="Times New Roman"/>
          <w:b/>
          <w:bCs/>
          <w:i/>
          <w:iCs/>
          <w:sz w:val="20"/>
          <w:szCs w:val="20"/>
        </w:rPr>
        <w:t>TMEM173</w:t>
      </w:r>
      <w:r w:rsidRPr="001E65D8">
        <w:rPr>
          <w:rFonts w:ascii="Times New Roman" w:hAnsi="Times New Roman" w:cs="Times New Roman"/>
          <w:b/>
          <w:bCs/>
          <w:sz w:val="20"/>
          <w:szCs w:val="20"/>
        </w:rPr>
        <w:t xml:space="preserve"> (STING) expression in normal breast and breast cancer tissues across subtypes and stages. (a, b)</w:t>
      </w:r>
      <w:r w:rsidRPr="001E65D8">
        <w:rPr>
          <w:rFonts w:ascii="Times New Roman" w:hAnsi="Times New Roman" w:cs="Times New Roman"/>
          <w:sz w:val="20"/>
          <w:szCs w:val="20"/>
        </w:rPr>
        <w:t xml:space="preserve"> Boxplots of </w:t>
      </w:r>
      <w:r w:rsidRPr="001E65D8">
        <w:rPr>
          <w:rFonts w:ascii="Times New Roman" w:hAnsi="Times New Roman" w:cs="Times New Roman"/>
          <w:i/>
          <w:iCs/>
          <w:sz w:val="20"/>
          <w:szCs w:val="20"/>
        </w:rPr>
        <w:t>TMEM173</w:t>
      </w:r>
      <w:r w:rsidRPr="001E65D8">
        <w:rPr>
          <w:rFonts w:ascii="Times New Roman" w:hAnsi="Times New Roman" w:cs="Times New Roman"/>
          <w:sz w:val="20"/>
          <w:szCs w:val="20"/>
        </w:rPr>
        <w:t xml:space="preserve"> mRNA expression levels in adjacent normal and breast cancer tissues in the invasive breast cancer (BRCA) dataset from The Cancer Genome Atlas (TCGA), including all breast cancer samples combined, as well as per PAM50 subtype </w:t>
      </w:r>
      <w:r w:rsidRPr="001E65D8">
        <w:rPr>
          <w:rFonts w:ascii="Times New Roman" w:hAnsi="Times New Roman" w:cs="Times New Roman"/>
          <w:b/>
          <w:bCs/>
          <w:sz w:val="20"/>
          <w:szCs w:val="20"/>
        </w:rPr>
        <w:t>(a)</w:t>
      </w:r>
      <w:r w:rsidRPr="001E65D8">
        <w:rPr>
          <w:rFonts w:ascii="Times New Roman" w:hAnsi="Times New Roman" w:cs="Times New Roman"/>
          <w:sz w:val="20"/>
          <w:szCs w:val="20"/>
        </w:rPr>
        <w:t xml:space="preserve"> and stage </w:t>
      </w:r>
      <w:r w:rsidRPr="001E65D8">
        <w:rPr>
          <w:rFonts w:ascii="Times New Roman" w:hAnsi="Times New Roman" w:cs="Times New Roman"/>
          <w:b/>
          <w:bCs/>
          <w:sz w:val="20"/>
          <w:szCs w:val="20"/>
        </w:rPr>
        <w:t>(b)</w:t>
      </w:r>
      <w:r w:rsidRPr="001E65D8">
        <w:rPr>
          <w:rFonts w:ascii="Times New Roman" w:hAnsi="Times New Roman" w:cs="Times New Roman"/>
          <w:sz w:val="20"/>
          <w:szCs w:val="20"/>
        </w:rPr>
        <w:t>. Boxplots show medians, interquartile ranges and all individual data points. P values: Mann-Whitney U tests compared to the normal breast tissue group.</w:t>
      </w:r>
    </w:p>
    <w:p w14:paraId="51E11158" w14:textId="77777777" w:rsidR="001F3753" w:rsidRPr="001E65D8" w:rsidRDefault="001F3753">
      <w:pPr>
        <w:rPr>
          <w:rFonts w:ascii="Times New Roman" w:hAnsi="Times New Roman" w:cs="Times New Roman"/>
          <w:sz w:val="20"/>
          <w:szCs w:val="20"/>
        </w:rPr>
      </w:pPr>
    </w:p>
    <w:p w14:paraId="3A1E1EFB" w14:textId="30761261" w:rsidR="001F3753" w:rsidRPr="001E65D8" w:rsidRDefault="00F55BE5">
      <w:pPr>
        <w:rPr>
          <w:rFonts w:ascii="Times New Roman" w:hAnsi="Times New Roman" w:cs="Times New Roman"/>
          <w:sz w:val="20"/>
          <w:szCs w:val="20"/>
        </w:rPr>
      </w:pPr>
      <w:r w:rsidRPr="001E65D8">
        <w:rPr>
          <w:rFonts w:ascii="Times New Roman" w:hAnsi="Times New Roman" w:cs="Times New Roman"/>
          <w:noProof/>
          <w:sz w:val="20"/>
          <w:szCs w:val="20"/>
        </w:rPr>
        <w:drawing>
          <wp:inline distT="0" distB="0" distL="0" distR="0" wp14:anchorId="6105BE7D" wp14:editId="005BB330">
            <wp:extent cx="6076502" cy="5456418"/>
            <wp:effectExtent l="0" t="0" r="635" b="0"/>
            <wp:docPr id="2828123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737" cy="5458425"/>
                    </a:xfrm>
                    <a:prstGeom prst="rect">
                      <a:avLst/>
                    </a:prstGeom>
                    <a:noFill/>
                  </pic:spPr>
                </pic:pic>
              </a:graphicData>
            </a:graphic>
          </wp:inline>
        </w:drawing>
      </w:r>
    </w:p>
    <w:p w14:paraId="6F6ACA87" w14:textId="0198497B" w:rsidR="00F55BE5" w:rsidRPr="001E65D8" w:rsidRDefault="00F55BE5">
      <w:pPr>
        <w:rPr>
          <w:rFonts w:ascii="Times New Roman" w:hAnsi="Times New Roman" w:cs="Times New Roman"/>
          <w:sz w:val="20"/>
          <w:szCs w:val="20"/>
        </w:rPr>
      </w:pPr>
      <w:r w:rsidRPr="001E65D8">
        <w:rPr>
          <w:rFonts w:ascii="Times New Roman" w:hAnsi="Times New Roman" w:cs="Times New Roman"/>
          <w:b/>
          <w:bCs/>
          <w:sz w:val="20"/>
          <w:szCs w:val="20"/>
        </w:rPr>
        <w:t>Figure S</w:t>
      </w:r>
      <w:r w:rsidR="001F3753" w:rsidRPr="001E65D8">
        <w:rPr>
          <w:rFonts w:ascii="Times New Roman" w:hAnsi="Times New Roman" w:cs="Times New Roman"/>
          <w:b/>
          <w:bCs/>
          <w:sz w:val="20"/>
          <w:szCs w:val="20"/>
        </w:rPr>
        <w:t>2</w:t>
      </w:r>
      <w:r w:rsidRPr="001E65D8">
        <w:rPr>
          <w:rFonts w:ascii="Times New Roman" w:hAnsi="Times New Roman" w:cs="Times New Roman"/>
          <w:b/>
          <w:bCs/>
          <w:sz w:val="20"/>
          <w:szCs w:val="20"/>
        </w:rPr>
        <w:t>. STING expression in breast tumours in the QFU cohort. (a)</w:t>
      </w:r>
      <w:r w:rsidRPr="001E65D8">
        <w:rPr>
          <w:rFonts w:ascii="Times New Roman" w:hAnsi="Times New Roman" w:cs="Times New Roman"/>
          <w:sz w:val="20"/>
          <w:szCs w:val="20"/>
        </w:rPr>
        <w:t xml:space="preserve"> Breakdown of STING expression with 77% of the breast tumours in the QFU cohort stained positive for STING (n = 269 of 347).  </w:t>
      </w:r>
      <w:r w:rsidRPr="001E65D8">
        <w:rPr>
          <w:rFonts w:ascii="Times New Roman" w:hAnsi="Times New Roman" w:cs="Times New Roman"/>
          <w:b/>
          <w:bCs/>
          <w:sz w:val="20"/>
          <w:szCs w:val="20"/>
        </w:rPr>
        <w:t>(b)</w:t>
      </w:r>
      <w:r w:rsidRPr="001E65D8">
        <w:rPr>
          <w:rFonts w:ascii="Times New Roman" w:hAnsi="Times New Roman" w:cs="Times New Roman"/>
          <w:sz w:val="20"/>
          <w:szCs w:val="20"/>
        </w:rPr>
        <w:t xml:space="preserve"> Chi-square analysis of the proportion of breast cancer histological subtypes with negative, or positive STING expression. </w:t>
      </w:r>
      <w:r w:rsidRPr="001E65D8">
        <w:rPr>
          <w:rFonts w:ascii="Times New Roman" w:hAnsi="Times New Roman" w:cs="Times New Roman"/>
          <w:b/>
          <w:bCs/>
          <w:sz w:val="20"/>
          <w:szCs w:val="20"/>
        </w:rPr>
        <w:t>(c)</w:t>
      </w:r>
      <w:r w:rsidRPr="001E65D8">
        <w:rPr>
          <w:rFonts w:ascii="Times New Roman" w:hAnsi="Times New Roman" w:cs="Times New Roman"/>
          <w:sz w:val="20"/>
          <w:szCs w:val="20"/>
        </w:rPr>
        <w:t xml:space="preserve"> Kaplan–Meier (KM) analysis of STING expression and 30-year BCSS. </w:t>
      </w:r>
      <w:r w:rsidRPr="001E65D8">
        <w:rPr>
          <w:rFonts w:ascii="Times New Roman" w:hAnsi="Times New Roman" w:cs="Times New Roman"/>
          <w:b/>
          <w:bCs/>
          <w:sz w:val="20"/>
          <w:szCs w:val="20"/>
        </w:rPr>
        <w:t>(d)</w:t>
      </w:r>
      <w:r w:rsidRPr="001E65D8">
        <w:rPr>
          <w:rFonts w:ascii="Times New Roman" w:hAnsi="Times New Roman" w:cs="Times New Roman"/>
          <w:sz w:val="20"/>
          <w:szCs w:val="20"/>
        </w:rPr>
        <w:t xml:space="preserve"> Chi-square analysis of the proportion of breast cancer prognostic subtypes (ER+, HER2+, and TNBC) with negative or positive STING expression. </w:t>
      </w:r>
      <w:r w:rsidRPr="001E65D8">
        <w:rPr>
          <w:rFonts w:ascii="Times New Roman" w:hAnsi="Times New Roman" w:cs="Times New Roman"/>
          <w:b/>
          <w:bCs/>
          <w:sz w:val="20"/>
          <w:szCs w:val="20"/>
        </w:rPr>
        <w:t>(e-f)</w:t>
      </w:r>
      <w:r w:rsidRPr="001E65D8">
        <w:rPr>
          <w:rFonts w:ascii="Times New Roman" w:hAnsi="Times New Roman" w:cs="Times New Roman"/>
          <w:sz w:val="20"/>
          <w:szCs w:val="20"/>
        </w:rPr>
        <w:t xml:space="preserve"> Kaplan–Meier (KM) analysis of STING expression and 30-year BCSS across ER </w:t>
      </w:r>
      <w:r w:rsidRPr="001E65D8">
        <w:rPr>
          <w:rFonts w:ascii="Times New Roman" w:hAnsi="Times New Roman" w:cs="Times New Roman"/>
          <w:b/>
          <w:bCs/>
          <w:sz w:val="20"/>
          <w:szCs w:val="20"/>
        </w:rPr>
        <w:t>(e)</w:t>
      </w:r>
      <w:r w:rsidRPr="001E65D8">
        <w:rPr>
          <w:rFonts w:ascii="Times New Roman" w:hAnsi="Times New Roman" w:cs="Times New Roman"/>
          <w:sz w:val="20"/>
          <w:szCs w:val="20"/>
        </w:rPr>
        <w:t xml:space="preserve">, HER2 </w:t>
      </w:r>
      <w:r w:rsidRPr="001E65D8">
        <w:rPr>
          <w:rFonts w:ascii="Times New Roman" w:hAnsi="Times New Roman" w:cs="Times New Roman"/>
          <w:b/>
          <w:bCs/>
          <w:sz w:val="20"/>
          <w:szCs w:val="20"/>
        </w:rPr>
        <w:t>(f)</w:t>
      </w:r>
      <w:r w:rsidRPr="001E65D8">
        <w:rPr>
          <w:rFonts w:ascii="Times New Roman" w:hAnsi="Times New Roman" w:cs="Times New Roman"/>
          <w:sz w:val="20"/>
          <w:szCs w:val="20"/>
        </w:rPr>
        <w:t xml:space="preserve"> and TNBC </w:t>
      </w:r>
      <w:r w:rsidRPr="001E65D8">
        <w:rPr>
          <w:rFonts w:ascii="Times New Roman" w:hAnsi="Times New Roman" w:cs="Times New Roman"/>
          <w:b/>
          <w:bCs/>
          <w:sz w:val="20"/>
          <w:szCs w:val="20"/>
        </w:rPr>
        <w:t>(g)</w:t>
      </w:r>
      <w:r w:rsidRPr="001E65D8">
        <w:rPr>
          <w:rFonts w:ascii="Times New Roman" w:hAnsi="Times New Roman" w:cs="Times New Roman"/>
          <w:sz w:val="20"/>
          <w:szCs w:val="20"/>
        </w:rPr>
        <w:t xml:space="preserve">. </w:t>
      </w:r>
      <w:r w:rsidRPr="001E65D8">
        <w:rPr>
          <w:rFonts w:ascii="Times New Roman" w:hAnsi="Times New Roman" w:cs="Times New Roman"/>
          <w:b/>
          <w:bCs/>
          <w:sz w:val="20"/>
          <w:szCs w:val="20"/>
        </w:rPr>
        <w:t>(h)</w:t>
      </w:r>
      <w:r w:rsidRPr="001E65D8">
        <w:rPr>
          <w:rFonts w:ascii="Times New Roman" w:hAnsi="Times New Roman" w:cs="Times New Roman"/>
          <w:sz w:val="20"/>
          <w:szCs w:val="20"/>
        </w:rPr>
        <w:t xml:space="preserve"> Chi-square analysis of the proportion of breast cancer cases with positive and negative STING expression compared across tumour grades. </w:t>
      </w:r>
      <w:r w:rsidRPr="001E65D8">
        <w:rPr>
          <w:rFonts w:ascii="Times New Roman" w:hAnsi="Times New Roman" w:cs="Times New Roman"/>
          <w:b/>
          <w:bCs/>
          <w:sz w:val="20"/>
          <w:szCs w:val="20"/>
        </w:rPr>
        <w:t>(i-j)</w:t>
      </w:r>
      <w:r w:rsidRPr="001E65D8">
        <w:rPr>
          <w:rFonts w:ascii="Times New Roman" w:hAnsi="Times New Roman" w:cs="Times New Roman"/>
          <w:sz w:val="20"/>
          <w:szCs w:val="20"/>
        </w:rPr>
        <w:t xml:space="preserve"> Kaplan–Meier (KM) analysis of STING expression and 30-year BCSS across Grade 1 and 2 </w:t>
      </w:r>
      <w:r w:rsidRPr="001E65D8">
        <w:rPr>
          <w:rFonts w:ascii="Times New Roman" w:hAnsi="Times New Roman" w:cs="Times New Roman"/>
          <w:b/>
          <w:bCs/>
          <w:sz w:val="20"/>
          <w:szCs w:val="20"/>
        </w:rPr>
        <w:t>(i)</w:t>
      </w:r>
      <w:r w:rsidRPr="001E65D8">
        <w:rPr>
          <w:rFonts w:ascii="Times New Roman" w:hAnsi="Times New Roman" w:cs="Times New Roman"/>
          <w:sz w:val="20"/>
          <w:szCs w:val="20"/>
        </w:rPr>
        <w:t xml:space="preserve">, and Grade 3 </w:t>
      </w:r>
      <w:r w:rsidRPr="001E65D8">
        <w:rPr>
          <w:rFonts w:ascii="Times New Roman" w:hAnsi="Times New Roman" w:cs="Times New Roman"/>
          <w:b/>
          <w:bCs/>
          <w:sz w:val="20"/>
          <w:szCs w:val="20"/>
        </w:rPr>
        <w:t>(j)</w:t>
      </w:r>
      <w:r w:rsidRPr="001E65D8">
        <w:rPr>
          <w:rFonts w:ascii="Times New Roman" w:hAnsi="Times New Roman" w:cs="Times New Roman"/>
          <w:sz w:val="20"/>
          <w:szCs w:val="20"/>
        </w:rPr>
        <w:t xml:space="preserve">. </w:t>
      </w:r>
      <w:r w:rsidR="00A603B6" w:rsidRPr="001E65D8">
        <w:rPr>
          <w:rFonts w:ascii="Times New Roman" w:hAnsi="Times New Roman" w:cs="Times New Roman"/>
          <w:sz w:val="20"/>
          <w:szCs w:val="20"/>
        </w:rPr>
        <w:br/>
      </w:r>
      <w:r w:rsidRPr="001E65D8">
        <w:rPr>
          <w:rFonts w:ascii="Times New Roman" w:hAnsi="Times New Roman" w:cs="Times New Roman"/>
          <w:sz w:val="20"/>
          <w:szCs w:val="20"/>
        </w:rPr>
        <w:t>BC, breast cancer; BCSS, breast cancer specific survival; ER+, oestrogen receptor; HER2+, human epidermal growth factor receptor 2; IC-NST, invasive carcinoma of no special type; TNBC, triple negative breast cancer.</w:t>
      </w:r>
    </w:p>
    <w:p w14:paraId="7D8905B3" w14:textId="5B5AF504" w:rsidR="00F55BE5" w:rsidRPr="001E65D8" w:rsidRDefault="002F3D95">
      <w:pPr>
        <w:rPr>
          <w:rFonts w:ascii="Times New Roman" w:hAnsi="Times New Roman" w:cs="Times New Roman"/>
          <w:sz w:val="20"/>
          <w:szCs w:val="20"/>
        </w:rPr>
      </w:pPr>
      <w:r w:rsidRPr="001E65D8">
        <w:rPr>
          <w:rFonts w:ascii="Times New Roman" w:hAnsi="Times New Roman" w:cs="Times New Roman"/>
          <w:noProof/>
          <w:sz w:val="20"/>
          <w:szCs w:val="20"/>
        </w:rPr>
        <w:lastRenderedPageBreak/>
        <w:drawing>
          <wp:inline distT="0" distB="0" distL="0" distR="0" wp14:anchorId="181A707C" wp14:editId="7E746893">
            <wp:extent cx="6454204" cy="2976113"/>
            <wp:effectExtent l="0" t="0" r="3810" b="0"/>
            <wp:docPr id="119580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465709" cy="2981418"/>
                    </a:xfrm>
                    <a:prstGeom prst="rect">
                      <a:avLst/>
                    </a:prstGeom>
                    <a:noFill/>
                    <a:ln>
                      <a:noFill/>
                    </a:ln>
                  </pic:spPr>
                </pic:pic>
              </a:graphicData>
            </a:graphic>
          </wp:inline>
        </w:drawing>
      </w:r>
    </w:p>
    <w:p w14:paraId="6AB1811F" w14:textId="752D0CD3" w:rsidR="00F55BE5" w:rsidRPr="001E65D8" w:rsidRDefault="00F55BE5" w:rsidP="00F55BE5">
      <w:pPr>
        <w:rPr>
          <w:rFonts w:ascii="Times New Roman" w:hAnsi="Times New Roman" w:cs="Times New Roman"/>
          <w:sz w:val="20"/>
          <w:szCs w:val="20"/>
        </w:rPr>
      </w:pPr>
      <w:r w:rsidRPr="001E65D8">
        <w:rPr>
          <w:rFonts w:ascii="Times New Roman" w:hAnsi="Times New Roman" w:cs="Times New Roman"/>
          <w:b/>
          <w:bCs/>
          <w:sz w:val="20"/>
          <w:szCs w:val="20"/>
        </w:rPr>
        <w:t>Figure S</w:t>
      </w:r>
      <w:r w:rsidR="002F3D95" w:rsidRPr="001E65D8">
        <w:rPr>
          <w:rFonts w:ascii="Times New Roman" w:hAnsi="Times New Roman" w:cs="Times New Roman"/>
          <w:b/>
          <w:bCs/>
          <w:sz w:val="20"/>
          <w:szCs w:val="20"/>
        </w:rPr>
        <w:t>3</w:t>
      </w:r>
      <w:r w:rsidRPr="001E65D8">
        <w:rPr>
          <w:rFonts w:ascii="Times New Roman" w:hAnsi="Times New Roman" w:cs="Times New Roman"/>
          <w:b/>
          <w:bCs/>
          <w:sz w:val="20"/>
          <w:szCs w:val="20"/>
        </w:rPr>
        <w:t>.</w:t>
      </w:r>
      <w:r w:rsidRPr="001E65D8">
        <w:rPr>
          <w:rFonts w:ascii="Times New Roman" w:hAnsi="Times New Roman" w:cs="Times New Roman"/>
          <w:sz w:val="20"/>
          <w:szCs w:val="20"/>
        </w:rPr>
        <w:t xml:space="preserve"> </w:t>
      </w:r>
      <w:r w:rsidRPr="001E65D8">
        <w:rPr>
          <w:rFonts w:ascii="Times New Roman" w:hAnsi="Times New Roman" w:cs="Times New Roman"/>
          <w:b/>
          <w:bCs/>
          <w:sz w:val="20"/>
          <w:szCs w:val="20"/>
        </w:rPr>
        <w:t>pSTING expression and lymphocytic infiltration and tumour infiltrating lymphocytes in the QFU cohort. (a)</w:t>
      </w:r>
      <w:r w:rsidRPr="001E65D8">
        <w:rPr>
          <w:rFonts w:ascii="Times New Roman" w:hAnsi="Times New Roman" w:cs="Times New Roman"/>
          <w:sz w:val="20"/>
          <w:szCs w:val="20"/>
        </w:rPr>
        <w:t xml:space="preserve"> Chi-square analysis of lymphocytic infiltration (LI) in all </w:t>
      </w:r>
      <w:r w:rsidR="002F3D95" w:rsidRPr="001E65D8">
        <w:rPr>
          <w:rFonts w:ascii="Times New Roman" w:hAnsi="Times New Roman" w:cs="Times New Roman"/>
          <w:sz w:val="20"/>
          <w:szCs w:val="20"/>
        </w:rPr>
        <w:t>tumours</w:t>
      </w:r>
      <w:r w:rsidRPr="001E65D8">
        <w:rPr>
          <w:rFonts w:ascii="Times New Roman" w:hAnsi="Times New Roman" w:cs="Times New Roman"/>
          <w:sz w:val="20"/>
          <w:szCs w:val="20"/>
        </w:rPr>
        <w:t xml:space="preserve"> as well as ER+ only, HER2+ only, and TNBC only. </w:t>
      </w:r>
      <w:r w:rsidRPr="001E65D8">
        <w:rPr>
          <w:rFonts w:ascii="Times New Roman" w:hAnsi="Times New Roman" w:cs="Times New Roman"/>
          <w:b/>
          <w:bCs/>
          <w:sz w:val="20"/>
          <w:szCs w:val="20"/>
        </w:rPr>
        <w:t>(b)</w:t>
      </w:r>
      <w:r w:rsidRPr="001E65D8">
        <w:rPr>
          <w:rFonts w:ascii="Times New Roman" w:hAnsi="Times New Roman" w:cs="Times New Roman"/>
          <w:sz w:val="20"/>
          <w:szCs w:val="20"/>
        </w:rPr>
        <w:t xml:space="preserve"> Chi-square analysis of tumour infiltrating lymphocytes (TILS) in all tumour</w:t>
      </w:r>
      <w:r w:rsidR="002F3D95" w:rsidRPr="001E65D8">
        <w:rPr>
          <w:rFonts w:ascii="Times New Roman" w:hAnsi="Times New Roman" w:cs="Times New Roman"/>
          <w:sz w:val="20"/>
          <w:szCs w:val="20"/>
        </w:rPr>
        <w:t xml:space="preserve">s </w:t>
      </w:r>
      <w:r w:rsidRPr="001E65D8">
        <w:rPr>
          <w:rFonts w:ascii="Times New Roman" w:hAnsi="Times New Roman" w:cs="Times New Roman"/>
          <w:sz w:val="20"/>
          <w:szCs w:val="20"/>
        </w:rPr>
        <w:t xml:space="preserve">as well as HER2+ only, and TNBC only. </w:t>
      </w:r>
      <w:r w:rsidR="00A603B6" w:rsidRPr="001E65D8">
        <w:rPr>
          <w:rFonts w:ascii="Times New Roman" w:hAnsi="Times New Roman" w:cs="Times New Roman"/>
          <w:sz w:val="20"/>
          <w:szCs w:val="20"/>
        </w:rPr>
        <w:br/>
      </w:r>
      <w:r w:rsidRPr="001E65D8">
        <w:rPr>
          <w:rFonts w:ascii="Times New Roman" w:hAnsi="Times New Roman" w:cs="Times New Roman"/>
          <w:sz w:val="20"/>
          <w:szCs w:val="20"/>
        </w:rPr>
        <w:t>BC, breast cancer; ER+, oestrogen receptor; HER2+, human epidermal growth factor receptor 2; LI, lymphocytic infiltration; TILs, tumour infiltrating lymphocytes; TNBC, triple negative breast cancer.</w:t>
      </w:r>
    </w:p>
    <w:p w14:paraId="328BB9D8" w14:textId="0E5B23CA" w:rsidR="00F55BE5" w:rsidRPr="001E65D8" w:rsidRDefault="001B2E57" w:rsidP="00F55BE5">
      <w:pPr>
        <w:rPr>
          <w:rFonts w:ascii="Times New Roman" w:hAnsi="Times New Roman" w:cs="Times New Roman"/>
          <w:sz w:val="20"/>
          <w:szCs w:val="20"/>
        </w:rPr>
      </w:pPr>
      <w:r w:rsidRPr="001E65D8">
        <w:rPr>
          <w:rFonts w:ascii="Times New Roman" w:hAnsi="Times New Roman" w:cs="Times New Roman"/>
          <w:noProof/>
          <w:sz w:val="20"/>
          <w:szCs w:val="20"/>
        </w:rPr>
        <w:lastRenderedPageBreak/>
        <w:drawing>
          <wp:inline distT="0" distB="0" distL="0" distR="0" wp14:anchorId="54FD4E7E" wp14:editId="3AB68C7E">
            <wp:extent cx="4795220" cy="5704786"/>
            <wp:effectExtent l="0" t="0" r="0" b="0"/>
            <wp:docPr id="1480599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00817" cy="5711445"/>
                    </a:xfrm>
                    <a:prstGeom prst="rect">
                      <a:avLst/>
                    </a:prstGeom>
                    <a:noFill/>
                  </pic:spPr>
                </pic:pic>
              </a:graphicData>
            </a:graphic>
          </wp:inline>
        </w:drawing>
      </w:r>
    </w:p>
    <w:p w14:paraId="0BACC914" w14:textId="0536188C" w:rsidR="00F55BE5" w:rsidRPr="001E65D8" w:rsidRDefault="00F55BE5" w:rsidP="00F55BE5">
      <w:pPr>
        <w:rPr>
          <w:rFonts w:ascii="Times New Roman" w:hAnsi="Times New Roman" w:cs="Times New Roman"/>
          <w:sz w:val="20"/>
          <w:szCs w:val="20"/>
        </w:rPr>
      </w:pPr>
    </w:p>
    <w:p w14:paraId="573219EE" w14:textId="12697161" w:rsidR="00F55BE5" w:rsidRPr="001E65D8" w:rsidRDefault="00F55BE5" w:rsidP="00F55BE5">
      <w:pPr>
        <w:rPr>
          <w:rFonts w:ascii="Times New Roman" w:hAnsi="Times New Roman" w:cs="Times New Roman"/>
          <w:sz w:val="20"/>
          <w:szCs w:val="20"/>
        </w:rPr>
      </w:pPr>
      <w:r w:rsidRPr="001E65D8">
        <w:rPr>
          <w:rFonts w:ascii="Times New Roman" w:hAnsi="Times New Roman" w:cs="Times New Roman"/>
          <w:b/>
          <w:bCs/>
          <w:sz w:val="20"/>
          <w:szCs w:val="20"/>
        </w:rPr>
        <w:t>Figure S</w:t>
      </w:r>
      <w:r w:rsidR="002F3D95" w:rsidRPr="001E65D8">
        <w:rPr>
          <w:rFonts w:ascii="Times New Roman" w:hAnsi="Times New Roman" w:cs="Times New Roman"/>
          <w:b/>
          <w:bCs/>
          <w:sz w:val="20"/>
          <w:szCs w:val="20"/>
        </w:rPr>
        <w:t>4</w:t>
      </w:r>
      <w:r w:rsidRPr="001E65D8">
        <w:rPr>
          <w:rFonts w:ascii="Times New Roman" w:hAnsi="Times New Roman" w:cs="Times New Roman"/>
          <w:b/>
          <w:bCs/>
          <w:sz w:val="20"/>
          <w:szCs w:val="20"/>
        </w:rPr>
        <w:t>. Survival analysis of pSTING expression in BC and BrM. (a)</w:t>
      </w:r>
      <w:r w:rsidRPr="001E65D8">
        <w:rPr>
          <w:rFonts w:ascii="Times New Roman" w:hAnsi="Times New Roman" w:cs="Times New Roman"/>
          <w:sz w:val="20"/>
          <w:szCs w:val="20"/>
        </w:rPr>
        <w:t xml:space="preserve"> KM analysis of pSTING expression and BCSS in BC tumours. KM analysis of pSTING expression and BrMSS in </w:t>
      </w:r>
      <w:r w:rsidRPr="001E65D8">
        <w:rPr>
          <w:rFonts w:ascii="Times New Roman" w:hAnsi="Times New Roman" w:cs="Times New Roman"/>
          <w:b/>
          <w:bCs/>
          <w:sz w:val="20"/>
          <w:szCs w:val="20"/>
        </w:rPr>
        <w:t xml:space="preserve">(b) </w:t>
      </w:r>
      <w:r w:rsidRPr="001E65D8">
        <w:rPr>
          <w:rFonts w:ascii="Times New Roman" w:hAnsi="Times New Roman" w:cs="Times New Roman"/>
          <w:sz w:val="20"/>
          <w:szCs w:val="20"/>
        </w:rPr>
        <w:t xml:space="preserve">BC tumours and </w:t>
      </w:r>
      <w:r w:rsidRPr="001E65D8">
        <w:rPr>
          <w:rFonts w:ascii="Times New Roman" w:hAnsi="Times New Roman" w:cs="Times New Roman"/>
          <w:b/>
          <w:bCs/>
          <w:sz w:val="20"/>
          <w:szCs w:val="20"/>
        </w:rPr>
        <w:t>(c)</w:t>
      </w:r>
      <w:r w:rsidRPr="001E65D8">
        <w:rPr>
          <w:rFonts w:ascii="Times New Roman" w:hAnsi="Times New Roman" w:cs="Times New Roman"/>
          <w:sz w:val="20"/>
          <w:szCs w:val="20"/>
        </w:rPr>
        <w:t xml:space="preserve"> BrM tumours. KM analysis of pSTING expression and BrMSS in BrM tumours. KM analysis of pSTING expression and BCSS in BC cases compared across hormone receptor subtypes- </w:t>
      </w:r>
      <w:r w:rsidRPr="001E65D8">
        <w:rPr>
          <w:rFonts w:ascii="Times New Roman" w:hAnsi="Times New Roman" w:cs="Times New Roman"/>
          <w:b/>
          <w:bCs/>
          <w:sz w:val="20"/>
          <w:szCs w:val="20"/>
        </w:rPr>
        <w:t xml:space="preserve">(d) </w:t>
      </w:r>
      <w:r w:rsidRPr="001E65D8">
        <w:rPr>
          <w:rFonts w:ascii="Times New Roman" w:hAnsi="Times New Roman" w:cs="Times New Roman"/>
          <w:sz w:val="20"/>
          <w:szCs w:val="20"/>
        </w:rPr>
        <w:t xml:space="preserve">ER+; </w:t>
      </w:r>
      <w:r w:rsidRPr="001E65D8">
        <w:rPr>
          <w:rFonts w:ascii="Times New Roman" w:hAnsi="Times New Roman" w:cs="Times New Roman"/>
          <w:b/>
          <w:bCs/>
          <w:sz w:val="20"/>
          <w:szCs w:val="20"/>
        </w:rPr>
        <w:t xml:space="preserve">(e) </w:t>
      </w:r>
      <w:r w:rsidRPr="001E65D8">
        <w:rPr>
          <w:rFonts w:ascii="Times New Roman" w:hAnsi="Times New Roman" w:cs="Times New Roman"/>
          <w:sz w:val="20"/>
          <w:szCs w:val="20"/>
        </w:rPr>
        <w:t xml:space="preserve">HER2+; </w:t>
      </w:r>
      <w:r w:rsidRPr="001E65D8">
        <w:rPr>
          <w:rFonts w:ascii="Times New Roman" w:hAnsi="Times New Roman" w:cs="Times New Roman"/>
          <w:b/>
          <w:bCs/>
          <w:sz w:val="20"/>
          <w:szCs w:val="20"/>
        </w:rPr>
        <w:t xml:space="preserve">(f) </w:t>
      </w:r>
      <w:r w:rsidRPr="001E65D8">
        <w:rPr>
          <w:rFonts w:ascii="Times New Roman" w:hAnsi="Times New Roman" w:cs="Times New Roman"/>
          <w:sz w:val="20"/>
          <w:szCs w:val="20"/>
        </w:rPr>
        <w:t xml:space="preserve">TNBC. KM analysis of STING expression and BrMSS in BC cases compared across hormone receptor subtypes- </w:t>
      </w:r>
      <w:r w:rsidRPr="001E65D8">
        <w:rPr>
          <w:rFonts w:ascii="Times New Roman" w:hAnsi="Times New Roman" w:cs="Times New Roman"/>
          <w:b/>
          <w:bCs/>
          <w:sz w:val="20"/>
          <w:szCs w:val="20"/>
        </w:rPr>
        <w:t xml:space="preserve">(g) </w:t>
      </w:r>
      <w:r w:rsidRPr="001E65D8">
        <w:rPr>
          <w:rFonts w:ascii="Times New Roman" w:hAnsi="Times New Roman" w:cs="Times New Roman"/>
          <w:sz w:val="20"/>
          <w:szCs w:val="20"/>
        </w:rPr>
        <w:t xml:space="preserve">ER+; </w:t>
      </w:r>
      <w:r w:rsidRPr="001E65D8">
        <w:rPr>
          <w:rFonts w:ascii="Times New Roman" w:hAnsi="Times New Roman" w:cs="Times New Roman"/>
          <w:b/>
          <w:bCs/>
          <w:sz w:val="20"/>
          <w:szCs w:val="20"/>
        </w:rPr>
        <w:t>(h) H</w:t>
      </w:r>
      <w:r w:rsidRPr="001E65D8">
        <w:rPr>
          <w:rFonts w:ascii="Times New Roman" w:hAnsi="Times New Roman" w:cs="Times New Roman"/>
          <w:sz w:val="20"/>
          <w:szCs w:val="20"/>
        </w:rPr>
        <w:t xml:space="preserve">ER2+; </w:t>
      </w:r>
      <w:r w:rsidRPr="001E65D8">
        <w:rPr>
          <w:rFonts w:ascii="Times New Roman" w:hAnsi="Times New Roman" w:cs="Times New Roman"/>
          <w:b/>
          <w:bCs/>
          <w:sz w:val="20"/>
          <w:szCs w:val="20"/>
        </w:rPr>
        <w:t xml:space="preserve">(i) </w:t>
      </w:r>
      <w:r w:rsidRPr="001E65D8">
        <w:rPr>
          <w:rFonts w:ascii="Times New Roman" w:hAnsi="Times New Roman" w:cs="Times New Roman"/>
          <w:sz w:val="20"/>
          <w:szCs w:val="20"/>
        </w:rPr>
        <w:t xml:space="preserve">TNBC.  KM analysis of pSTING expression and BrMSS in BrM cases compared across hormone receptor subtypes- </w:t>
      </w:r>
      <w:r w:rsidRPr="001E65D8">
        <w:rPr>
          <w:rFonts w:ascii="Times New Roman" w:hAnsi="Times New Roman" w:cs="Times New Roman"/>
          <w:b/>
          <w:bCs/>
          <w:sz w:val="20"/>
          <w:szCs w:val="20"/>
        </w:rPr>
        <w:t xml:space="preserve">(j) </w:t>
      </w:r>
      <w:r w:rsidRPr="001E65D8">
        <w:rPr>
          <w:rFonts w:ascii="Times New Roman" w:hAnsi="Times New Roman" w:cs="Times New Roman"/>
          <w:sz w:val="20"/>
          <w:szCs w:val="20"/>
        </w:rPr>
        <w:t xml:space="preserve">ER+; </w:t>
      </w:r>
      <w:r w:rsidRPr="001E65D8">
        <w:rPr>
          <w:rFonts w:ascii="Times New Roman" w:hAnsi="Times New Roman" w:cs="Times New Roman"/>
          <w:b/>
          <w:bCs/>
          <w:sz w:val="20"/>
          <w:szCs w:val="20"/>
        </w:rPr>
        <w:t xml:space="preserve">(k) </w:t>
      </w:r>
      <w:r w:rsidRPr="001E65D8">
        <w:rPr>
          <w:rFonts w:ascii="Times New Roman" w:hAnsi="Times New Roman" w:cs="Times New Roman"/>
          <w:sz w:val="20"/>
          <w:szCs w:val="20"/>
        </w:rPr>
        <w:t xml:space="preserve">HER2+; </w:t>
      </w:r>
      <w:r w:rsidRPr="001E65D8">
        <w:rPr>
          <w:rFonts w:ascii="Times New Roman" w:hAnsi="Times New Roman" w:cs="Times New Roman"/>
          <w:b/>
          <w:bCs/>
          <w:sz w:val="20"/>
          <w:szCs w:val="20"/>
        </w:rPr>
        <w:t xml:space="preserve">(l) </w:t>
      </w:r>
      <w:r w:rsidRPr="001E65D8">
        <w:rPr>
          <w:rFonts w:ascii="Times New Roman" w:hAnsi="Times New Roman" w:cs="Times New Roman"/>
          <w:sz w:val="20"/>
          <w:szCs w:val="20"/>
        </w:rPr>
        <w:t xml:space="preserve">TNBC. </w:t>
      </w:r>
      <w:r w:rsidR="00A603B6" w:rsidRPr="001E65D8">
        <w:rPr>
          <w:rFonts w:ascii="Times New Roman" w:hAnsi="Times New Roman" w:cs="Times New Roman"/>
          <w:sz w:val="20"/>
          <w:szCs w:val="20"/>
        </w:rPr>
        <w:br/>
      </w:r>
      <w:r w:rsidRPr="001E65D8">
        <w:rPr>
          <w:rFonts w:ascii="Times New Roman" w:hAnsi="Times New Roman" w:cs="Times New Roman"/>
          <w:sz w:val="20"/>
          <w:szCs w:val="20"/>
        </w:rPr>
        <w:t xml:space="preserve">BCSS, Breast cancer specific survival; BrMSS, Brain metastasis specific survival; KM, Kaplan Meier; ER+, oestrogen receptor; HER2+, Human epidermal growth factor receptor 2; TNBC, triple negative breast cancer </w:t>
      </w:r>
    </w:p>
    <w:p w14:paraId="1CC9B7AD" w14:textId="77777777" w:rsidR="00F55BE5" w:rsidRPr="001E65D8" w:rsidRDefault="00F55BE5" w:rsidP="00F55BE5">
      <w:pPr>
        <w:rPr>
          <w:rFonts w:ascii="Times New Roman" w:hAnsi="Times New Roman" w:cs="Times New Roman"/>
          <w:sz w:val="20"/>
          <w:szCs w:val="20"/>
        </w:rPr>
      </w:pPr>
    </w:p>
    <w:p w14:paraId="24EFB8BE" w14:textId="77777777" w:rsidR="00F55BE5" w:rsidRPr="001E65D8" w:rsidRDefault="00F55BE5" w:rsidP="00F55BE5">
      <w:pPr>
        <w:rPr>
          <w:rFonts w:ascii="Times New Roman" w:hAnsi="Times New Roman" w:cs="Times New Roman"/>
          <w:sz w:val="20"/>
          <w:szCs w:val="20"/>
        </w:rPr>
      </w:pPr>
    </w:p>
    <w:p w14:paraId="5C21CC57" w14:textId="4DF0D7F6" w:rsidR="00F55BE5" w:rsidRPr="001E65D8" w:rsidRDefault="00F55BE5" w:rsidP="00F55BE5">
      <w:pPr>
        <w:rPr>
          <w:rFonts w:ascii="Times New Roman" w:hAnsi="Times New Roman" w:cs="Times New Roman"/>
          <w:sz w:val="20"/>
          <w:szCs w:val="20"/>
        </w:rPr>
      </w:pPr>
      <w:r w:rsidRPr="001E65D8">
        <w:rPr>
          <w:rFonts w:ascii="Times New Roman" w:hAnsi="Times New Roman" w:cs="Times New Roman"/>
          <w:noProof/>
          <w:sz w:val="20"/>
          <w:szCs w:val="20"/>
        </w:rPr>
        <w:lastRenderedPageBreak/>
        <w:drawing>
          <wp:inline distT="0" distB="0" distL="0" distR="0" wp14:anchorId="2B99E697" wp14:editId="2038C970">
            <wp:extent cx="5731510" cy="3827145"/>
            <wp:effectExtent l="0" t="0" r="0" b="0"/>
            <wp:docPr id="4" name="Picture 3">
              <a:extLst xmlns:a="http://schemas.openxmlformats.org/drawingml/2006/main">
                <a:ext uri="{FF2B5EF4-FFF2-40B4-BE49-F238E27FC236}">
                  <a16:creationId xmlns:a16="http://schemas.microsoft.com/office/drawing/2014/main" id="{445F7C55-6118-5058-D1E1-31C11D7E7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445F7C55-6118-5058-D1E1-31C11D7E7AC3}"/>
                        </a:ext>
                      </a:extLst>
                    </pic:cNvPr>
                    <pic:cNvPicPr>
                      <a:picLocks noChangeAspect="1"/>
                    </pic:cNvPicPr>
                  </pic:nvPicPr>
                  <pic:blipFill>
                    <a:blip r:embed="rId11"/>
                    <a:stretch>
                      <a:fillRect/>
                    </a:stretch>
                  </pic:blipFill>
                  <pic:spPr>
                    <a:xfrm>
                      <a:off x="0" y="0"/>
                      <a:ext cx="5731510" cy="3827145"/>
                    </a:xfrm>
                    <a:prstGeom prst="rect">
                      <a:avLst/>
                    </a:prstGeom>
                  </pic:spPr>
                </pic:pic>
              </a:graphicData>
            </a:graphic>
          </wp:inline>
        </w:drawing>
      </w:r>
    </w:p>
    <w:p w14:paraId="64CC43B5" w14:textId="64B7008C" w:rsidR="00A603B6" w:rsidRPr="001E65D8" w:rsidRDefault="00A603B6" w:rsidP="00A603B6">
      <w:pPr>
        <w:rPr>
          <w:rFonts w:ascii="Times New Roman" w:hAnsi="Times New Roman" w:cs="Times New Roman"/>
          <w:sz w:val="20"/>
          <w:szCs w:val="20"/>
        </w:rPr>
      </w:pPr>
      <w:r w:rsidRPr="001E65D8">
        <w:rPr>
          <w:rFonts w:ascii="Times New Roman" w:hAnsi="Times New Roman" w:cs="Times New Roman"/>
          <w:b/>
          <w:bCs/>
          <w:sz w:val="20"/>
          <w:szCs w:val="20"/>
        </w:rPr>
        <w:t>Figure S</w:t>
      </w:r>
      <w:r w:rsidR="001B2E57" w:rsidRPr="001E65D8">
        <w:rPr>
          <w:rFonts w:ascii="Times New Roman" w:hAnsi="Times New Roman" w:cs="Times New Roman"/>
          <w:b/>
          <w:bCs/>
          <w:sz w:val="20"/>
          <w:szCs w:val="20"/>
        </w:rPr>
        <w:t>5</w:t>
      </w:r>
      <w:r w:rsidRPr="001E65D8">
        <w:rPr>
          <w:rFonts w:ascii="Times New Roman" w:hAnsi="Times New Roman" w:cs="Times New Roman"/>
          <w:b/>
          <w:bCs/>
          <w:sz w:val="20"/>
          <w:szCs w:val="20"/>
        </w:rPr>
        <w:t xml:space="preserve">. pSTING status across matched BC-BrM cases. </w:t>
      </w:r>
      <w:r w:rsidRPr="001E65D8">
        <w:rPr>
          <w:rFonts w:ascii="Times New Roman" w:hAnsi="Times New Roman" w:cs="Times New Roman"/>
          <w:sz w:val="20"/>
          <w:szCs w:val="20"/>
        </w:rPr>
        <w:t xml:space="preserve">Matched case by case analysis of pSTING expression status in primary breast cancer matched with corresponding brain metastases in </w:t>
      </w:r>
      <w:r w:rsidRPr="001E65D8">
        <w:rPr>
          <w:rFonts w:ascii="Times New Roman" w:hAnsi="Times New Roman" w:cs="Times New Roman"/>
          <w:b/>
          <w:bCs/>
          <w:sz w:val="20"/>
          <w:szCs w:val="20"/>
        </w:rPr>
        <w:t xml:space="preserve">(a) </w:t>
      </w:r>
      <w:r w:rsidRPr="001E65D8">
        <w:rPr>
          <w:rFonts w:ascii="Times New Roman" w:hAnsi="Times New Roman" w:cs="Times New Roman"/>
          <w:sz w:val="20"/>
          <w:szCs w:val="20"/>
        </w:rPr>
        <w:t xml:space="preserve">ER+, </w:t>
      </w:r>
      <w:r w:rsidRPr="001E65D8">
        <w:rPr>
          <w:rFonts w:ascii="Times New Roman" w:hAnsi="Times New Roman" w:cs="Times New Roman"/>
          <w:b/>
          <w:bCs/>
          <w:sz w:val="20"/>
          <w:szCs w:val="20"/>
        </w:rPr>
        <w:t xml:space="preserve">(b) </w:t>
      </w:r>
      <w:r w:rsidRPr="001E65D8">
        <w:rPr>
          <w:rFonts w:ascii="Times New Roman" w:hAnsi="Times New Roman" w:cs="Times New Roman"/>
          <w:sz w:val="20"/>
          <w:szCs w:val="20"/>
        </w:rPr>
        <w:t xml:space="preserve">HER2+, and </w:t>
      </w:r>
      <w:r w:rsidRPr="001E65D8">
        <w:rPr>
          <w:rFonts w:ascii="Times New Roman" w:hAnsi="Times New Roman" w:cs="Times New Roman"/>
          <w:b/>
          <w:bCs/>
          <w:sz w:val="20"/>
          <w:szCs w:val="20"/>
        </w:rPr>
        <w:t xml:space="preserve">(c) </w:t>
      </w:r>
      <w:r w:rsidRPr="001E65D8">
        <w:rPr>
          <w:rFonts w:ascii="Times New Roman" w:hAnsi="Times New Roman" w:cs="Times New Roman"/>
          <w:sz w:val="20"/>
          <w:szCs w:val="20"/>
        </w:rPr>
        <w:t>TNBC cases.</w:t>
      </w:r>
      <w:r w:rsidRPr="001E65D8">
        <w:rPr>
          <w:rFonts w:ascii="Times New Roman" w:hAnsi="Times New Roman" w:cs="Times New Roman"/>
          <w:sz w:val="20"/>
          <w:szCs w:val="20"/>
        </w:rPr>
        <w:br/>
        <w:t>ER+, oestrogen receptor; HER2+, Human epidermal growth factor receptor 2; TNBC, triple negative breast cancer</w:t>
      </w:r>
    </w:p>
    <w:p w14:paraId="0FD3A081" w14:textId="77777777" w:rsidR="00F55BE5" w:rsidRPr="001E65D8" w:rsidRDefault="00F55BE5" w:rsidP="00F55BE5">
      <w:pPr>
        <w:rPr>
          <w:rFonts w:ascii="Times New Roman" w:hAnsi="Times New Roman" w:cs="Times New Roman"/>
          <w:sz w:val="20"/>
          <w:szCs w:val="20"/>
        </w:rPr>
      </w:pPr>
    </w:p>
    <w:p w14:paraId="3C708869" w14:textId="77777777" w:rsidR="00A603B6" w:rsidRPr="001E65D8" w:rsidRDefault="00A603B6" w:rsidP="00F55BE5">
      <w:pPr>
        <w:rPr>
          <w:rFonts w:ascii="Times New Roman" w:hAnsi="Times New Roman" w:cs="Times New Roman"/>
          <w:sz w:val="20"/>
          <w:szCs w:val="20"/>
        </w:rPr>
      </w:pPr>
    </w:p>
    <w:p w14:paraId="3583868E" w14:textId="77777777" w:rsidR="00A603B6" w:rsidRPr="001E65D8" w:rsidRDefault="00A603B6" w:rsidP="00F55BE5">
      <w:pPr>
        <w:rPr>
          <w:rFonts w:ascii="Times New Roman" w:hAnsi="Times New Roman" w:cs="Times New Roman"/>
          <w:sz w:val="20"/>
          <w:szCs w:val="20"/>
        </w:rPr>
      </w:pPr>
    </w:p>
    <w:p w14:paraId="1BC166A1" w14:textId="77777777" w:rsidR="00A603B6" w:rsidRPr="001E65D8" w:rsidRDefault="00A603B6" w:rsidP="00F55BE5">
      <w:pPr>
        <w:rPr>
          <w:rFonts w:ascii="Times New Roman" w:hAnsi="Times New Roman" w:cs="Times New Roman"/>
          <w:sz w:val="20"/>
          <w:szCs w:val="20"/>
        </w:rPr>
      </w:pPr>
    </w:p>
    <w:p w14:paraId="254B6402" w14:textId="77777777" w:rsidR="00A603B6" w:rsidRPr="001E65D8" w:rsidRDefault="00A603B6" w:rsidP="00F55BE5">
      <w:pPr>
        <w:rPr>
          <w:rFonts w:ascii="Times New Roman" w:hAnsi="Times New Roman" w:cs="Times New Roman"/>
          <w:sz w:val="20"/>
          <w:szCs w:val="20"/>
        </w:rPr>
      </w:pPr>
    </w:p>
    <w:p w14:paraId="7C4E6886" w14:textId="77777777" w:rsidR="001B2E57" w:rsidRPr="001E65D8" w:rsidRDefault="001B2E57" w:rsidP="00F55BE5">
      <w:pPr>
        <w:rPr>
          <w:rFonts w:ascii="Times New Roman" w:hAnsi="Times New Roman" w:cs="Times New Roman"/>
          <w:sz w:val="20"/>
          <w:szCs w:val="20"/>
        </w:rPr>
      </w:pPr>
    </w:p>
    <w:p w14:paraId="75236905" w14:textId="77777777" w:rsidR="001B2E57" w:rsidRPr="001E65D8" w:rsidRDefault="001B2E57" w:rsidP="00F55BE5">
      <w:pPr>
        <w:rPr>
          <w:rFonts w:ascii="Times New Roman" w:hAnsi="Times New Roman" w:cs="Times New Roman"/>
          <w:sz w:val="20"/>
          <w:szCs w:val="20"/>
        </w:rPr>
      </w:pPr>
    </w:p>
    <w:p w14:paraId="6A7D8990" w14:textId="77777777" w:rsidR="001B2E57" w:rsidRPr="001E65D8" w:rsidRDefault="001B2E57" w:rsidP="00F55BE5">
      <w:pPr>
        <w:rPr>
          <w:rFonts w:ascii="Times New Roman" w:hAnsi="Times New Roman" w:cs="Times New Roman"/>
          <w:sz w:val="20"/>
          <w:szCs w:val="20"/>
        </w:rPr>
      </w:pPr>
    </w:p>
    <w:p w14:paraId="188F2373" w14:textId="77777777" w:rsidR="001B2E57" w:rsidRPr="001E65D8" w:rsidRDefault="001B2E57" w:rsidP="00F55BE5">
      <w:pPr>
        <w:rPr>
          <w:rFonts w:ascii="Times New Roman" w:hAnsi="Times New Roman" w:cs="Times New Roman"/>
          <w:sz w:val="20"/>
          <w:szCs w:val="20"/>
        </w:rPr>
      </w:pPr>
    </w:p>
    <w:p w14:paraId="30A467C2" w14:textId="1D77AD65" w:rsidR="00F55BE5" w:rsidRPr="001E65D8" w:rsidRDefault="00F55BE5" w:rsidP="00A603B6">
      <w:pPr>
        <w:rPr>
          <w:rFonts w:ascii="Times New Roman" w:hAnsi="Times New Roman" w:cs="Times New Roman"/>
          <w:sz w:val="20"/>
          <w:szCs w:val="20"/>
        </w:rPr>
      </w:pPr>
    </w:p>
    <w:p w14:paraId="40AAE6F1" w14:textId="77777777" w:rsidR="00A603B6" w:rsidRPr="001E65D8" w:rsidRDefault="00A603B6" w:rsidP="00A603B6">
      <w:pPr>
        <w:rPr>
          <w:rFonts w:ascii="Times New Roman" w:hAnsi="Times New Roman" w:cs="Times New Roman"/>
          <w:sz w:val="20"/>
          <w:szCs w:val="20"/>
        </w:rPr>
        <w:sectPr w:rsidR="00A603B6" w:rsidRPr="001E65D8">
          <w:pgSz w:w="11906" w:h="16838"/>
          <w:pgMar w:top="1440" w:right="1440" w:bottom="1440" w:left="1440" w:header="708" w:footer="708" w:gutter="0"/>
          <w:cols w:space="708"/>
          <w:docGrid w:linePitch="360"/>
        </w:sectPr>
      </w:pPr>
    </w:p>
    <w:p w14:paraId="776A841D" w14:textId="77777777" w:rsidR="00A603B6" w:rsidRPr="001E65D8" w:rsidRDefault="00A603B6" w:rsidP="00A603B6">
      <w:pPr>
        <w:rPr>
          <w:rFonts w:ascii="Times New Roman" w:hAnsi="Times New Roman" w:cs="Times New Roman"/>
          <w:sz w:val="20"/>
          <w:szCs w:val="20"/>
        </w:rPr>
        <w:sectPr w:rsidR="00A603B6" w:rsidRPr="001E65D8" w:rsidSect="00A603B6">
          <w:pgSz w:w="16838" w:h="11906" w:orient="landscape"/>
          <w:pgMar w:top="1440" w:right="1440" w:bottom="1440" w:left="1440" w:header="709" w:footer="709" w:gutter="0"/>
          <w:cols w:space="708"/>
          <w:docGrid w:linePitch="360"/>
        </w:sectPr>
      </w:pPr>
      <w:r w:rsidRPr="001E65D8">
        <w:rPr>
          <w:rFonts w:ascii="Times New Roman" w:hAnsi="Times New Roman" w:cs="Times New Roman"/>
          <w:noProof/>
          <w:sz w:val="20"/>
          <w:szCs w:val="20"/>
        </w:rPr>
        <w:lastRenderedPageBreak/>
        <w:drawing>
          <wp:inline distT="0" distB="0" distL="0" distR="0" wp14:anchorId="1FEA603E" wp14:editId="49A3EED6">
            <wp:extent cx="6895475" cy="5939710"/>
            <wp:effectExtent l="0" t="0" r="635" b="0"/>
            <wp:docPr id="125470268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95475" cy="5939710"/>
                    </a:xfrm>
                    <a:prstGeom prst="rect">
                      <a:avLst/>
                    </a:prstGeom>
                    <a:noFill/>
                  </pic:spPr>
                </pic:pic>
              </a:graphicData>
            </a:graphic>
          </wp:inline>
        </w:drawing>
      </w:r>
    </w:p>
    <w:p w14:paraId="1CABF887" w14:textId="0FA9B90B" w:rsidR="00141FE1" w:rsidRPr="001E65D8" w:rsidRDefault="00A603B6" w:rsidP="00A603B6">
      <w:pPr>
        <w:rPr>
          <w:rFonts w:ascii="Times New Roman" w:hAnsi="Times New Roman" w:cs="Times New Roman"/>
          <w:sz w:val="20"/>
          <w:szCs w:val="20"/>
        </w:rPr>
      </w:pPr>
      <w:r w:rsidRPr="001E65D8">
        <w:rPr>
          <w:rFonts w:ascii="Times New Roman" w:hAnsi="Times New Roman" w:cs="Times New Roman"/>
          <w:b/>
          <w:bCs/>
          <w:sz w:val="20"/>
          <w:szCs w:val="20"/>
        </w:rPr>
        <w:lastRenderedPageBreak/>
        <w:t>Figure S</w:t>
      </w:r>
      <w:r w:rsidR="00D11E0D" w:rsidRPr="001E65D8">
        <w:rPr>
          <w:rFonts w:ascii="Times New Roman" w:hAnsi="Times New Roman" w:cs="Times New Roman"/>
          <w:b/>
          <w:bCs/>
          <w:sz w:val="20"/>
          <w:szCs w:val="20"/>
        </w:rPr>
        <w:t>6</w:t>
      </w:r>
      <w:r w:rsidRPr="001E65D8">
        <w:rPr>
          <w:rFonts w:ascii="Times New Roman" w:hAnsi="Times New Roman" w:cs="Times New Roman"/>
          <w:b/>
          <w:bCs/>
          <w:sz w:val="20"/>
          <w:szCs w:val="20"/>
        </w:rPr>
        <w:t>. Functional enrichment analysis of STING-associated differentially expressed proteins relative to control.</w:t>
      </w:r>
      <w:r w:rsidRPr="001E65D8">
        <w:rPr>
          <w:rFonts w:ascii="Times New Roman" w:hAnsi="Times New Roman" w:cs="Times New Roman"/>
          <w:sz w:val="20"/>
          <w:szCs w:val="20"/>
        </w:rPr>
        <w:br/>
        <w:t xml:space="preserve">Gene Ontology (GO) biological process enrichment analysis of </w:t>
      </w:r>
      <w:r w:rsidRPr="001E65D8">
        <w:rPr>
          <w:rFonts w:ascii="Times New Roman" w:hAnsi="Times New Roman" w:cs="Times New Roman"/>
          <w:b/>
          <w:bCs/>
          <w:sz w:val="20"/>
          <w:szCs w:val="20"/>
        </w:rPr>
        <w:t xml:space="preserve">(a) </w:t>
      </w:r>
      <w:r w:rsidRPr="001E65D8">
        <w:rPr>
          <w:rFonts w:ascii="Times New Roman" w:hAnsi="Times New Roman" w:cs="Times New Roman"/>
          <w:sz w:val="20"/>
          <w:szCs w:val="20"/>
        </w:rPr>
        <w:t xml:space="preserve">upregulated and </w:t>
      </w:r>
      <w:r w:rsidRPr="001E65D8">
        <w:rPr>
          <w:rFonts w:ascii="Times New Roman" w:hAnsi="Times New Roman" w:cs="Times New Roman"/>
          <w:b/>
          <w:bCs/>
          <w:sz w:val="20"/>
          <w:szCs w:val="20"/>
        </w:rPr>
        <w:t xml:space="preserve">(b) </w:t>
      </w:r>
      <w:r w:rsidRPr="001E65D8">
        <w:rPr>
          <w:rFonts w:ascii="Times New Roman" w:hAnsi="Times New Roman" w:cs="Times New Roman"/>
          <w:sz w:val="20"/>
          <w:szCs w:val="20"/>
        </w:rPr>
        <w:t>downregulated proteins in STING-high cells compared with control.</w:t>
      </w:r>
      <w:r w:rsidRPr="001E65D8">
        <w:rPr>
          <w:rFonts w:ascii="Times New Roman" w:hAnsi="Times New Roman" w:cs="Times New Roman"/>
          <w:sz w:val="20"/>
          <w:szCs w:val="20"/>
        </w:rPr>
        <w:br/>
        <w:t xml:space="preserve">GO biological process enrichment analysis of </w:t>
      </w:r>
      <w:r w:rsidRPr="001E65D8">
        <w:rPr>
          <w:rFonts w:ascii="Times New Roman" w:hAnsi="Times New Roman" w:cs="Times New Roman"/>
          <w:b/>
          <w:bCs/>
          <w:sz w:val="20"/>
          <w:szCs w:val="20"/>
        </w:rPr>
        <w:t xml:space="preserve">(c) </w:t>
      </w:r>
      <w:r w:rsidRPr="001E65D8">
        <w:rPr>
          <w:rFonts w:ascii="Times New Roman" w:hAnsi="Times New Roman" w:cs="Times New Roman"/>
          <w:sz w:val="20"/>
          <w:szCs w:val="20"/>
        </w:rPr>
        <w:t xml:space="preserve">upregulated and </w:t>
      </w:r>
      <w:r w:rsidRPr="001E65D8">
        <w:rPr>
          <w:rFonts w:ascii="Times New Roman" w:hAnsi="Times New Roman" w:cs="Times New Roman"/>
          <w:b/>
          <w:bCs/>
          <w:sz w:val="20"/>
          <w:szCs w:val="20"/>
        </w:rPr>
        <w:t xml:space="preserve">(d) </w:t>
      </w:r>
      <w:r w:rsidRPr="001E65D8">
        <w:rPr>
          <w:rFonts w:ascii="Times New Roman" w:hAnsi="Times New Roman" w:cs="Times New Roman"/>
          <w:sz w:val="20"/>
          <w:szCs w:val="20"/>
        </w:rPr>
        <w:t>downregulated proteins in STING-low cells compared with control.</w:t>
      </w:r>
      <w:r w:rsidRPr="001E65D8">
        <w:rPr>
          <w:rFonts w:ascii="Times New Roman" w:hAnsi="Times New Roman" w:cs="Times New Roman"/>
          <w:sz w:val="20"/>
          <w:szCs w:val="20"/>
        </w:rPr>
        <w:br/>
        <w:t xml:space="preserve">KEGG pathway enrichment analysis of differentially expressed proteins in </w:t>
      </w:r>
      <w:r w:rsidRPr="001E65D8">
        <w:rPr>
          <w:rFonts w:ascii="Times New Roman" w:hAnsi="Times New Roman" w:cs="Times New Roman"/>
          <w:b/>
          <w:bCs/>
          <w:sz w:val="20"/>
          <w:szCs w:val="20"/>
        </w:rPr>
        <w:t xml:space="preserve">(e) </w:t>
      </w:r>
      <w:r w:rsidRPr="001E65D8">
        <w:rPr>
          <w:rFonts w:ascii="Times New Roman" w:hAnsi="Times New Roman" w:cs="Times New Roman"/>
          <w:sz w:val="20"/>
          <w:szCs w:val="20"/>
        </w:rPr>
        <w:t xml:space="preserve">STING-high and </w:t>
      </w:r>
      <w:r w:rsidRPr="001E65D8">
        <w:rPr>
          <w:rFonts w:ascii="Times New Roman" w:hAnsi="Times New Roman" w:cs="Times New Roman"/>
          <w:b/>
          <w:bCs/>
          <w:sz w:val="20"/>
          <w:szCs w:val="20"/>
        </w:rPr>
        <w:t xml:space="preserve">(f) </w:t>
      </w:r>
      <w:r w:rsidRPr="001E65D8">
        <w:rPr>
          <w:rFonts w:ascii="Times New Roman" w:hAnsi="Times New Roman" w:cs="Times New Roman"/>
          <w:sz w:val="20"/>
          <w:szCs w:val="20"/>
        </w:rPr>
        <w:t>STING-low cells relative to control.</w:t>
      </w:r>
      <w:r w:rsidRPr="001E65D8">
        <w:rPr>
          <w:rFonts w:ascii="Times New Roman" w:hAnsi="Times New Roman" w:cs="Times New Roman"/>
          <w:sz w:val="20"/>
          <w:szCs w:val="20"/>
        </w:rPr>
        <w:br/>
      </w:r>
      <w:r w:rsidRPr="001E65D8">
        <w:rPr>
          <w:rFonts w:ascii="Times New Roman" w:hAnsi="Times New Roman" w:cs="Times New Roman"/>
          <w:b/>
          <w:bCs/>
          <w:sz w:val="20"/>
          <w:szCs w:val="20"/>
        </w:rPr>
        <w:t xml:space="preserve">(g) </w:t>
      </w:r>
      <w:r w:rsidRPr="001E65D8">
        <w:rPr>
          <w:rFonts w:ascii="Times New Roman" w:hAnsi="Times New Roman" w:cs="Times New Roman"/>
          <w:sz w:val="20"/>
          <w:szCs w:val="20"/>
        </w:rPr>
        <w:t>MSigDB Hallmark pathway enrichment analysis of differentially expressed proteins in STING-low cells compared with control. Pathways with FDR &lt; 0.05 are shown.</w:t>
      </w:r>
    </w:p>
    <w:p w14:paraId="3DCAF6F2" w14:textId="19A71DF4" w:rsidR="00D11E0D" w:rsidRPr="001E65D8" w:rsidRDefault="00D11E0D" w:rsidP="005A5A37">
      <w:pPr>
        <w:spacing w:line="276" w:lineRule="auto"/>
        <w:jc w:val="both"/>
        <w:rPr>
          <w:rFonts w:ascii="Times New Roman" w:eastAsia="Aptos" w:hAnsi="Times New Roman" w:cs="Times New Roman"/>
          <w:b/>
          <w:bCs/>
          <w:color w:val="000000" w:themeColor="text1"/>
          <w:sz w:val="20"/>
          <w:szCs w:val="20"/>
          <w14:ligatures w14:val="none"/>
        </w:rPr>
      </w:pPr>
      <w:r w:rsidRPr="001E65D8">
        <w:rPr>
          <w:rFonts w:ascii="Times New Roman" w:eastAsia="Aptos" w:hAnsi="Times New Roman" w:cs="Times New Roman"/>
          <w:b/>
          <w:bCs/>
          <w:color w:val="000000" w:themeColor="text1"/>
          <w:sz w:val="20"/>
          <w:szCs w:val="20"/>
        </w:rPr>
        <w:t>Table S1. General linear model analysis for time to neurosurgery</w:t>
      </w:r>
    </w:p>
    <w:tbl>
      <w:tblPr>
        <w:tblStyle w:val="PlainTable1"/>
        <w:tblW w:w="9493" w:type="dxa"/>
        <w:tblLook w:val="04A0" w:firstRow="1" w:lastRow="0" w:firstColumn="1" w:lastColumn="0" w:noHBand="0" w:noVBand="1"/>
      </w:tblPr>
      <w:tblGrid>
        <w:gridCol w:w="2544"/>
        <w:gridCol w:w="1420"/>
        <w:gridCol w:w="567"/>
        <w:gridCol w:w="1560"/>
        <w:gridCol w:w="1417"/>
        <w:gridCol w:w="1985"/>
      </w:tblGrid>
      <w:tr w:rsidR="00CF4E43" w:rsidRPr="00CF4E43" w14:paraId="03887FBB" w14:textId="77777777" w:rsidTr="00CF4E43">
        <w:trPr>
          <w:cnfStyle w:val="100000000000" w:firstRow="1" w:lastRow="0" w:firstColumn="0" w:lastColumn="0" w:oddVBand="0" w:evenVBand="0" w:oddHBand="0"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9493" w:type="dxa"/>
            <w:gridSpan w:val="6"/>
            <w:noWrap/>
            <w:vAlign w:val="center"/>
            <w:hideMark/>
          </w:tcPr>
          <w:p w14:paraId="2CFD112C" w14:textId="77777777" w:rsidR="00CF4E43" w:rsidRPr="00CF4E43" w:rsidRDefault="00CF4E43" w:rsidP="00CF4E43">
            <w:pPr>
              <w:jc w:val="center"/>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Dependent Variable: Time to Neurosurgery</w:t>
            </w:r>
          </w:p>
        </w:tc>
      </w:tr>
      <w:tr w:rsidR="00CF4E43" w:rsidRPr="00CF4E43" w14:paraId="533EFEA0" w14:textId="77777777" w:rsidTr="00CF4E43">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44" w:type="dxa"/>
            <w:vAlign w:val="center"/>
            <w:hideMark/>
          </w:tcPr>
          <w:p w14:paraId="2698EBFF" w14:textId="77777777" w:rsidR="00CF4E43" w:rsidRPr="00CF4E43" w:rsidRDefault="00CF4E43" w:rsidP="00CF4E43">
            <w:pPr>
              <w:jc w:val="center"/>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Source</w:t>
            </w:r>
          </w:p>
        </w:tc>
        <w:tc>
          <w:tcPr>
            <w:tcW w:w="1420" w:type="dxa"/>
            <w:vAlign w:val="center"/>
            <w:hideMark/>
          </w:tcPr>
          <w:p w14:paraId="53A25EEA"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kern w:val="0"/>
                <w:sz w:val="20"/>
                <w:szCs w:val="20"/>
                <w:lang w:eastAsia="en-AU"/>
                <w14:ligatures w14:val="none"/>
              </w:rPr>
            </w:pPr>
            <w:r w:rsidRPr="00CF4E43">
              <w:rPr>
                <w:rFonts w:ascii="Times New Roman" w:eastAsia="Times New Roman" w:hAnsi="Times New Roman" w:cs="Times New Roman"/>
                <w:b/>
                <w:bCs/>
                <w:color w:val="000000" w:themeColor="text1"/>
                <w:kern w:val="0"/>
                <w:sz w:val="20"/>
                <w:szCs w:val="20"/>
                <w:lang w:eastAsia="en-AU"/>
                <w14:ligatures w14:val="none"/>
              </w:rPr>
              <w:t>Type III Sum of Squares</w:t>
            </w:r>
          </w:p>
        </w:tc>
        <w:tc>
          <w:tcPr>
            <w:tcW w:w="567" w:type="dxa"/>
            <w:vAlign w:val="center"/>
            <w:hideMark/>
          </w:tcPr>
          <w:p w14:paraId="17202993"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kern w:val="0"/>
                <w:sz w:val="20"/>
                <w:szCs w:val="20"/>
                <w:lang w:eastAsia="en-AU"/>
                <w14:ligatures w14:val="none"/>
              </w:rPr>
            </w:pPr>
            <w:r w:rsidRPr="00CF4E43">
              <w:rPr>
                <w:rFonts w:ascii="Times New Roman" w:eastAsia="Times New Roman" w:hAnsi="Times New Roman" w:cs="Times New Roman"/>
                <w:b/>
                <w:bCs/>
                <w:color w:val="000000" w:themeColor="text1"/>
                <w:kern w:val="0"/>
                <w:sz w:val="20"/>
                <w:szCs w:val="20"/>
                <w:lang w:eastAsia="en-AU"/>
                <w14:ligatures w14:val="none"/>
              </w:rPr>
              <w:t>df</w:t>
            </w:r>
          </w:p>
        </w:tc>
        <w:tc>
          <w:tcPr>
            <w:tcW w:w="1560" w:type="dxa"/>
            <w:vAlign w:val="center"/>
            <w:hideMark/>
          </w:tcPr>
          <w:p w14:paraId="47E7BBD4"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kern w:val="0"/>
                <w:sz w:val="20"/>
                <w:szCs w:val="20"/>
                <w:lang w:eastAsia="en-AU"/>
                <w14:ligatures w14:val="none"/>
              </w:rPr>
            </w:pPr>
            <w:r w:rsidRPr="00CF4E43">
              <w:rPr>
                <w:rFonts w:ascii="Times New Roman" w:eastAsia="Times New Roman" w:hAnsi="Times New Roman" w:cs="Times New Roman"/>
                <w:b/>
                <w:bCs/>
                <w:color w:val="000000" w:themeColor="text1"/>
                <w:kern w:val="0"/>
                <w:sz w:val="20"/>
                <w:szCs w:val="20"/>
                <w:lang w:eastAsia="en-AU"/>
                <w14:ligatures w14:val="none"/>
              </w:rPr>
              <w:t>Mean Square</w:t>
            </w:r>
          </w:p>
        </w:tc>
        <w:tc>
          <w:tcPr>
            <w:tcW w:w="1417" w:type="dxa"/>
            <w:vAlign w:val="center"/>
            <w:hideMark/>
          </w:tcPr>
          <w:p w14:paraId="201D7C2D"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kern w:val="0"/>
                <w:sz w:val="20"/>
                <w:szCs w:val="20"/>
                <w:lang w:eastAsia="en-AU"/>
                <w14:ligatures w14:val="none"/>
              </w:rPr>
            </w:pPr>
            <w:r w:rsidRPr="00CF4E43">
              <w:rPr>
                <w:rFonts w:ascii="Times New Roman" w:eastAsia="Times New Roman" w:hAnsi="Times New Roman" w:cs="Times New Roman"/>
                <w:b/>
                <w:bCs/>
                <w:color w:val="000000" w:themeColor="text1"/>
                <w:kern w:val="0"/>
                <w:sz w:val="20"/>
                <w:szCs w:val="20"/>
                <w:lang w:eastAsia="en-AU"/>
                <w14:ligatures w14:val="none"/>
              </w:rPr>
              <w:t>F</w:t>
            </w:r>
          </w:p>
        </w:tc>
        <w:tc>
          <w:tcPr>
            <w:tcW w:w="1985" w:type="dxa"/>
            <w:vAlign w:val="center"/>
            <w:hideMark/>
          </w:tcPr>
          <w:p w14:paraId="26317AC1"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themeColor="text1"/>
                <w:kern w:val="0"/>
                <w:sz w:val="20"/>
                <w:szCs w:val="20"/>
                <w:lang w:eastAsia="en-AU"/>
                <w14:ligatures w14:val="none"/>
              </w:rPr>
            </w:pPr>
            <w:r w:rsidRPr="00CF4E43">
              <w:rPr>
                <w:rFonts w:ascii="Times New Roman" w:eastAsia="Times New Roman" w:hAnsi="Times New Roman" w:cs="Times New Roman"/>
                <w:b/>
                <w:bCs/>
                <w:color w:val="000000" w:themeColor="text1"/>
                <w:kern w:val="0"/>
                <w:sz w:val="20"/>
                <w:szCs w:val="20"/>
                <w:lang w:eastAsia="en-AU"/>
                <w14:ligatures w14:val="none"/>
              </w:rPr>
              <w:t>Sig.</w:t>
            </w:r>
          </w:p>
        </w:tc>
      </w:tr>
      <w:tr w:rsidR="00CF4E43" w:rsidRPr="00CF4E43" w14:paraId="19CF206A" w14:textId="77777777" w:rsidTr="00CF4E43">
        <w:trPr>
          <w:trHeight w:val="360"/>
        </w:trPr>
        <w:tc>
          <w:tcPr>
            <w:cnfStyle w:val="001000000000" w:firstRow="0" w:lastRow="0" w:firstColumn="1" w:lastColumn="0" w:oddVBand="0" w:evenVBand="0" w:oddHBand="0" w:evenHBand="0" w:firstRowFirstColumn="0" w:firstRowLastColumn="0" w:lastRowFirstColumn="0" w:lastRowLastColumn="0"/>
            <w:tcW w:w="2544" w:type="dxa"/>
            <w:vAlign w:val="center"/>
            <w:hideMark/>
          </w:tcPr>
          <w:p w14:paraId="32BB2907" w14:textId="77777777" w:rsidR="00CF4E43" w:rsidRPr="00CF4E43" w:rsidRDefault="00CF4E43" w:rsidP="00CF4E43">
            <w:pPr>
              <w:jc w:val="center"/>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Corrected Model</w:t>
            </w:r>
          </w:p>
        </w:tc>
        <w:tc>
          <w:tcPr>
            <w:tcW w:w="1420" w:type="dxa"/>
            <w:noWrap/>
            <w:vAlign w:val="center"/>
            <w:hideMark/>
          </w:tcPr>
          <w:p w14:paraId="5121B068"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155.363</w:t>
            </w:r>
            <w:r w:rsidRPr="00CF4E43">
              <w:rPr>
                <w:rFonts w:ascii="Times New Roman" w:eastAsia="Times New Roman" w:hAnsi="Times New Roman" w:cs="Times New Roman"/>
                <w:color w:val="000000" w:themeColor="text1"/>
                <w:kern w:val="0"/>
                <w:sz w:val="20"/>
                <w:szCs w:val="20"/>
                <w:vertAlign w:val="superscript"/>
                <w:lang w:eastAsia="en-AU"/>
                <w14:ligatures w14:val="none"/>
              </w:rPr>
              <w:t>a</w:t>
            </w:r>
          </w:p>
        </w:tc>
        <w:tc>
          <w:tcPr>
            <w:tcW w:w="567" w:type="dxa"/>
            <w:noWrap/>
            <w:vAlign w:val="center"/>
            <w:hideMark/>
          </w:tcPr>
          <w:p w14:paraId="14796ED5"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5</w:t>
            </w:r>
          </w:p>
        </w:tc>
        <w:tc>
          <w:tcPr>
            <w:tcW w:w="1560" w:type="dxa"/>
            <w:noWrap/>
            <w:vAlign w:val="center"/>
            <w:hideMark/>
          </w:tcPr>
          <w:p w14:paraId="119DAE2F"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31.073</w:t>
            </w:r>
          </w:p>
        </w:tc>
        <w:tc>
          <w:tcPr>
            <w:tcW w:w="1417" w:type="dxa"/>
            <w:noWrap/>
            <w:vAlign w:val="center"/>
            <w:hideMark/>
          </w:tcPr>
          <w:p w14:paraId="692FFB84"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2.289</w:t>
            </w:r>
          </w:p>
        </w:tc>
        <w:tc>
          <w:tcPr>
            <w:tcW w:w="1985" w:type="dxa"/>
            <w:noWrap/>
            <w:vAlign w:val="center"/>
            <w:hideMark/>
          </w:tcPr>
          <w:p w14:paraId="70D0EADD"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0.059</w:t>
            </w:r>
          </w:p>
        </w:tc>
      </w:tr>
      <w:tr w:rsidR="00CF4E43" w:rsidRPr="00CF4E43" w14:paraId="518E3E32" w14:textId="77777777" w:rsidTr="00CF4E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4" w:type="dxa"/>
            <w:vAlign w:val="center"/>
            <w:hideMark/>
          </w:tcPr>
          <w:p w14:paraId="3A1B4D5D" w14:textId="77777777" w:rsidR="00CF4E43" w:rsidRPr="00CF4E43" w:rsidRDefault="00CF4E43" w:rsidP="00CF4E43">
            <w:pPr>
              <w:jc w:val="center"/>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Intercept</w:t>
            </w:r>
          </w:p>
        </w:tc>
        <w:tc>
          <w:tcPr>
            <w:tcW w:w="1420" w:type="dxa"/>
            <w:noWrap/>
            <w:vAlign w:val="center"/>
            <w:hideMark/>
          </w:tcPr>
          <w:p w14:paraId="4473ADDE"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718.722</w:t>
            </w:r>
          </w:p>
        </w:tc>
        <w:tc>
          <w:tcPr>
            <w:tcW w:w="567" w:type="dxa"/>
            <w:noWrap/>
            <w:vAlign w:val="center"/>
            <w:hideMark/>
          </w:tcPr>
          <w:p w14:paraId="24E2099F"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1</w:t>
            </w:r>
          </w:p>
        </w:tc>
        <w:tc>
          <w:tcPr>
            <w:tcW w:w="1560" w:type="dxa"/>
            <w:noWrap/>
            <w:vAlign w:val="center"/>
            <w:hideMark/>
          </w:tcPr>
          <w:p w14:paraId="0E97E8CA"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718.722</w:t>
            </w:r>
          </w:p>
        </w:tc>
        <w:tc>
          <w:tcPr>
            <w:tcW w:w="1417" w:type="dxa"/>
            <w:noWrap/>
            <w:vAlign w:val="center"/>
            <w:hideMark/>
          </w:tcPr>
          <w:p w14:paraId="74CA408E"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52.939</w:t>
            </w:r>
          </w:p>
        </w:tc>
        <w:tc>
          <w:tcPr>
            <w:tcW w:w="1985" w:type="dxa"/>
            <w:noWrap/>
            <w:vAlign w:val="center"/>
            <w:hideMark/>
          </w:tcPr>
          <w:p w14:paraId="0E1B8A1D"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0.000</w:t>
            </w:r>
          </w:p>
        </w:tc>
      </w:tr>
      <w:tr w:rsidR="00CF4E43" w:rsidRPr="00CF4E43" w14:paraId="3C86C80B" w14:textId="77777777" w:rsidTr="00CF4E43">
        <w:trPr>
          <w:trHeight w:val="630"/>
        </w:trPr>
        <w:tc>
          <w:tcPr>
            <w:cnfStyle w:val="001000000000" w:firstRow="0" w:lastRow="0" w:firstColumn="1" w:lastColumn="0" w:oddVBand="0" w:evenVBand="0" w:oddHBand="0" w:evenHBand="0" w:firstRowFirstColumn="0" w:firstRowLastColumn="0" w:lastRowFirstColumn="0" w:lastRowLastColumn="0"/>
            <w:tcW w:w="2544" w:type="dxa"/>
            <w:vAlign w:val="center"/>
            <w:hideMark/>
          </w:tcPr>
          <w:p w14:paraId="58F4DED3" w14:textId="77777777" w:rsidR="00CF4E43" w:rsidRPr="00CF4E43" w:rsidRDefault="00CF4E43" w:rsidP="00CF4E43">
            <w:pPr>
              <w:jc w:val="center"/>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pSTING expression (Low vs High)</w:t>
            </w:r>
          </w:p>
        </w:tc>
        <w:tc>
          <w:tcPr>
            <w:tcW w:w="1420" w:type="dxa"/>
            <w:noWrap/>
            <w:vAlign w:val="center"/>
            <w:hideMark/>
          </w:tcPr>
          <w:p w14:paraId="45153C9D"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47.658</w:t>
            </w:r>
          </w:p>
        </w:tc>
        <w:tc>
          <w:tcPr>
            <w:tcW w:w="567" w:type="dxa"/>
            <w:noWrap/>
            <w:vAlign w:val="center"/>
            <w:hideMark/>
          </w:tcPr>
          <w:p w14:paraId="5AC32574"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1</w:t>
            </w:r>
          </w:p>
        </w:tc>
        <w:tc>
          <w:tcPr>
            <w:tcW w:w="1560" w:type="dxa"/>
            <w:noWrap/>
            <w:vAlign w:val="center"/>
            <w:hideMark/>
          </w:tcPr>
          <w:p w14:paraId="0B80CBDB"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47.658</w:t>
            </w:r>
          </w:p>
        </w:tc>
        <w:tc>
          <w:tcPr>
            <w:tcW w:w="1417" w:type="dxa"/>
            <w:noWrap/>
            <w:vAlign w:val="center"/>
            <w:hideMark/>
          </w:tcPr>
          <w:p w14:paraId="67193592"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3.510</w:t>
            </w:r>
          </w:p>
        </w:tc>
        <w:tc>
          <w:tcPr>
            <w:tcW w:w="1985" w:type="dxa"/>
            <w:noWrap/>
            <w:vAlign w:val="center"/>
            <w:hideMark/>
          </w:tcPr>
          <w:p w14:paraId="4D2917E7"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0.067</w:t>
            </w:r>
          </w:p>
        </w:tc>
      </w:tr>
      <w:tr w:rsidR="00CF4E43" w:rsidRPr="00CF4E43" w14:paraId="714A9D42" w14:textId="77777777" w:rsidTr="00CF4E43">
        <w:trPr>
          <w:cnfStyle w:val="000000100000" w:firstRow="0" w:lastRow="0" w:firstColumn="0" w:lastColumn="0" w:oddVBand="0" w:evenVBand="0" w:oddHBand="1"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2544" w:type="dxa"/>
            <w:vAlign w:val="center"/>
            <w:hideMark/>
          </w:tcPr>
          <w:p w14:paraId="19B520A5" w14:textId="77777777" w:rsidR="00CF4E43" w:rsidRPr="00CF4E43" w:rsidRDefault="00CF4E43" w:rsidP="00CF4E43">
            <w:pPr>
              <w:jc w:val="center"/>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Breast cancer subtypes</w:t>
            </w:r>
          </w:p>
        </w:tc>
        <w:tc>
          <w:tcPr>
            <w:tcW w:w="1420" w:type="dxa"/>
            <w:noWrap/>
            <w:vAlign w:val="center"/>
            <w:hideMark/>
          </w:tcPr>
          <w:p w14:paraId="54B21AD4"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57.932</w:t>
            </w:r>
          </w:p>
        </w:tc>
        <w:tc>
          <w:tcPr>
            <w:tcW w:w="567" w:type="dxa"/>
            <w:noWrap/>
            <w:vAlign w:val="center"/>
            <w:hideMark/>
          </w:tcPr>
          <w:p w14:paraId="4FBC1C65"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2</w:t>
            </w:r>
          </w:p>
        </w:tc>
        <w:tc>
          <w:tcPr>
            <w:tcW w:w="1560" w:type="dxa"/>
            <w:noWrap/>
            <w:vAlign w:val="center"/>
            <w:hideMark/>
          </w:tcPr>
          <w:p w14:paraId="7E9A1F50"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28.966</w:t>
            </w:r>
          </w:p>
        </w:tc>
        <w:tc>
          <w:tcPr>
            <w:tcW w:w="1417" w:type="dxa"/>
            <w:noWrap/>
            <w:vAlign w:val="center"/>
            <w:hideMark/>
          </w:tcPr>
          <w:p w14:paraId="79B02AFB"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2.134</w:t>
            </w:r>
          </w:p>
        </w:tc>
        <w:tc>
          <w:tcPr>
            <w:tcW w:w="1985" w:type="dxa"/>
            <w:noWrap/>
            <w:vAlign w:val="center"/>
            <w:hideMark/>
          </w:tcPr>
          <w:p w14:paraId="766DE72D"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0.128</w:t>
            </w:r>
          </w:p>
        </w:tc>
      </w:tr>
      <w:tr w:rsidR="00CF4E43" w:rsidRPr="00CF4E43" w14:paraId="3852D4A5" w14:textId="77777777" w:rsidTr="00CF4E43">
        <w:trPr>
          <w:trHeight w:val="630"/>
        </w:trPr>
        <w:tc>
          <w:tcPr>
            <w:cnfStyle w:val="001000000000" w:firstRow="0" w:lastRow="0" w:firstColumn="1" w:lastColumn="0" w:oddVBand="0" w:evenVBand="0" w:oddHBand="0" w:evenHBand="0" w:firstRowFirstColumn="0" w:firstRowLastColumn="0" w:lastRowFirstColumn="0" w:lastRowLastColumn="0"/>
            <w:tcW w:w="2544" w:type="dxa"/>
            <w:vAlign w:val="center"/>
            <w:hideMark/>
          </w:tcPr>
          <w:p w14:paraId="567FED2E" w14:textId="77777777" w:rsidR="00CF4E43" w:rsidRPr="00CF4E43" w:rsidRDefault="00CF4E43" w:rsidP="00CF4E43">
            <w:pPr>
              <w:jc w:val="center"/>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STING x Subtype interaction</w:t>
            </w:r>
          </w:p>
        </w:tc>
        <w:tc>
          <w:tcPr>
            <w:tcW w:w="1420" w:type="dxa"/>
            <w:noWrap/>
            <w:vAlign w:val="center"/>
            <w:hideMark/>
          </w:tcPr>
          <w:p w14:paraId="04BACF76"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14.062</w:t>
            </w:r>
          </w:p>
        </w:tc>
        <w:tc>
          <w:tcPr>
            <w:tcW w:w="567" w:type="dxa"/>
            <w:noWrap/>
            <w:vAlign w:val="center"/>
            <w:hideMark/>
          </w:tcPr>
          <w:p w14:paraId="0DB59BDD"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2</w:t>
            </w:r>
          </w:p>
        </w:tc>
        <w:tc>
          <w:tcPr>
            <w:tcW w:w="1560" w:type="dxa"/>
            <w:noWrap/>
            <w:vAlign w:val="center"/>
            <w:hideMark/>
          </w:tcPr>
          <w:p w14:paraId="0B293765"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7.031</w:t>
            </w:r>
          </w:p>
        </w:tc>
        <w:tc>
          <w:tcPr>
            <w:tcW w:w="1417" w:type="dxa"/>
            <w:noWrap/>
            <w:vAlign w:val="center"/>
            <w:hideMark/>
          </w:tcPr>
          <w:p w14:paraId="473EC375"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0.518</w:t>
            </w:r>
          </w:p>
        </w:tc>
        <w:tc>
          <w:tcPr>
            <w:tcW w:w="1985" w:type="dxa"/>
            <w:noWrap/>
            <w:vAlign w:val="center"/>
            <w:hideMark/>
          </w:tcPr>
          <w:p w14:paraId="4DDD27F6"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0.599</w:t>
            </w:r>
          </w:p>
        </w:tc>
      </w:tr>
      <w:tr w:rsidR="00CF4E43" w:rsidRPr="00CF4E43" w14:paraId="11F5D3AD" w14:textId="77777777" w:rsidTr="00CF4E43">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44" w:type="dxa"/>
            <w:vAlign w:val="center"/>
            <w:hideMark/>
          </w:tcPr>
          <w:p w14:paraId="5CB49455" w14:textId="77777777" w:rsidR="00CF4E43" w:rsidRPr="00CF4E43" w:rsidRDefault="00CF4E43" w:rsidP="00CF4E43">
            <w:pPr>
              <w:jc w:val="center"/>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Error</w:t>
            </w:r>
          </w:p>
        </w:tc>
        <w:tc>
          <w:tcPr>
            <w:tcW w:w="1420" w:type="dxa"/>
            <w:noWrap/>
            <w:vAlign w:val="center"/>
            <w:hideMark/>
          </w:tcPr>
          <w:p w14:paraId="16AB6B48"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719.550</w:t>
            </w:r>
          </w:p>
        </w:tc>
        <w:tc>
          <w:tcPr>
            <w:tcW w:w="567" w:type="dxa"/>
            <w:noWrap/>
            <w:vAlign w:val="center"/>
            <w:hideMark/>
          </w:tcPr>
          <w:p w14:paraId="493F59EF"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53</w:t>
            </w:r>
          </w:p>
        </w:tc>
        <w:tc>
          <w:tcPr>
            <w:tcW w:w="1560" w:type="dxa"/>
            <w:noWrap/>
            <w:vAlign w:val="center"/>
            <w:hideMark/>
          </w:tcPr>
          <w:p w14:paraId="1E6A092E"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13.576</w:t>
            </w:r>
          </w:p>
        </w:tc>
        <w:tc>
          <w:tcPr>
            <w:tcW w:w="1417" w:type="dxa"/>
            <w:vAlign w:val="center"/>
            <w:hideMark/>
          </w:tcPr>
          <w:p w14:paraId="64EEFE01" w14:textId="1E93FBA5"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p>
        </w:tc>
        <w:tc>
          <w:tcPr>
            <w:tcW w:w="1985" w:type="dxa"/>
            <w:vAlign w:val="center"/>
            <w:hideMark/>
          </w:tcPr>
          <w:p w14:paraId="3F935377" w14:textId="2E29A449"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p>
        </w:tc>
      </w:tr>
      <w:tr w:rsidR="00CF4E43" w:rsidRPr="00CF4E43" w14:paraId="3934AD58" w14:textId="77777777" w:rsidTr="00CF4E43">
        <w:trPr>
          <w:trHeight w:val="315"/>
        </w:trPr>
        <w:tc>
          <w:tcPr>
            <w:cnfStyle w:val="001000000000" w:firstRow="0" w:lastRow="0" w:firstColumn="1" w:lastColumn="0" w:oddVBand="0" w:evenVBand="0" w:oddHBand="0" w:evenHBand="0" w:firstRowFirstColumn="0" w:firstRowLastColumn="0" w:lastRowFirstColumn="0" w:lastRowLastColumn="0"/>
            <w:tcW w:w="2544" w:type="dxa"/>
            <w:vAlign w:val="center"/>
            <w:hideMark/>
          </w:tcPr>
          <w:p w14:paraId="1EC6465A" w14:textId="77777777" w:rsidR="00CF4E43" w:rsidRPr="00CF4E43" w:rsidRDefault="00CF4E43" w:rsidP="00CF4E43">
            <w:pPr>
              <w:jc w:val="center"/>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Total</w:t>
            </w:r>
          </w:p>
        </w:tc>
        <w:tc>
          <w:tcPr>
            <w:tcW w:w="1420" w:type="dxa"/>
            <w:noWrap/>
            <w:vAlign w:val="center"/>
            <w:hideMark/>
          </w:tcPr>
          <w:p w14:paraId="3785AE82"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1862.757</w:t>
            </w:r>
          </w:p>
        </w:tc>
        <w:tc>
          <w:tcPr>
            <w:tcW w:w="567" w:type="dxa"/>
            <w:noWrap/>
            <w:vAlign w:val="center"/>
            <w:hideMark/>
          </w:tcPr>
          <w:p w14:paraId="1E847377" w14:textId="77777777"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59</w:t>
            </w:r>
          </w:p>
        </w:tc>
        <w:tc>
          <w:tcPr>
            <w:tcW w:w="1560" w:type="dxa"/>
            <w:vAlign w:val="center"/>
            <w:hideMark/>
          </w:tcPr>
          <w:p w14:paraId="5A4E6596" w14:textId="0E9058F8"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p>
        </w:tc>
        <w:tc>
          <w:tcPr>
            <w:tcW w:w="1417" w:type="dxa"/>
            <w:vAlign w:val="center"/>
            <w:hideMark/>
          </w:tcPr>
          <w:p w14:paraId="0C9BFEAB" w14:textId="52B1CA68"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p>
        </w:tc>
        <w:tc>
          <w:tcPr>
            <w:tcW w:w="1985" w:type="dxa"/>
            <w:vAlign w:val="center"/>
            <w:hideMark/>
          </w:tcPr>
          <w:p w14:paraId="57858B0F" w14:textId="09AEC6FC" w:rsidR="00CF4E43" w:rsidRPr="00CF4E43" w:rsidRDefault="00CF4E43" w:rsidP="00CF4E43">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p>
        </w:tc>
      </w:tr>
      <w:tr w:rsidR="00CF4E43" w:rsidRPr="00CF4E43" w14:paraId="297450DF" w14:textId="77777777" w:rsidTr="00CF4E43">
        <w:trPr>
          <w:cnfStyle w:val="000000100000" w:firstRow="0" w:lastRow="0" w:firstColumn="0" w:lastColumn="0" w:oddVBand="0" w:evenVBand="0" w:oddHBand="1" w:evenHBand="0" w:firstRowFirstColumn="0" w:firstRowLastColumn="0" w:lastRowFirstColumn="0" w:lastRowLastColumn="0"/>
          <w:trHeight w:val="945"/>
        </w:trPr>
        <w:tc>
          <w:tcPr>
            <w:cnfStyle w:val="001000000000" w:firstRow="0" w:lastRow="0" w:firstColumn="1" w:lastColumn="0" w:oddVBand="0" w:evenVBand="0" w:oddHBand="0" w:evenHBand="0" w:firstRowFirstColumn="0" w:firstRowLastColumn="0" w:lastRowFirstColumn="0" w:lastRowLastColumn="0"/>
            <w:tcW w:w="2544" w:type="dxa"/>
            <w:vAlign w:val="center"/>
            <w:hideMark/>
          </w:tcPr>
          <w:p w14:paraId="34EADC37" w14:textId="77777777" w:rsidR="00CF4E43" w:rsidRPr="00CF4E43" w:rsidRDefault="00CF4E43" w:rsidP="00CF4E43">
            <w:pPr>
              <w:jc w:val="center"/>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R Squared = .178 (Adjusted R Squared = .100)</w:t>
            </w:r>
          </w:p>
        </w:tc>
        <w:tc>
          <w:tcPr>
            <w:tcW w:w="1420" w:type="dxa"/>
            <w:noWrap/>
            <w:vAlign w:val="center"/>
            <w:hideMark/>
          </w:tcPr>
          <w:p w14:paraId="310EFC41"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874.913</w:t>
            </w:r>
          </w:p>
        </w:tc>
        <w:tc>
          <w:tcPr>
            <w:tcW w:w="567" w:type="dxa"/>
            <w:noWrap/>
            <w:vAlign w:val="center"/>
            <w:hideMark/>
          </w:tcPr>
          <w:p w14:paraId="26F00E06" w14:textId="77777777"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58</w:t>
            </w:r>
          </w:p>
        </w:tc>
        <w:tc>
          <w:tcPr>
            <w:tcW w:w="1560" w:type="dxa"/>
            <w:vAlign w:val="center"/>
            <w:hideMark/>
          </w:tcPr>
          <w:p w14:paraId="6256CFCC" w14:textId="111464CD"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p>
        </w:tc>
        <w:tc>
          <w:tcPr>
            <w:tcW w:w="1417" w:type="dxa"/>
            <w:vAlign w:val="center"/>
            <w:hideMark/>
          </w:tcPr>
          <w:p w14:paraId="376EBA39" w14:textId="566BC93D"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p>
        </w:tc>
        <w:tc>
          <w:tcPr>
            <w:tcW w:w="1985" w:type="dxa"/>
            <w:vAlign w:val="center"/>
            <w:hideMark/>
          </w:tcPr>
          <w:p w14:paraId="2DEAF2E0" w14:textId="00140EEB" w:rsidR="00CF4E43" w:rsidRPr="00CF4E43" w:rsidRDefault="00CF4E43" w:rsidP="00CF4E43">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themeColor="text1"/>
                <w:kern w:val="0"/>
                <w:sz w:val="20"/>
                <w:szCs w:val="20"/>
                <w:lang w:eastAsia="en-AU"/>
                <w14:ligatures w14:val="none"/>
              </w:rPr>
            </w:pPr>
          </w:p>
        </w:tc>
      </w:tr>
      <w:tr w:rsidR="00CF4E43" w:rsidRPr="00CF4E43" w14:paraId="702A1265" w14:textId="77777777" w:rsidTr="00CF4E43">
        <w:trPr>
          <w:trHeight w:val="300"/>
        </w:trPr>
        <w:tc>
          <w:tcPr>
            <w:cnfStyle w:val="001000000000" w:firstRow="0" w:lastRow="0" w:firstColumn="1" w:lastColumn="0" w:oddVBand="0" w:evenVBand="0" w:oddHBand="0" w:evenHBand="0" w:firstRowFirstColumn="0" w:firstRowLastColumn="0" w:lastRowFirstColumn="0" w:lastRowLastColumn="0"/>
            <w:tcW w:w="9493" w:type="dxa"/>
            <w:gridSpan w:val="6"/>
            <w:vAlign w:val="center"/>
            <w:hideMark/>
          </w:tcPr>
          <w:p w14:paraId="6E4F3827" w14:textId="77777777" w:rsidR="00CF4E43" w:rsidRPr="00CF4E43" w:rsidRDefault="00CF4E43" w:rsidP="00CF4E43">
            <w:pPr>
              <w:jc w:val="center"/>
              <w:rPr>
                <w:rFonts w:ascii="Times New Roman" w:eastAsia="Times New Roman" w:hAnsi="Times New Roman" w:cs="Times New Roman"/>
                <w:color w:val="000000" w:themeColor="text1"/>
                <w:kern w:val="0"/>
                <w:sz w:val="20"/>
                <w:szCs w:val="20"/>
                <w:lang w:eastAsia="en-AU"/>
                <w14:ligatures w14:val="none"/>
              </w:rPr>
            </w:pPr>
            <w:r w:rsidRPr="00CF4E43">
              <w:rPr>
                <w:rFonts w:ascii="Times New Roman" w:eastAsia="Times New Roman" w:hAnsi="Times New Roman" w:cs="Times New Roman"/>
                <w:color w:val="000000" w:themeColor="text1"/>
                <w:kern w:val="0"/>
                <w:sz w:val="20"/>
                <w:szCs w:val="20"/>
                <w:lang w:eastAsia="en-AU"/>
                <w14:ligatures w14:val="none"/>
              </w:rPr>
              <w:t>a. R Squared = .178 (Adjusted R Squared = .100)</w:t>
            </w:r>
          </w:p>
        </w:tc>
      </w:tr>
    </w:tbl>
    <w:p w14:paraId="2E707DED" w14:textId="77777777" w:rsidR="00D11E0D" w:rsidRPr="001E65D8" w:rsidRDefault="00D11E0D" w:rsidP="00D11E0D">
      <w:pPr>
        <w:rPr>
          <w:rFonts w:ascii="Times New Roman" w:hAnsi="Times New Roman" w:cs="Times New Roman"/>
          <w:sz w:val="20"/>
          <w:szCs w:val="20"/>
        </w:rPr>
      </w:pPr>
    </w:p>
    <w:p w14:paraId="2C9BC909" w14:textId="77777777" w:rsidR="00D11E0D" w:rsidRPr="001E65D8" w:rsidRDefault="00D11E0D" w:rsidP="00D11E0D">
      <w:pPr>
        <w:rPr>
          <w:rFonts w:ascii="Times New Roman" w:hAnsi="Times New Roman" w:cs="Times New Roman"/>
          <w:sz w:val="20"/>
          <w:szCs w:val="20"/>
        </w:rPr>
      </w:pPr>
    </w:p>
    <w:p w14:paraId="6F7C333C" w14:textId="77777777" w:rsidR="00D11E0D" w:rsidRPr="001E65D8" w:rsidRDefault="00D11E0D" w:rsidP="00D11E0D">
      <w:pPr>
        <w:rPr>
          <w:rFonts w:ascii="Times New Roman" w:hAnsi="Times New Roman" w:cs="Times New Roman"/>
          <w:sz w:val="20"/>
          <w:szCs w:val="20"/>
        </w:rPr>
      </w:pPr>
    </w:p>
    <w:p w14:paraId="0AC68441" w14:textId="77777777" w:rsidR="00D11E0D" w:rsidRPr="001E65D8" w:rsidRDefault="00D11E0D" w:rsidP="00D11E0D">
      <w:pPr>
        <w:rPr>
          <w:rFonts w:ascii="Times New Roman" w:hAnsi="Times New Roman" w:cs="Times New Roman"/>
          <w:sz w:val="20"/>
          <w:szCs w:val="20"/>
        </w:rPr>
      </w:pPr>
    </w:p>
    <w:p w14:paraId="7CCC6409" w14:textId="77777777" w:rsidR="00D11E0D" w:rsidRPr="001E65D8" w:rsidRDefault="00D11E0D" w:rsidP="00D11E0D">
      <w:pPr>
        <w:rPr>
          <w:rFonts w:ascii="Times New Roman" w:hAnsi="Times New Roman" w:cs="Times New Roman"/>
          <w:sz w:val="20"/>
          <w:szCs w:val="20"/>
        </w:rPr>
      </w:pPr>
    </w:p>
    <w:p w14:paraId="4826B6D6" w14:textId="77777777" w:rsidR="00D11E0D" w:rsidRPr="001E65D8" w:rsidRDefault="00D11E0D" w:rsidP="00D11E0D">
      <w:pPr>
        <w:rPr>
          <w:rFonts w:ascii="Times New Roman" w:hAnsi="Times New Roman" w:cs="Times New Roman"/>
          <w:sz w:val="20"/>
          <w:szCs w:val="20"/>
        </w:rPr>
      </w:pPr>
    </w:p>
    <w:p w14:paraId="10411C77" w14:textId="77777777" w:rsidR="00D11E0D" w:rsidRPr="001E65D8" w:rsidRDefault="00D11E0D" w:rsidP="00D11E0D">
      <w:pPr>
        <w:rPr>
          <w:rFonts w:ascii="Times New Roman" w:hAnsi="Times New Roman" w:cs="Times New Roman"/>
          <w:sz w:val="20"/>
          <w:szCs w:val="20"/>
        </w:rPr>
      </w:pPr>
    </w:p>
    <w:p w14:paraId="2CEDCA36" w14:textId="77777777" w:rsidR="00D11E0D" w:rsidRPr="001E65D8" w:rsidRDefault="00D11E0D" w:rsidP="00D11E0D">
      <w:pPr>
        <w:rPr>
          <w:rFonts w:ascii="Times New Roman" w:hAnsi="Times New Roman" w:cs="Times New Roman"/>
          <w:sz w:val="20"/>
          <w:szCs w:val="20"/>
        </w:rPr>
      </w:pPr>
    </w:p>
    <w:p w14:paraId="3973504F" w14:textId="77777777" w:rsidR="00D11E0D" w:rsidRPr="001E65D8" w:rsidRDefault="00D11E0D" w:rsidP="00D11E0D">
      <w:pPr>
        <w:rPr>
          <w:rFonts w:ascii="Times New Roman" w:hAnsi="Times New Roman" w:cs="Times New Roman"/>
          <w:sz w:val="20"/>
          <w:szCs w:val="20"/>
        </w:rPr>
      </w:pPr>
    </w:p>
    <w:p w14:paraId="17DCC69C" w14:textId="77777777" w:rsidR="00D11E0D" w:rsidRPr="001E65D8" w:rsidRDefault="00D11E0D" w:rsidP="00D11E0D">
      <w:pPr>
        <w:rPr>
          <w:rFonts w:ascii="Times New Roman" w:hAnsi="Times New Roman" w:cs="Times New Roman"/>
          <w:sz w:val="20"/>
          <w:szCs w:val="20"/>
        </w:rPr>
      </w:pPr>
    </w:p>
    <w:p w14:paraId="667DAC7D" w14:textId="77777777" w:rsidR="00CF4E43" w:rsidRDefault="00CF4E43" w:rsidP="00D11E0D">
      <w:pPr>
        <w:tabs>
          <w:tab w:val="left" w:pos="7200"/>
        </w:tabs>
        <w:rPr>
          <w:rFonts w:ascii="Times New Roman" w:hAnsi="Times New Roman" w:cs="Times New Roman"/>
          <w:sz w:val="20"/>
          <w:szCs w:val="20"/>
        </w:rPr>
      </w:pPr>
    </w:p>
    <w:p w14:paraId="5ED82CB2" w14:textId="1C8CF41D" w:rsidR="00D11E0D" w:rsidRPr="001E65D8" w:rsidRDefault="00D11E0D" w:rsidP="00D11E0D">
      <w:pPr>
        <w:tabs>
          <w:tab w:val="left" w:pos="7200"/>
        </w:tabs>
        <w:rPr>
          <w:rFonts w:ascii="Times New Roman" w:eastAsia="+mn-ea" w:hAnsi="Times New Roman" w:cs="Times New Roman"/>
          <w:b/>
          <w:bCs/>
          <w:color w:val="000000"/>
          <w:kern w:val="24"/>
          <w:sz w:val="20"/>
          <w:szCs w:val="20"/>
        </w:rPr>
      </w:pPr>
      <w:r w:rsidRPr="001E65D8">
        <w:rPr>
          <w:rFonts w:ascii="Times New Roman" w:eastAsia="Aptos" w:hAnsi="Times New Roman" w:cs="Times New Roman"/>
          <w:b/>
          <w:bCs/>
          <w:color w:val="000000" w:themeColor="text1"/>
          <w:sz w:val="20"/>
          <w:szCs w:val="20"/>
        </w:rPr>
        <w:lastRenderedPageBreak/>
        <w:t>Table S2.</w:t>
      </w:r>
      <w:r w:rsidR="00C64264" w:rsidRPr="001E65D8">
        <w:rPr>
          <w:rFonts w:ascii="Times New Roman" w:eastAsia="Aptos" w:hAnsi="Times New Roman" w:cs="Times New Roman"/>
          <w:b/>
          <w:bCs/>
          <w:color w:val="000000" w:themeColor="text1"/>
          <w:sz w:val="20"/>
          <w:szCs w:val="20"/>
        </w:rPr>
        <w:t>1</w:t>
      </w:r>
      <w:r w:rsidRPr="001E65D8">
        <w:rPr>
          <w:rFonts w:ascii="Times New Roman" w:eastAsia="Aptos" w:hAnsi="Times New Roman" w:cs="Times New Roman"/>
          <w:b/>
          <w:bCs/>
          <w:color w:val="000000" w:themeColor="text1"/>
          <w:sz w:val="20"/>
          <w:szCs w:val="20"/>
        </w:rPr>
        <w:t xml:space="preserve"> </w:t>
      </w:r>
      <w:r w:rsidRPr="001E65D8">
        <w:rPr>
          <w:rFonts w:ascii="Times New Roman" w:eastAsia="+mn-ea" w:hAnsi="Times New Roman" w:cs="Times New Roman"/>
          <w:b/>
          <w:bCs/>
          <w:color w:val="000000"/>
          <w:kern w:val="24"/>
          <w:sz w:val="20"/>
          <w:szCs w:val="20"/>
        </w:rPr>
        <w:t>Significant Gene Ontology Terms MDA-MB-231 STING High vs STING Low</w:t>
      </w:r>
      <w:r w:rsidR="00C64264" w:rsidRPr="001E65D8">
        <w:rPr>
          <w:rFonts w:ascii="Times New Roman" w:eastAsia="+mn-ea" w:hAnsi="Times New Roman" w:cs="Times New Roman"/>
          <w:b/>
          <w:bCs/>
          <w:color w:val="000000"/>
          <w:kern w:val="24"/>
          <w:sz w:val="20"/>
          <w:szCs w:val="20"/>
        </w:rPr>
        <w:t xml:space="preserve"> (Upregulated)</w:t>
      </w:r>
    </w:p>
    <w:tbl>
      <w:tblPr>
        <w:tblStyle w:val="PlainTable1"/>
        <w:tblW w:w="9918" w:type="dxa"/>
        <w:tblLayout w:type="fixed"/>
        <w:tblLook w:val="04A0" w:firstRow="1" w:lastRow="0" w:firstColumn="1" w:lastColumn="0" w:noHBand="0" w:noVBand="1"/>
      </w:tblPr>
      <w:tblGrid>
        <w:gridCol w:w="562"/>
        <w:gridCol w:w="1560"/>
        <w:gridCol w:w="992"/>
        <w:gridCol w:w="1559"/>
        <w:gridCol w:w="5245"/>
      </w:tblGrid>
      <w:tr w:rsidR="00716FA0" w:rsidRPr="001E65D8" w14:paraId="7D37AC58" w14:textId="77777777" w:rsidTr="001E65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2C76314"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ID</w:t>
            </w:r>
          </w:p>
        </w:tc>
        <w:tc>
          <w:tcPr>
            <w:tcW w:w="1560" w:type="dxa"/>
            <w:noWrap/>
            <w:vAlign w:val="center"/>
            <w:hideMark/>
          </w:tcPr>
          <w:p w14:paraId="2630C3D1" w14:textId="3987E90E" w:rsidR="00716FA0" w:rsidRPr="001E65D8" w:rsidRDefault="00716FA0" w:rsidP="00C64264">
            <w:pPr>
              <w:tabs>
                <w:tab w:val="left" w:pos="720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T</w:t>
            </w:r>
            <w:r w:rsidRPr="001E65D8">
              <w:rPr>
                <w:rFonts w:ascii="Times New Roman" w:hAnsi="Times New Roman" w:cs="Times New Roman"/>
                <w:sz w:val="20"/>
                <w:szCs w:val="20"/>
              </w:rPr>
              <w:t>erm_name</w:t>
            </w:r>
          </w:p>
        </w:tc>
        <w:tc>
          <w:tcPr>
            <w:tcW w:w="992" w:type="dxa"/>
            <w:noWrap/>
            <w:vAlign w:val="center"/>
            <w:hideMark/>
          </w:tcPr>
          <w:p w14:paraId="37D502B1" w14:textId="003F9C8B" w:rsidR="00716FA0" w:rsidRPr="001E65D8" w:rsidRDefault="00716FA0" w:rsidP="00C64264">
            <w:pPr>
              <w:tabs>
                <w:tab w:val="left" w:pos="720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S</w:t>
            </w:r>
            <w:r w:rsidRPr="001E65D8">
              <w:rPr>
                <w:rFonts w:ascii="Times New Roman" w:hAnsi="Times New Roman" w:cs="Times New Roman"/>
                <w:sz w:val="20"/>
                <w:szCs w:val="20"/>
              </w:rPr>
              <w:t>ource</w:t>
            </w:r>
          </w:p>
        </w:tc>
        <w:tc>
          <w:tcPr>
            <w:tcW w:w="1559" w:type="dxa"/>
            <w:noWrap/>
            <w:vAlign w:val="center"/>
            <w:hideMark/>
          </w:tcPr>
          <w:p w14:paraId="54F12CC6" w14:textId="77777777" w:rsidR="00716FA0" w:rsidRPr="001E65D8" w:rsidRDefault="00716FA0" w:rsidP="00C64264">
            <w:pPr>
              <w:tabs>
                <w:tab w:val="left" w:pos="720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1E65D8">
              <w:rPr>
                <w:rFonts w:ascii="Times New Roman" w:hAnsi="Times New Roman" w:cs="Times New Roman"/>
                <w:sz w:val="20"/>
                <w:szCs w:val="20"/>
              </w:rPr>
              <w:t>A</w:t>
            </w:r>
            <w:r w:rsidRPr="001E65D8">
              <w:rPr>
                <w:rFonts w:ascii="Times New Roman" w:hAnsi="Times New Roman" w:cs="Times New Roman"/>
                <w:sz w:val="20"/>
                <w:szCs w:val="20"/>
              </w:rPr>
              <w:t>djusted</w:t>
            </w:r>
          </w:p>
          <w:p w14:paraId="651402DF" w14:textId="018B3808" w:rsidR="00716FA0" w:rsidRPr="001E65D8" w:rsidRDefault="00716FA0" w:rsidP="00C64264">
            <w:pPr>
              <w:tabs>
                <w:tab w:val="left" w:pos="720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p_value</w:t>
            </w:r>
          </w:p>
        </w:tc>
        <w:tc>
          <w:tcPr>
            <w:tcW w:w="5245" w:type="dxa"/>
            <w:noWrap/>
            <w:vAlign w:val="center"/>
            <w:hideMark/>
          </w:tcPr>
          <w:p w14:paraId="4BBF193A" w14:textId="2C10BA2D" w:rsidR="00716FA0" w:rsidRPr="001E65D8" w:rsidRDefault="00716FA0" w:rsidP="00C64264">
            <w:pPr>
              <w:tabs>
                <w:tab w:val="left" w:pos="7200"/>
              </w:tabs>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I</w:t>
            </w:r>
            <w:r w:rsidRPr="001E65D8">
              <w:rPr>
                <w:rFonts w:ascii="Times New Roman" w:hAnsi="Times New Roman" w:cs="Times New Roman"/>
                <w:sz w:val="20"/>
                <w:szCs w:val="20"/>
              </w:rPr>
              <w:t>ntersections</w:t>
            </w:r>
          </w:p>
        </w:tc>
      </w:tr>
      <w:tr w:rsidR="00716FA0" w:rsidRPr="001E65D8" w14:paraId="3B8353D4"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BDBA9D9"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1</w:t>
            </w:r>
          </w:p>
        </w:tc>
        <w:tc>
          <w:tcPr>
            <w:tcW w:w="1560" w:type="dxa"/>
            <w:noWrap/>
            <w:vAlign w:val="center"/>
            <w:hideMark/>
          </w:tcPr>
          <w:p w14:paraId="150FC9AB" w14:textId="0712966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S</w:t>
            </w:r>
            <w:r w:rsidRPr="001E65D8">
              <w:rPr>
                <w:rFonts w:ascii="Times New Roman" w:hAnsi="Times New Roman" w:cs="Times New Roman"/>
                <w:sz w:val="20"/>
                <w:szCs w:val="20"/>
              </w:rPr>
              <w:t>tructural constituent of ribosome</w:t>
            </w:r>
          </w:p>
        </w:tc>
        <w:tc>
          <w:tcPr>
            <w:tcW w:w="992" w:type="dxa"/>
            <w:noWrap/>
            <w:vAlign w:val="center"/>
            <w:hideMark/>
          </w:tcPr>
          <w:p w14:paraId="19B864D0"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GO:MF</w:t>
            </w:r>
          </w:p>
        </w:tc>
        <w:tc>
          <w:tcPr>
            <w:tcW w:w="1559" w:type="dxa"/>
            <w:noWrap/>
            <w:vAlign w:val="center"/>
            <w:hideMark/>
          </w:tcPr>
          <w:p w14:paraId="6EF77E2E"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1.01E-24</w:t>
            </w:r>
          </w:p>
        </w:tc>
        <w:tc>
          <w:tcPr>
            <w:tcW w:w="5245" w:type="dxa"/>
            <w:noWrap/>
            <w:vAlign w:val="center"/>
            <w:hideMark/>
          </w:tcPr>
          <w:p w14:paraId="27B08FA4"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RPL10A,RPL12,RPL13A,RPL14,RPL15,RPL18,RPL21,RPL23A,RPL24,RPL27,RPL27A,RPL3,RPL32,RPL35,RPL36,RPL4,RPL6,RPL7,RPL7A,RPLP1,RPS13,RPS15A,RPS16,RPS2,RPS24,RPS3A,RPS4X,RPS8</w:t>
            </w:r>
          </w:p>
        </w:tc>
      </w:tr>
      <w:tr w:rsidR="00716FA0" w:rsidRPr="001E65D8" w14:paraId="4AF509FE"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833D045"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2</w:t>
            </w:r>
          </w:p>
        </w:tc>
        <w:tc>
          <w:tcPr>
            <w:tcW w:w="1560" w:type="dxa"/>
            <w:noWrap/>
            <w:vAlign w:val="center"/>
            <w:hideMark/>
          </w:tcPr>
          <w:p w14:paraId="36C9C241"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RNA binding</w:t>
            </w:r>
          </w:p>
        </w:tc>
        <w:tc>
          <w:tcPr>
            <w:tcW w:w="992" w:type="dxa"/>
            <w:noWrap/>
            <w:vAlign w:val="center"/>
            <w:hideMark/>
          </w:tcPr>
          <w:p w14:paraId="752E139F"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GO:MF</w:t>
            </w:r>
          </w:p>
        </w:tc>
        <w:tc>
          <w:tcPr>
            <w:tcW w:w="1559" w:type="dxa"/>
            <w:noWrap/>
            <w:vAlign w:val="center"/>
            <w:hideMark/>
          </w:tcPr>
          <w:p w14:paraId="2168E3DC"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2.77E-15</w:t>
            </w:r>
          </w:p>
        </w:tc>
        <w:tc>
          <w:tcPr>
            <w:tcW w:w="5245" w:type="dxa"/>
            <w:noWrap/>
            <w:vAlign w:val="center"/>
            <w:hideMark/>
          </w:tcPr>
          <w:p w14:paraId="4FFA289E"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AARS1,ALYREF,BTF3,CDC5L,CORO1A,DDX20,FBL,MKI67,NOP2,PUS7,RANGAP1,RPL10A,RPL12,RPL13A,RPL14,RPL15,RPL18,RPL21,RPL23A,RPL24,RPL27,RPL27A,RPL3,RPL32,RPL35,RPL36,RPL4,RPL6,RPL7,RPL7A,RPS13,RPS15A,RPS16,RPS2,RPS24,RPS3A,RPS4X,RPS8,SARS1,SPATS2L,STAU1,SUPT16H,TAF15,TOP1</w:t>
            </w:r>
          </w:p>
        </w:tc>
      </w:tr>
      <w:tr w:rsidR="00716FA0" w:rsidRPr="001E65D8" w14:paraId="7CF4F7CA"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58D31E3"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3</w:t>
            </w:r>
          </w:p>
        </w:tc>
        <w:tc>
          <w:tcPr>
            <w:tcW w:w="1560" w:type="dxa"/>
            <w:noWrap/>
            <w:vAlign w:val="center"/>
            <w:hideMark/>
          </w:tcPr>
          <w:p w14:paraId="04BF986D" w14:textId="51B803A3"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C</w:t>
            </w:r>
            <w:r w:rsidRPr="001E65D8">
              <w:rPr>
                <w:rFonts w:ascii="Times New Roman" w:hAnsi="Times New Roman" w:cs="Times New Roman"/>
                <w:sz w:val="20"/>
                <w:szCs w:val="20"/>
              </w:rPr>
              <w:t>adherin binding</w:t>
            </w:r>
          </w:p>
        </w:tc>
        <w:tc>
          <w:tcPr>
            <w:tcW w:w="992" w:type="dxa"/>
            <w:noWrap/>
            <w:vAlign w:val="center"/>
            <w:hideMark/>
          </w:tcPr>
          <w:p w14:paraId="45474199"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GO:MF</w:t>
            </w:r>
          </w:p>
        </w:tc>
        <w:tc>
          <w:tcPr>
            <w:tcW w:w="1559" w:type="dxa"/>
            <w:noWrap/>
            <w:vAlign w:val="center"/>
            <w:hideMark/>
          </w:tcPr>
          <w:p w14:paraId="45EB9107"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0.000243507</w:t>
            </w:r>
          </w:p>
        </w:tc>
        <w:tc>
          <w:tcPr>
            <w:tcW w:w="5245" w:type="dxa"/>
            <w:noWrap/>
            <w:vAlign w:val="center"/>
            <w:hideMark/>
          </w:tcPr>
          <w:p w14:paraId="79278A63"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EFHD2,PDLIM5,RANGAP1,RPL14,RPL15,RPL23A,RPL24,RPL6,RPL7A,RPS2</w:t>
            </w:r>
          </w:p>
        </w:tc>
      </w:tr>
      <w:tr w:rsidR="00716FA0" w:rsidRPr="001E65D8" w14:paraId="725F3088"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5CD2FC17"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4</w:t>
            </w:r>
          </w:p>
        </w:tc>
        <w:tc>
          <w:tcPr>
            <w:tcW w:w="1560" w:type="dxa"/>
            <w:noWrap/>
            <w:vAlign w:val="center"/>
            <w:hideMark/>
          </w:tcPr>
          <w:p w14:paraId="251DD400" w14:textId="447866DB"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A</w:t>
            </w:r>
            <w:r w:rsidRPr="001E65D8">
              <w:rPr>
                <w:rFonts w:ascii="Times New Roman" w:hAnsi="Times New Roman" w:cs="Times New Roman"/>
                <w:sz w:val="20"/>
                <w:szCs w:val="20"/>
              </w:rPr>
              <w:t>minoacyl-tRNA ligase activity</w:t>
            </w:r>
          </w:p>
        </w:tc>
        <w:tc>
          <w:tcPr>
            <w:tcW w:w="992" w:type="dxa"/>
            <w:noWrap/>
            <w:vAlign w:val="center"/>
            <w:hideMark/>
          </w:tcPr>
          <w:p w14:paraId="045ACF15"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GO:MF</w:t>
            </w:r>
          </w:p>
        </w:tc>
        <w:tc>
          <w:tcPr>
            <w:tcW w:w="1559" w:type="dxa"/>
            <w:noWrap/>
            <w:vAlign w:val="center"/>
            <w:hideMark/>
          </w:tcPr>
          <w:p w14:paraId="312DF939"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0.011612634</w:t>
            </w:r>
          </w:p>
        </w:tc>
        <w:tc>
          <w:tcPr>
            <w:tcW w:w="5245" w:type="dxa"/>
            <w:noWrap/>
            <w:vAlign w:val="center"/>
            <w:hideMark/>
          </w:tcPr>
          <w:p w14:paraId="4BBED0DB"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AARS1,AARSD1,SARS1,WARS1</w:t>
            </w:r>
          </w:p>
        </w:tc>
      </w:tr>
      <w:tr w:rsidR="00716FA0" w:rsidRPr="001E65D8" w14:paraId="6C99D7E7"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8D5BC7B"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5</w:t>
            </w:r>
          </w:p>
        </w:tc>
        <w:tc>
          <w:tcPr>
            <w:tcW w:w="1560" w:type="dxa"/>
            <w:noWrap/>
            <w:vAlign w:val="center"/>
            <w:hideMark/>
          </w:tcPr>
          <w:p w14:paraId="4AAC83E3"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Ser-tRNA(Ala) deacylase activity</w:t>
            </w:r>
          </w:p>
        </w:tc>
        <w:tc>
          <w:tcPr>
            <w:tcW w:w="992" w:type="dxa"/>
            <w:noWrap/>
            <w:vAlign w:val="center"/>
            <w:hideMark/>
          </w:tcPr>
          <w:p w14:paraId="574C8710"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GO:MF</w:t>
            </w:r>
          </w:p>
        </w:tc>
        <w:tc>
          <w:tcPr>
            <w:tcW w:w="1559" w:type="dxa"/>
            <w:noWrap/>
            <w:vAlign w:val="center"/>
            <w:hideMark/>
          </w:tcPr>
          <w:p w14:paraId="75D94533"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0.025058823</w:t>
            </w:r>
          </w:p>
        </w:tc>
        <w:tc>
          <w:tcPr>
            <w:tcW w:w="5245" w:type="dxa"/>
            <w:noWrap/>
            <w:vAlign w:val="center"/>
            <w:hideMark/>
          </w:tcPr>
          <w:p w14:paraId="2B40B62E"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AARS1,AARSD1</w:t>
            </w:r>
          </w:p>
        </w:tc>
      </w:tr>
      <w:tr w:rsidR="00716FA0" w:rsidRPr="001E65D8" w14:paraId="6B52E6BD"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4FCA6E9"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6</w:t>
            </w:r>
          </w:p>
        </w:tc>
        <w:tc>
          <w:tcPr>
            <w:tcW w:w="1560" w:type="dxa"/>
            <w:noWrap/>
            <w:vAlign w:val="center"/>
            <w:hideMark/>
          </w:tcPr>
          <w:p w14:paraId="4B9C2B5C" w14:textId="0F7789F1"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C</w:t>
            </w:r>
            <w:r w:rsidRPr="001E65D8">
              <w:rPr>
                <w:rFonts w:ascii="Times New Roman" w:hAnsi="Times New Roman" w:cs="Times New Roman"/>
                <w:sz w:val="20"/>
                <w:szCs w:val="20"/>
              </w:rPr>
              <w:t>ytoplasmic translation</w:t>
            </w:r>
          </w:p>
        </w:tc>
        <w:tc>
          <w:tcPr>
            <w:tcW w:w="992" w:type="dxa"/>
            <w:noWrap/>
            <w:vAlign w:val="center"/>
            <w:hideMark/>
          </w:tcPr>
          <w:p w14:paraId="413845C8"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GO:BP</w:t>
            </w:r>
          </w:p>
        </w:tc>
        <w:tc>
          <w:tcPr>
            <w:tcW w:w="1559" w:type="dxa"/>
            <w:noWrap/>
            <w:vAlign w:val="center"/>
            <w:hideMark/>
          </w:tcPr>
          <w:p w14:paraId="11D67B58"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1.71E-41</w:t>
            </w:r>
          </w:p>
        </w:tc>
        <w:tc>
          <w:tcPr>
            <w:tcW w:w="5245" w:type="dxa"/>
            <w:noWrap/>
            <w:vAlign w:val="center"/>
            <w:hideMark/>
          </w:tcPr>
          <w:p w14:paraId="6C469870"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AARS1,MTOR,RPL10A,RPL12,RPL13A,RPL14,RPL15,RPL18,RPL21,RPL23A,RPL24,RPL27,RPL27A,RPL3,RPL32,RPL35,RPL36,RPL4,RPL6,RPL7,RPL7A,RPLP1,RPS13,RPS15A,RPS16,RPS2,RPS24,RPS3A,RPS4X,RPS8,SARS1</w:t>
            </w:r>
          </w:p>
        </w:tc>
      </w:tr>
      <w:tr w:rsidR="00716FA0" w:rsidRPr="001E65D8" w14:paraId="2536A12A"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66AC9C8"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7</w:t>
            </w:r>
          </w:p>
        </w:tc>
        <w:tc>
          <w:tcPr>
            <w:tcW w:w="1560" w:type="dxa"/>
            <w:noWrap/>
            <w:vAlign w:val="center"/>
            <w:hideMark/>
          </w:tcPr>
          <w:p w14:paraId="29CBF7DE" w14:textId="55A469AA"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R</w:t>
            </w:r>
            <w:r w:rsidRPr="001E65D8">
              <w:rPr>
                <w:rFonts w:ascii="Times New Roman" w:hAnsi="Times New Roman" w:cs="Times New Roman"/>
                <w:sz w:val="20"/>
                <w:szCs w:val="20"/>
              </w:rPr>
              <w:t>ibosome biogenesis</w:t>
            </w:r>
          </w:p>
        </w:tc>
        <w:tc>
          <w:tcPr>
            <w:tcW w:w="992" w:type="dxa"/>
            <w:noWrap/>
            <w:vAlign w:val="center"/>
            <w:hideMark/>
          </w:tcPr>
          <w:p w14:paraId="10F0BCF1"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GO:BP</w:t>
            </w:r>
          </w:p>
        </w:tc>
        <w:tc>
          <w:tcPr>
            <w:tcW w:w="1559" w:type="dxa"/>
            <w:noWrap/>
            <w:vAlign w:val="center"/>
            <w:hideMark/>
          </w:tcPr>
          <w:p w14:paraId="09F800AE"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1.86E-10</w:t>
            </w:r>
          </w:p>
        </w:tc>
        <w:tc>
          <w:tcPr>
            <w:tcW w:w="5245" w:type="dxa"/>
            <w:noWrap/>
            <w:vAlign w:val="center"/>
            <w:hideMark/>
          </w:tcPr>
          <w:p w14:paraId="0A3EC5CB"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FBL,NOP2,RPL14,RPL24,RPL27,RPL35,RPL7,RPL7A,RPS13,RPS15A,RPS16,RPS24,RPS3A,RPS4X,RPS8</w:t>
            </w:r>
          </w:p>
        </w:tc>
      </w:tr>
      <w:tr w:rsidR="00716FA0" w:rsidRPr="001E65D8" w14:paraId="194BC3BE"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3BD18660"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8</w:t>
            </w:r>
          </w:p>
        </w:tc>
        <w:tc>
          <w:tcPr>
            <w:tcW w:w="1560" w:type="dxa"/>
            <w:noWrap/>
            <w:vAlign w:val="center"/>
            <w:hideMark/>
          </w:tcPr>
          <w:p w14:paraId="701CDA9A" w14:textId="1FEECC65"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C</w:t>
            </w:r>
            <w:r w:rsidRPr="001E65D8">
              <w:rPr>
                <w:rFonts w:ascii="Times New Roman" w:hAnsi="Times New Roman" w:cs="Times New Roman"/>
                <w:sz w:val="20"/>
                <w:szCs w:val="20"/>
              </w:rPr>
              <w:t>ellular component biogenesis</w:t>
            </w:r>
          </w:p>
        </w:tc>
        <w:tc>
          <w:tcPr>
            <w:tcW w:w="992" w:type="dxa"/>
            <w:noWrap/>
            <w:vAlign w:val="center"/>
            <w:hideMark/>
          </w:tcPr>
          <w:p w14:paraId="1DFB3BF6"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GO:BP</w:t>
            </w:r>
          </w:p>
        </w:tc>
        <w:tc>
          <w:tcPr>
            <w:tcW w:w="1559" w:type="dxa"/>
            <w:noWrap/>
            <w:vAlign w:val="center"/>
            <w:hideMark/>
          </w:tcPr>
          <w:p w14:paraId="61DD4D73"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0.013929686</w:t>
            </w:r>
          </w:p>
        </w:tc>
        <w:tc>
          <w:tcPr>
            <w:tcW w:w="5245" w:type="dxa"/>
            <w:noWrap/>
            <w:vAlign w:val="center"/>
            <w:hideMark/>
          </w:tcPr>
          <w:p w14:paraId="01F118A9"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AP2S1,BOLA2,CORO1A,DDX20,FBL,GBP1,GOLPH3,HAT1,INPPL1,ISG15,MACROH2A1,MTOR,NAPA,NOP2,OGFOD1,PDLIM5,RPL13A,RPL14,RPL24,RPL27,RPL35,RPL7,RPL7A,RPS13,RPS15A,RPS16,RPS24,RPS3A,RPS4X,RPS8,RRM2,SUPT16H,TUBB,WARS1</w:t>
            </w:r>
          </w:p>
        </w:tc>
      </w:tr>
      <w:tr w:rsidR="00716FA0" w:rsidRPr="001E65D8" w14:paraId="552ACAFA"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0AA11A49"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9</w:t>
            </w:r>
          </w:p>
        </w:tc>
        <w:tc>
          <w:tcPr>
            <w:tcW w:w="1560" w:type="dxa"/>
            <w:noWrap/>
            <w:vAlign w:val="center"/>
            <w:hideMark/>
          </w:tcPr>
          <w:p w14:paraId="617A06DC"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tRNA aminoacylation for protein translation</w:t>
            </w:r>
          </w:p>
        </w:tc>
        <w:tc>
          <w:tcPr>
            <w:tcW w:w="992" w:type="dxa"/>
            <w:noWrap/>
            <w:vAlign w:val="center"/>
            <w:hideMark/>
          </w:tcPr>
          <w:p w14:paraId="2166036F"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GO:BP</w:t>
            </w:r>
          </w:p>
        </w:tc>
        <w:tc>
          <w:tcPr>
            <w:tcW w:w="1559" w:type="dxa"/>
            <w:noWrap/>
            <w:vAlign w:val="center"/>
            <w:hideMark/>
          </w:tcPr>
          <w:p w14:paraId="19B498A0"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0.020530705</w:t>
            </w:r>
          </w:p>
        </w:tc>
        <w:tc>
          <w:tcPr>
            <w:tcW w:w="5245" w:type="dxa"/>
            <w:noWrap/>
            <w:vAlign w:val="center"/>
            <w:hideMark/>
          </w:tcPr>
          <w:p w14:paraId="404FEC58"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AARS1,AARSD1,SARS1,WARS1</w:t>
            </w:r>
          </w:p>
        </w:tc>
      </w:tr>
      <w:tr w:rsidR="00716FA0" w:rsidRPr="001E65D8" w14:paraId="5336E414"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5B9BEF2"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10</w:t>
            </w:r>
          </w:p>
        </w:tc>
        <w:tc>
          <w:tcPr>
            <w:tcW w:w="1560" w:type="dxa"/>
            <w:noWrap/>
            <w:vAlign w:val="center"/>
            <w:hideMark/>
          </w:tcPr>
          <w:p w14:paraId="21DF39DC" w14:textId="28DA6F9F"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C</w:t>
            </w:r>
            <w:r w:rsidRPr="001E65D8">
              <w:rPr>
                <w:rFonts w:ascii="Times New Roman" w:hAnsi="Times New Roman" w:cs="Times New Roman"/>
                <w:sz w:val="20"/>
                <w:szCs w:val="20"/>
              </w:rPr>
              <w:t>ytosolic ribosome</w:t>
            </w:r>
          </w:p>
        </w:tc>
        <w:tc>
          <w:tcPr>
            <w:tcW w:w="992" w:type="dxa"/>
            <w:noWrap/>
            <w:vAlign w:val="center"/>
            <w:hideMark/>
          </w:tcPr>
          <w:p w14:paraId="0BBB6EA3"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GO:CC</w:t>
            </w:r>
          </w:p>
        </w:tc>
        <w:tc>
          <w:tcPr>
            <w:tcW w:w="1559" w:type="dxa"/>
            <w:noWrap/>
            <w:vAlign w:val="center"/>
            <w:hideMark/>
          </w:tcPr>
          <w:p w14:paraId="247B2230"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1.77E-43</w:t>
            </w:r>
          </w:p>
        </w:tc>
        <w:tc>
          <w:tcPr>
            <w:tcW w:w="5245" w:type="dxa"/>
            <w:noWrap/>
            <w:vAlign w:val="center"/>
            <w:hideMark/>
          </w:tcPr>
          <w:p w14:paraId="22DB541F"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RPL10A,RPL12,RPL13A,RPL14,RPL15,RPL18,RPL21,RPL23A,RPL24,RPL27,RPL27A,RPL3,RPL32,RPL35,RPL36,RPL4,RPL6,RPL7,RPL7A,RPLP1,RPS13,RPS15A,RPS16,RPS2,RPS24,RPS3A,RPS4X,RPS8</w:t>
            </w:r>
          </w:p>
        </w:tc>
      </w:tr>
      <w:tr w:rsidR="00716FA0" w:rsidRPr="001E65D8" w14:paraId="01AFA5BF"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7BD8C3A8"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11</w:t>
            </w:r>
          </w:p>
        </w:tc>
        <w:tc>
          <w:tcPr>
            <w:tcW w:w="1560" w:type="dxa"/>
            <w:noWrap/>
            <w:vAlign w:val="center"/>
            <w:hideMark/>
          </w:tcPr>
          <w:p w14:paraId="45D6EF8E" w14:textId="1125EACB"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F</w:t>
            </w:r>
            <w:r w:rsidRPr="001E65D8">
              <w:rPr>
                <w:rFonts w:ascii="Times New Roman" w:hAnsi="Times New Roman" w:cs="Times New Roman"/>
                <w:sz w:val="20"/>
                <w:szCs w:val="20"/>
              </w:rPr>
              <w:t>ocal adhesion</w:t>
            </w:r>
          </w:p>
        </w:tc>
        <w:tc>
          <w:tcPr>
            <w:tcW w:w="992" w:type="dxa"/>
            <w:noWrap/>
            <w:vAlign w:val="center"/>
            <w:hideMark/>
          </w:tcPr>
          <w:p w14:paraId="61B0E73C"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GO:CC</w:t>
            </w:r>
          </w:p>
        </w:tc>
        <w:tc>
          <w:tcPr>
            <w:tcW w:w="1559" w:type="dxa"/>
            <w:noWrap/>
            <w:vAlign w:val="center"/>
            <w:hideMark/>
          </w:tcPr>
          <w:p w14:paraId="5C2322B3"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8.99E-13</w:t>
            </w:r>
          </w:p>
        </w:tc>
        <w:tc>
          <w:tcPr>
            <w:tcW w:w="5245" w:type="dxa"/>
            <w:noWrap/>
            <w:vAlign w:val="center"/>
            <w:hideMark/>
          </w:tcPr>
          <w:p w14:paraId="4AF7060B"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RPL10A,RPL12,RPL13A,RPL18,RPL27,RPL3,RPL4,RPL6,RPL7,RPL7A,RPLP1,RPS13,RPS16,RPS2,RPS3A,RPS4X,RPS8,ZNF185</w:t>
            </w:r>
          </w:p>
        </w:tc>
      </w:tr>
      <w:tr w:rsidR="00716FA0" w:rsidRPr="001E65D8" w14:paraId="2D43CC8C"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4A764A62"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12</w:t>
            </w:r>
          </w:p>
        </w:tc>
        <w:tc>
          <w:tcPr>
            <w:tcW w:w="1560" w:type="dxa"/>
            <w:noWrap/>
            <w:vAlign w:val="center"/>
            <w:hideMark/>
          </w:tcPr>
          <w:p w14:paraId="37105BB5" w14:textId="6C84067F"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S</w:t>
            </w:r>
            <w:r w:rsidRPr="001E65D8">
              <w:rPr>
                <w:rFonts w:ascii="Times New Roman" w:hAnsi="Times New Roman" w:cs="Times New Roman"/>
                <w:sz w:val="20"/>
                <w:szCs w:val="20"/>
              </w:rPr>
              <w:t>ynapse</w:t>
            </w:r>
          </w:p>
        </w:tc>
        <w:tc>
          <w:tcPr>
            <w:tcW w:w="992" w:type="dxa"/>
            <w:noWrap/>
            <w:vAlign w:val="center"/>
            <w:hideMark/>
          </w:tcPr>
          <w:p w14:paraId="099B11E3"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GO:CC</w:t>
            </w:r>
          </w:p>
        </w:tc>
        <w:tc>
          <w:tcPr>
            <w:tcW w:w="1559" w:type="dxa"/>
            <w:noWrap/>
            <w:vAlign w:val="center"/>
            <w:hideMark/>
          </w:tcPr>
          <w:p w14:paraId="2169CEA9"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7.25671E-05</w:t>
            </w:r>
          </w:p>
        </w:tc>
        <w:tc>
          <w:tcPr>
            <w:tcW w:w="5245" w:type="dxa"/>
            <w:noWrap/>
            <w:vAlign w:val="center"/>
            <w:hideMark/>
          </w:tcPr>
          <w:p w14:paraId="7329FFB6"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AP2S1,CALB2,CORO1A,NAPA,PDLIM5,RPL10A,RPL12,RPL13A,RPL14,RPL15,RPL24,RPL27,RPL27A,RPL36,RPL6,RPL7,RPL7A,RPS13,RPS16,STAU1</w:t>
            </w:r>
          </w:p>
        </w:tc>
      </w:tr>
      <w:tr w:rsidR="00716FA0" w:rsidRPr="001E65D8" w14:paraId="3416DCC3"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1D0AF233"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13</w:t>
            </w:r>
          </w:p>
        </w:tc>
        <w:tc>
          <w:tcPr>
            <w:tcW w:w="1560" w:type="dxa"/>
            <w:noWrap/>
            <w:vAlign w:val="center"/>
            <w:hideMark/>
          </w:tcPr>
          <w:p w14:paraId="47FA521D" w14:textId="59042764"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N</w:t>
            </w:r>
            <w:r w:rsidRPr="001E65D8">
              <w:rPr>
                <w:rFonts w:ascii="Times New Roman" w:hAnsi="Times New Roman" w:cs="Times New Roman"/>
                <w:sz w:val="20"/>
                <w:szCs w:val="20"/>
              </w:rPr>
              <w:t>ucleoplasm</w:t>
            </w:r>
          </w:p>
        </w:tc>
        <w:tc>
          <w:tcPr>
            <w:tcW w:w="992" w:type="dxa"/>
            <w:noWrap/>
            <w:vAlign w:val="center"/>
            <w:hideMark/>
          </w:tcPr>
          <w:p w14:paraId="692CF63A"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GO:CC</w:t>
            </w:r>
          </w:p>
        </w:tc>
        <w:tc>
          <w:tcPr>
            <w:tcW w:w="1559" w:type="dxa"/>
            <w:noWrap/>
            <w:vAlign w:val="center"/>
            <w:hideMark/>
          </w:tcPr>
          <w:p w14:paraId="798BA936" w14:textId="77777777"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0.000359948</w:t>
            </w:r>
          </w:p>
        </w:tc>
        <w:tc>
          <w:tcPr>
            <w:tcW w:w="5245" w:type="dxa"/>
            <w:noWrap/>
            <w:vAlign w:val="center"/>
            <w:hideMark/>
          </w:tcPr>
          <w:p w14:paraId="7DE778EB" w14:textId="6674F205"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ALYREF,CDC5L,CNDP2,DDX20,FBL,HAT1,IMUP,INPPL1,INTS7,ISG15,MACROH2A1,MKI67,MTOR,NOP2,OGFOD1,PPIL3,RANGAP1,RPL27,RPL27A,RPL4,RPS13,RPS15A,RPS16,RP</w:t>
            </w:r>
            <w:r w:rsidR="001E65D8" w:rsidRPr="001E65D8">
              <w:rPr>
                <w:rFonts w:ascii="Times New Roman" w:hAnsi="Times New Roman" w:cs="Times New Roman"/>
                <w:sz w:val="20"/>
                <w:szCs w:val="20"/>
              </w:rPr>
              <w:t>a</w:t>
            </w:r>
            <w:r w:rsidRPr="001E65D8">
              <w:rPr>
                <w:rFonts w:ascii="Times New Roman" w:hAnsi="Times New Roman" w:cs="Times New Roman"/>
                <w:sz w:val="20"/>
                <w:szCs w:val="20"/>
              </w:rPr>
              <w:t>S2,RPS24,RPS3A,RPS4X,RPS8,RRM2,SPATS2L,SUPT16H,TAF15,TOP1</w:t>
            </w:r>
          </w:p>
        </w:tc>
      </w:tr>
      <w:tr w:rsidR="00716FA0" w:rsidRPr="001E65D8" w14:paraId="217AE2D3"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hideMark/>
          </w:tcPr>
          <w:p w14:paraId="6C1FF563" w14:textId="77777777"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14</w:t>
            </w:r>
          </w:p>
        </w:tc>
        <w:tc>
          <w:tcPr>
            <w:tcW w:w="1560" w:type="dxa"/>
            <w:noWrap/>
            <w:vAlign w:val="center"/>
            <w:hideMark/>
          </w:tcPr>
          <w:p w14:paraId="2115BAEC" w14:textId="26602502"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R</w:t>
            </w:r>
            <w:r w:rsidRPr="001E65D8">
              <w:rPr>
                <w:rFonts w:ascii="Times New Roman" w:hAnsi="Times New Roman" w:cs="Times New Roman"/>
                <w:sz w:val="20"/>
                <w:szCs w:val="20"/>
              </w:rPr>
              <w:t>ough endoplasmic reticulum</w:t>
            </w:r>
          </w:p>
        </w:tc>
        <w:tc>
          <w:tcPr>
            <w:tcW w:w="992" w:type="dxa"/>
            <w:noWrap/>
            <w:vAlign w:val="center"/>
            <w:hideMark/>
          </w:tcPr>
          <w:p w14:paraId="59B0AF33"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GO:CC</w:t>
            </w:r>
          </w:p>
        </w:tc>
        <w:tc>
          <w:tcPr>
            <w:tcW w:w="1559" w:type="dxa"/>
            <w:noWrap/>
            <w:vAlign w:val="center"/>
            <w:hideMark/>
          </w:tcPr>
          <w:p w14:paraId="694FBEC7"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0.000589542</w:t>
            </w:r>
          </w:p>
        </w:tc>
        <w:tc>
          <w:tcPr>
            <w:tcW w:w="5245" w:type="dxa"/>
            <w:noWrap/>
            <w:vAlign w:val="center"/>
            <w:hideMark/>
          </w:tcPr>
          <w:p w14:paraId="3356BC19" w14:textId="77777777" w:rsidR="00716FA0" w:rsidRPr="001E65D8" w:rsidRDefault="00716FA0" w:rsidP="00C64264">
            <w:pPr>
              <w:tabs>
                <w:tab w:val="left" w:pos="7200"/>
              </w:tabs>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RPL18,RPL27,RPL4,RPL6,STAU1</w:t>
            </w:r>
          </w:p>
        </w:tc>
      </w:tr>
      <w:tr w:rsidR="00716FA0" w:rsidRPr="001E65D8" w14:paraId="4729E1C0"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62" w:type="dxa"/>
            <w:noWrap/>
            <w:vAlign w:val="center"/>
          </w:tcPr>
          <w:p w14:paraId="0A09F1D8" w14:textId="749201F9" w:rsidR="00716FA0" w:rsidRPr="001E65D8" w:rsidRDefault="00716FA0" w:rsidP="00C64264">
            <w:pPr>
              <w:tabs>
                <w:tab w:val="left" w:pos="7200"/>
              </w:tabs>
              <w:jc w:val="center"/>
              <w:rPr>
                <w:rFonts w:ascii="Times New Roman" w:hAnsi="Times New Roman" w:cs="Times New Roman"/>
                <w:sz w:val="20"/>
                <w:szCs w:val="20"/>
              </w:rPr>
            </w:pPr>
            <w:r w:rsidRPr="001E65D8">
              <w:rPr>
                <w:rFonts w:ascii="Times New Roman" w:hAnsi="Times New Roman" w:cs="Times New Roman"/>
                <w:sz w:val="20"/>
                <w:szCs w:val="20"/>
              </w:rPr>
              <w:t>15</w:t>
            </w:r>
          </w:p>
        </w:tc>
        <w:tc>
          <w:tcPr>
            <w:tcW w:w="1560" w:type="dxa"/>
            <w:noWrap/>
            <w:vAlign w:val="center"/>
          </w:tcPr>
          <w:p w14:paraId="3A8F9A60" w14:textId="1675F43A"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P</w:t>
            </w:r>
            <w:r w:rsidRPr="001E65D8">
              <w:rPr>
                <w:rFonts w:ascii="Times New Roman" w:hAnsi="Times New Roman" w:cs="Times New Roman"/>
                <w:sz w:val="20"/>
                <w:szCs w:val="20"/>
              </w:rPr>
              <w:t>ostsynaptic density</w:t>
            </w:r>
          </w:p>
        </w:tc>
        <w:tc>
          <w:tcPr>
            <w:tcW w:w="992" w:type="dxa"/>
            <w:noWrap/>
            <w:vAlign w:val="center"/>
          </w:tcPr>
          <w:p w14:paraId="3222237A" w14:textId="1BB80B2E" w:rsidR="00716FA0" w:rsidRPr="001E65D8" w:rsidRDefault="00716FA0" w:rsidP="00716F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E65D8">
              <w:rPr>
                <w:rFonts w:ascii="Times New Roman" w:hAnsi="Times New Roman" w:cs="Times New Roman"/>
                <w:color w:val="000000"/>
                <w:sz w:val="20"/>
                <w:szCs w:val="20"/>
              </w:rPr>
              <w:t>GO:CC</w:t>
            </w:r>
          </w:p>
        </w:tc>
        <w:tc>
          <w:tcPr>
            <w:tcW w:w="1559" w:type="dxa"/>
            <w:noWrap/>
            <w:vAlign w:val="center"/>
          </w:tcPr>
          <w:p w14:paraId="3F6F49F5" w14:textId="71F2189C" w:rsidR="00716FA0" w:rsidRPr="001E65D8" w:rsidRDefault="00716FA0" w:rsidP="00716FA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0"/>
                <w:szCs w:val="20"/>
              </w:rPr>
            </w:pPr>
            <w:r w:rsidRPr="001E65D8">
              <w:rPr>
                <w:rFonts w:ascii="Times New Roman" w:hAnsi="Times New Roman" w:cs="Times New Roman"/>
                <w:color w:val="000000"/>
                <w:sz w:val="20"/>
                <w:szCs w:val="20"/>
              </w:rPr>
              <w:t>0.042846</w:t>
            </w:r>
          </w:p>
        </w:tc>
        <w:tc>
          <w:tcPr>
            <w:tcW w:w="5245" w:type="dxa"/>
            <w:noWrap/>
            <w:vAlign w:val="center"/>
          </w:tcPr>
          <w:p w14:paraId="2B751EC3" w14:textId="3243D0B1" w:rsidR="00716FA0" w:rsidRPr="001E65D8" w:rsidRDefault="00716FA0" w:rsidP="00C64264">
            <w:pPr>
              <w:tabs>
                <w:tab w:val="left" w:pos="7200"/>
              </w:tabs>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1E65D8">
              <w:rPr>
                <w:rFonts w:ascii="Times New Roman" w:hAnsi="Times New Roman" w:cs="Times New Roman"/>
                <w:sz w:val="20"/>
                <w:szCs w:val="20"/>
              </w:rPr>
              <w:t>PDLIM5,RPL10A,RPL12,RPL14,RPL6,RPL7,RPS13</w:t>
            </w:r>
          </w:p>
        </w:tc>
      </w:tr>
    </w:tbl>
    <w:p w14:paraId="7AE65091" w14:textId="77777777" w:rsidR="00C64264" w:rsidRPr="001E65D8" w:rsidRDefault="00C64264" w:rsidP="00C64264">
      <w:pPr>
        <w:tabs>
          <w:tab w:val="left" w:pos="7200"/>
        </w:tabs>
        <w:rPr>
          <w:rFonts w:ascii="Times New Roman" w:eastAsia="Aptos" w:hAnsi="Times New Roman" w:cs="Times New Roman"/>
          <w:b/>
          <w:bCs/>
          <w:color w:val="000000" w:themeColor="text1"/>
          <w:sz w:val="20"/>
          <w:szCs w:val="20"/>
        </w:rPr>
      </w:pPr>
    </w:p>
    <w:p w14:paraId="776E6647" w14:textId="77777777" w:rsidR="001E65D8" w:rsidRDefault="001E65D8" w:rsidP="00C64264">
      <w:pPr>
        <w:tabs>
          <w:tab w:val="left" w:pos="7200"/>
        </w:tabs>
        <w:rPr>
          <w:rFonts w:ascii="Times New Roman" w:eastAsia="Aptos" w:hAnsi="Times New Roman" w:cs="Times New Roman"/>
          <w:b/>
          <w:bCs/>
          <w:color w:val="000000" w:themeColor="text1"/>
          <w:sz w:val="20"/>
          <w:szCs w:val="20"/>
        </w:rPr>
      </w:pPr>
    </w:p>
    <w:p w14:paraId="1E288FD8" w14:textId="1E7B335E" w:rsidR="00C64264" w:rsidRPr="001E65D8" w:rsidRDefault="00C64264" w:rsidP="00C64264">
      <w:pPr>
        <w:tabs>
          <w:tab w:val="left" w:pos="7200"/>
        </w:tabs>
        <w:rPr>
          <w:rFonts w:ascii="Times New Roman" w:eastAsia="+mn-ea" w:hAnsi="Times New Roman" w:cs="Times New Roman"/>
          <w:b/>
          <w:bCs/>
          <w:color w:val="000000"/>
          <w:kern w:val="24"/>
          <w:sz w:val="20"/>
          <w:szCs w:val="20"/>
        </w:rPr>
      </w:pPr>
      <w:r w:rsidRPr="001E65D8">
        <w:rPr>
          <w:rFonts w:ascii="Times New Roman" w:eastAsia="Aptos" w:hAnsi="Times New Roman" w:cs="Times New Roman"/>
          <w:b/>
          <w:bCs/>
          <w:color w:val="000000" w:themeColor="text1"/>
          <w:sz w:val="20"/>
          <w:szCs w:val="20"/>
        </w:rPr>
        <w:lastRenderedPageBreak/>
        <w:t>Table S2.</w:t>
      </w:r>
      <w:r w:rsidRPr="001E65D8">
        <w:rPr>
          <w:rFonts w:ascii="Times New Roman" w:eastAsia="Aptos" w:hAnsi="Times New Roman" w:cs="Times New Roman"/>
          <w:b/>
          <w:bCs/>
          <w:color w:val="000000" w:themeColor="text1"/>
          <w:sz w:val="20"/>
          <w:szCs w:val="20"/>
        </w:rPr>
        <w:t>2</w:t>
      </w:r>
      <w:r w:rsidRPr="001E65D8">
        <w:rPr>
          <w:rFonts w:ascii="Times New Roman" w:eastAsia="Aptos" w:hAnsi="Times New Roman" w:cs="Times New Roman"/>
          <w:b/>
          <w:bCs/>
          <w:color w:val="000000" w:themeColor="text1"/>
          <w:sz w:val="20"/>
          <w:szCs w:val="20"/>
        </w:rPr>
        <w:t xml:space="preserve"> </w:t>
      </w:r>
      <w:r w:rsidRPr="001E65D8">
        <w:rPr>
          <w:rFonts w:ascii="Times New Roman" w:eastAsia="+mn-ea" w:hAnsi="Times New Roman" w:cs="Times New Roman"/>
          <w:b/>
          <w:bCs/>
          <w:color w:val="000000"/>
          <w:kern w:val="24"/>
          <w:sz w:val="20"/>
          <w:szCs w:val="20"/>
        </w:rPr>
        <w:t>Significant Gene Ontology Terms MDA-MB-231 STING High vs STING Low (</w:t>
      </w:r>
      <w:r w:rsidRPr="001E65D8">
        <w:rPr>
          <w:rFonts w:ascii="Times New Roman" w:eastAsia="+mn-ea" w:hAnsi="Times New Roman" w:cs="Times New Roman"/>
          <w:b/>
          <w:bCs/>
          <w:color w:val="000000"/>
          <w:kern w:val="24"/>
          <w:sz w:val="20"/>
          <w:szCs w:val="20"/>
        </w:rPr>
        <w:t>Down</w:t>
      </w:r>
      <w:r w:rsidRPr="001E65D8">
        <w:rPr>
          <w:rFonts w:ascii="Times New Roman" w:eastAsia="+mn-ea" w:hAnsi="Times New Roman" w:cs="Times New Roman"/>
          <w:b/>
          <w:bCs/>
          <w:color w:val="000000"/>
          <w:kern w:val="24"/>
          <w:sz w:val="20"/>
          <w:szCs w:val="20"/>
        </w:rPr>
        <w:t>regulated)</w:t>
      </w:r>
    </w:p>
    <w:tbl>
      <w:tblPr>
        <w:tblStyle w:val="PlainTable1"/>
        <w:tblW w:w="5500" w:type="pct"/>
        <w:tblLayout w:type="fixed"/>
        <w:tblLook w:val="04A0" w:firstRow="1" w:lastRow="0" w:firstColumn="1" w:lastColumn="0" w:noHBand="0" w:noVBand="1"/>
      </w:tblPr>
      <w:tblGrid>
        <w:gridCol w:w="561"/>
        <w:gridCol w:w="1559"/>
        <w:gridCol w:w="992"/>
        <w:gridCol w:w="1559"/>
        <w:gridCol w:w="5247"/>
      </w:tblGrid>
      <w:tr w:rsidR="00E8713E" w:rsidRPr="001E65D8" w14:paraId="59B2EA98" w14:textId="77777777" w:rsidTr="001E65D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pct"/>
            <w:noWrap/>
            <w:vAlign w:val="center"/>
            <w:hideMark/>
          </w:tcPr>
          <w:p w14:paraId="3F56CDF7" w14:textId="77777777" w:rsidR="00E8713E" w:rsidRPr="00E8713E" w:rsidRDefault="00E8713E" w:rsidP="001E65D8">
            <w:pPr>
              <w:jc w:val="center"/>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ID</w:t>
            </w:r>
          </w:p>
        </w:tc>
        <w:tc>
          <w:tcPr>
            <w:tcW w:w="786" w:type="pct"/>
            <w:noWrap/>
            <w:vAlign w:val="center"/>
            <w:hideMark/>
          </w:tcPr>
          <w:p w14:paraId="00285DFE" w14:textId="77777777" w:rsidR="00E8713E" w:rsidRPr="00E8713E" w:rsidRDefault="00E8713E" w:rsidP="001E65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Term_name</w:t>
            </w:r>
          </w:p>
        </w:tc>
        <w:tc>
          <w:tcPr>
            <w:tcW w:w="500" w:type="pct"/>
            <w:noWrap/>
            <w:vAlign w:val="center"/>
            <w:hideMark/>
          </w:tcPr>
          <w:p w14:paraId="27AA83E9" w14:textId="77777777" w:rsidR="00E8713E" w:rsidRPr="00E8713E" w:rsidRDefault="00E8713E" w:rsidP="001E65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Source</w:t>
            </w:r>
          </w:p>
        </w:tc>
        <w:tc>
          <w:tcPr>
            <w:tcW w:w="786" w:type="pct"/>
            <w:noWrap/>
            <w:vAlign w:val="center"/>
            <w:hideMark/>
          </w:tcPr>
          <w:p w14:paraId="539342AF" w14:textId="77777777" w:rsidR="00E8713E" w:rsidRPr="00E8713E" w:rsidRDefault="00E8713E" w:rsidP="001E65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Adjusted_p_value</w:t>
            </w:r>
          </w:p>
        </w:tc>
        <w:tc>
          <w:tcPr>
            <w:tcW w:w="2644" w:type="pct"/>
            <w:noWrap/>
            <w:vAlign w:val="center"/>
            <w:hideMark/>
          </w:tcPr>
          <w:p w14:paraId="53720EE9" w14:textId="77777777" w:rsidR="00E8713E" w:rsidRPr="00E8713E" w:rsidRDefault="00E8713E" w:rsidP="001E65D8">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Intersections</w:t>
            </w:r>
          </w:p>
        </w:tc>
      </w:tr>
      <w:tr w:rsidR="001E65D8" w:rsidRPr="001E65D8" w14:paraId="70AE3F4D"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pct"/>
            <w:noWrap/>
            <w:vAlign w:val="center"/>
            <w:hideMark/>
          </w:tcPr>
          <w:p w14:paraId="3FDE9CEA" w14:textId="77777777" w:rsidR="00E8713E" w:rsidRPr="00E8713E" w:rsidRDefault="00E8713E" w:rsidP="001E65D8">
            <w:pPr>
              <w:jc w:val="center"/>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1</w:t>
            </w:r>
          </w:p>
        </w:tc>
        <w:tc>
          <w:tcPr>
            <w:tcW w:w="786" w:type="pct"/>
            <w:noWrap/>
            <w:vAlign w:val="center"/>
            <w:hideMark/>
          </w:tcPr>
          <w:p w14:paraId="5A3692B9"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RNA binding</w:t>
            </w:r>
          </w:p>
        </w:tc>
        <w:tc>
          <w:tcPr>
            <w:tcW w:w="500" w:type="pct"/>
            <w:noWrap/>
            <w:vAlign w:val="center"/>
            <w:hideMark/>
          </w:tcPr>
          <w:p w14:paraId="7AA7BB9D"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GO:MF</w:t>
            </w:r>
          </w:p>
        </w:tc>
        <w:tc>
          <w:tcPr>
            <w:tcW w:w="786" w:type="pct"/>
            <w:noWrap/>
            <w:vAlign w:val="center"/>
            <w:hideMark/>
          </w:tcPr>
          <w:p w14:paraId="0FD57245"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5.8218E-06</w:t>
            </w:r>
          </w:p>
        </w:tc>
        <w:tc>
          <w:tcPr>
            <w:tcW w:w="2644" w:type="pct"/>
            <w:noWrap/>
            <w:vAlign w:val="center"/>
            <w:hideMark/>
          </w:tcPr>
          <w:p w14:paraId="0A8D7AD7"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NAT10,ZC3H14,SIN3A,PUS1,PTPN1,HLA-A,PDCD4,FXR1,GRWD1,TST,SERPINH1,S100A4,ASS1,CCAR2,HNRNPC,RBM12,RALY,H1-5,CAVIN1,PPP1R8,CALR,FSCN1,LSM4,HMGB3,SNRPB,SAFB,SNRPD2,SNRPD3,CSTB,SRRT,LSM3,CELF1,KHSRP,TARDBP,HNRNPK,FAM120A,SND1</w:t>
            </w:r>
          </w:p>
        </w:tc>
      </w:tr>
      <w:tr w:rsidR="001E65D8" w:rsidRPr="001E65D8" w14:paraId="0EC736B9"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283" w:type="pct"/>
            <w:noWrap/>
            <w:vAlign w:val="center"/>
            <w:hideMark/>
          </w:tcPr>
          <w:p w14:paraId="67BF6BD3" w14:textId="77777777" w:rsidR="00E8713E" w:rsidRPr="00E8713E" w:rsidRDefault="00E8713E" w:rsidP="001E65D8">
            <w:pPr>
              <w:jc w:val="center"/>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2</w:t>
            </w:r>
          </w:p>
        </w:tc>
        <w:tc>
          <w:tcPr>
            <w:tcW w:w="786" w:type="pct"/>
            <w:noWrap/>
            <w:vAlign w:val="center"/>
            <w:hideMark/>
          </w:tcPr>
          <w:p w14:paraId="35986B6C"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Protein binding</w:t>
            </w:r>
          </w:p>
        </w:tc>
        <w:tc>
          <w:tcPr>
            <w:tcW w:w="500" w:type="pct"/>
            <w:noWrap/>
            <w:vAlign w:val="center"/>
            <w:hideMark/>
          </w:tcPr>
          <w:p w14:paraId="335DEC0C"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GO:MF</w:t>
            </w:r>
          </w:p>
        </w:tc>
        <w:tc>
          <w:tcPr>
            <w:tcW w:w="786" w:type="pct"/>
            <w:noWrap/>
            <w:vAlign w:val="center"/>
            <w:hideMark/>
          </w:tcPr>
          <w:p w14:paraId="35354BB9"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0.005683587</w:t>
            </w:r>
          </w:p>
        </w:tc>
        <w:tc>
          <w:tcPr>
            <w:tcW w:w="2644" w:type="pct"/>
            <w:noWrap/>
            <w:vAlign w:val="center"/>
            <w:hideMark/>
          </w:tcPr>
          <w:p w14:paraId="58A6B6FF"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POLR2L,DIP2B,NAT10,CCNK,GATAD2B,UNC119B,ZC3H14,DCLK1,NEU1,SEC16A,PIP4K2C,POMP,SIN3A,AGR2,PDHB,CTSZ,PTPN1,LGMN,CTSB,HLA-A,PDCD4,ESYT1,PSAP,ITGB1,CTPS2,CAT,FXR1,PIR,GRWD1,CSPG4,SDHA,ANKFY1,NAE1,SERPINH1,ATL3,S100A4,TCEAL4,ASS1,LGALS3BP,CALU,CCAR2,TMPO,ACSS2,TXNDC5,HNRNPC,RBM12,RALY,ENY2,SUMF2,H1-5,ICAM1,CAVIN1,PPP1R8,GNS,CALR,PARD6B,FSCN1,CD59,CNPY3,LSM4,VAPA,HMGB3,RAB21,SH3GLB1,SNRPB,EHD2,AIP,SAFB,SNRPD2,SNRPD3,GALE,CSTB,NDUFA8,SRRT,LSM3,ASPSCR1,CELF1,ATP6V1B2,KHSRP,TPM3,TARDBP,HNRNPK,DPYSL2,IDH3A,FAM120A,SND1</w:t>
            </w:r>
          </w:p>
        </w:tc>
      </w:tr>
      <w:tr w:rsidR="001E65D8" w:rsidRPr="001E65D8" w14:paraId="0FE316EF"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pct"/>
            <w:noWrap/>
            <w:vAlign w:val="center"/>
            <w:hideMark/>
          </w:tcPr>
          <w:p w14:paraId="0B8B01C5" w14:textId="77777777" w:rsidR="00E8713E" w:rsidRPr="00E8713E" w:rsidRDefault="00E8713E" w:rsidP="001E65D8">
            <w:pPr>
              <w:jc w:val="center"/>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3</w:t>
            </w:r>
          </w:p>
        </w:tc>
        <w:tc>
          <w:tcPr>
            <w:tcW w:w="786" w:type="pct"/>
            <w:noWrap/>
            <w:vAlign w:val="center"/>
            <w:hideMark/>
          </w:tcPr>
          <w:p w14:paraId="6ECF9CA2"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Protein-containing complex binding</w:t>
            </w:r>
          </w:p>
        </w:tc>
        <w:tc>
          <w:tcPr>
            <w:tcW w:w="500" w:type="pct"/>
            <w:noWrap/>
            <w:vAlign w:val="center"/>
            <w:hideMark/>
          </w:tcPr>
          <w:p w14:paraId="2DB8EA4A"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GO:MF</w:t>
            </w:r>
          </w:p>
        </w:tc>
        <w:tc>
          <w:tcPr>
            <w:tcW w:w="786" w:type="pct"/>
            <w:noWrap/>
            <w:vAlign w:val="center"/>
            <w:hideMark/>
          </w:tcPr>
          <w:p w14:paraId="2A00E10A"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0.030683018</w:t>
            </w:r>
          </w:p>
        </w:tc>
        <w:tc>
          <w:tcPr>
            <w:tcW w:w="2644" w:type="pct"/>
            <w:noWrap/>
            <w:vAlign w:val="center"/>
            <w:hideMark/>
          </w:tcPr>
          <w:p w14:paraId="7EC61365"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GATAD2B,SIN3A,CTSB,HLA-A,ITGB1,FXR1,SERPINH1,HNRNPC,H1-5,ICAM1,CALR,FSCN1,SNRPB,NDUFA8,SRRT,TPM3,SND1</w:t>
            </w:r>
          </w:p>
        </w:tc>
      </w:tr>
      <w:tr w:rsidR="001E65D8" w:rsidRPr="001E65D8" w14:paraId="4182ED64"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283" w:type="pct"/>
            <w:noWrap/>
            <w:vAlign w:val="center"/>
            <w:hideMark/>
          </w:tcPr>
          <w:p w14:paraId="15F39170" w14:textId="77777777" w:rsidR="00E8713E" w:rsidRPr="00E8713E" w:rsidRDefault="00E8713E" w:rsidP="001E65D8">
            <w:pPr>
              <w:jc w:val="center"/>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4</w:t>
            </w:r>
          </w:p>
        </w:tc>
        <w:tc>
          <w:tcPr>
            <w:tcW w:w="786" w:type="pct"/>
            <w:noWrap/>
            <w:vAlign w:val="center"/>
            <w:hideMark/>
          </w:tcPr>
          <w:p w14:paraId="3C1F3B85"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7-methylguanosine cap hypermethylation</w:t>
            </w:r>
          </w:p>
        </w:tc>
        <w:tc>
          <w:tcPr>
            <w:tcW w:w="500" w:type="pct"/>
            <w:noWrap/>
            <w:vAlign w:val="center"/>
            <w:hideMark/>
          </w:tcPr>
          <w:p w14:paraId="153B423F"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GO:BP</w:t>
            </w:r>
          </w:p>
        </w:tc>
        <w:tc>
          <w:tcPr>
            <w:tcW w:w="786" w:type="pct"/>
            <w:noWrap/>
            <w:vAlign w:val="center"/>
            <w:hideMark/>
          </w:tcPr>
          <w:p w14:paraId="1D693811"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0.009576964</w:t>
            </w:r>
          </w:p>
        </w:tc>
        <w:tc>
          <w:tcPr>
            <w:tcW w:w="2644" w:type="pct"/>
            <w:noWrap/>
            <w:vAlign w:val="center"/>
            <w:hideMark/>
          </w:tcPr>
          <w:p w14:paraId="68989B19"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SNRPB,SNRPD2,SNRPD3</w:t>
            </w:r>
          </w:p>
        </w:tc>
      </w:tr>
      <w:tr w:rsidR="001E65D8" w:rsidRPr="001E65D8" w14:paraId="180455DB"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pct"/>
            <w:noWrap/>
            <w:vAlign w:val="center"/>
            <w:hideMark/>
          </w:tcPr>
          <w:p w14:paraId="56D9F0F7" w14:textId="77777777" w:rsidR="00E8713E" w:rsidRPr="00E8713E" w:rsidRDefault="00E8713E" w:rsidP="001E65D8">
            <w:pPr>
              <w:jc w:val="center"/>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5</w:t>
            </w:r>
          </w:p>
        </w:tc>
        <w:tc>
          <w:tcPr>
            <w:tcW w:w="786" w:type="pct"/>
            <w:noWrap/>
            <w:vAlign w:val="center"/>
            <w:hideMark/>
          </w:tcPr>
          <w:p w14:paraId="01FE1331"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RNA catabolic process</w:t>
            </w:r>
          </w:p>
        </w:tc>
        <w:tc>
          <w:tcPr>
            <w:tcW w:w="500" w:type="pct"/>
            <w:noWrap/>
            <w:vAlign w:val="center"/>
            <w:hideMark/>
          </w:tcPr>
          <w:p w14:paraId="0B330204"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GO:BP</w:t>
            </w:r>
          </w:p>
        </w:tc>
        <w:tc>
          <w:tcPr>
            <w:tcW w:w="786" w:type="pct"/>
            <w:noWrap/>
            <w:vAlign w:val="center"/>
            <w:hideMark/>
          </w:tcPr>
          <w:p w14:paraId="3EE1044F"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0.020178128</w:t>
            </w:r>
          </w:p>
        </w:tc>
        <w:tc>
          <w:tcPr>
            <w:tcW w:w="2644" w:type="pct"/>
            <w:noWrap/>
            <w:vAlign w:val="center"/>
            <w:hideMark/>
          </w:tcPr>
          <w:p w14:paraId="596F25A7"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ZC3H14,FXR1,HNRNPC,PPP1R8,LSM4,CELF1,KHSRP,TARDBP,SND1</w:t>
            </w:r>
          </w:p>
        </w:tc>
      </w:tr>
      <w:tr w:rsidR="001E65D8" w:rsidRPr="001E65D8" w14:paraId="5D02771A"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283" w:type="pct"/>
            <w:noWrap/>
            <w:vAlign w:val="center"/>
            <w:hideMark/>
          </w:tcPr>
          <w:p w14:paraId="795E7265" w14:textId="77777777" w:rsidR="00E8713E" w:rsidRPr="00E8713E" w:rsidRDefault="00E8713E" w:rsidP="001E65D8">
            <w:pPr>
              <w:jc w:val="center"/>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6</w:t>
            </w:r>
          </w:p>
        </w:tc>
        <w:tc>
          <w:tcPr>
            <w:tcW w:w="786" w:type="pct"/>
            <w:noWrap/>
            <w:vAlign w:val="center"/>
            <w:hideMark/>
          </w:tcPr>
          <w:p w14:paraId="3757839A"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Tricarboxylic acid cycle</w:t>
            </w:r>
          </w:p>
        </w:tc>
        <w:tc>
          <w:tcPr>
            <w:tcW w:w="500" w:type="pct"/>
            <w:noWrap/>
            <w:vAlign w:val="center"/>
            <w:hideMark/>
          </w:tcPr>
          <w:p w14:paraId="33608EFA"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GO:BP</w:t>
            </w:r>
          </w:p>
        </w:tc>
        <w:tc>
          <w:tcPr>
            <w:tcW w:w="786" w:type="pct"/>
            <w:noWrap/>
            <w:vAlign w:val="center"/>
            <w:hideMark/>
          </w:tcPr>
          <w:p w14:paraId="1A59D31B"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0.034085064</w:t>
            </w:r>
          </w:p>
        </w:tc>
        <w:tc>
          <w:tcPr>
            <w:tcW w:w="2644" w:type="pct"/>
            <w:noWrap/>
            <w:vAlign w:val="center"/>
            <w:hideMark/>
          </w:tcPr>
          <w:p w14:paraId="030474D3"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PDHB,SDHA,ACO2,IDH3A</w:t>
            </w:r>
          </w:p>
        </w:tc>
      </w:tr>
      <w:tr w:rsidR="001E65D8" w:rsidRPr="001E65D8" w14:paraId="1F2069C3"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pct"/>
            <w:noWrap/>
            <w:vAlign w:val="center"/>
            <w:hideMark/>
          </w:tcPr>
          <w:p w14:paraId="429FFFFB" w14:textId="77777777" w:rsidR="00E8713E" w:rsidRPr="00E8713E" w:rsidRDefault="00E8713E" w:rsidP="001E65D8">
            <w:pPr>
              <w:jc w:val="center"/>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7</w:t>
            </w:r>
          </w:p>
        </w:tc>
        <w:tc>
          <w:tcPr>
            <w:tcW w:w="786" w:type="pct"/>
            <w:noWrap/>
            <w:vAlign w:val="center"/>
            <w:hideMark/>
          </w:tcPr>
          <w:p w14:paraId="0F2C215E"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Intracellular organelle lumen</w:t>
            </w:r>
          </w:p>
        </w:tc>
        <w:tc>
          <w:tcPr>
            <w:tcW w:w="500" w:type="pct"/>
            <w:noWrap/>
            <w:vAlign w:val="center"/>
            <w:hideMark/>
          </w:tcPr>
          <w:p w14:paraId="2B08DD2E"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GO:CC</w:t>
            </w:r>
          </w:p>
        </w:tc>
        <w:tc>
          <w:tcPr>
            <w:tcW w:w="786" w:type="pct"/>
            <w:noWrap/>
            <w:vAlign w:val="center"/>
            <w:hideMark/>
          </w:tcPr>
          <w:p w14:paraId="0E19F2E0"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4.88E-11</w:t>
            </w:r>
          </w:p>
        </w:tc>
        <w:tc>
          <w:tcPr>
            <w:tcW w:w="2644" w:type="pct"/>
            <w:noWrap/>
            <w:vAlign w:val="center"/>
            <w:hideMark/>
          </w:tcPr>
          <w:p w14:paraId="14872197"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POLR2L,NAT10,CCNK,GATAD2B,ZC3H14,NEU1,PIP4K2C,POMP,SIN3A,CTSA,PDHB,PUS1,CTSZ,PTPN1,MIX23,LGMN,CTSB,PSAP,IRF2BP2,COLGALT1,CAT,FXR1,PIR,GRWD1,CSPG4,SDHA,TST,SERPINH1,CFDP1,S100A4,ASS1,LGALS3BP,CALU,CCAR2,ACSS2,TXNDC5,HNRNPC,RBM12,ENY2,SUMF2,H1-5,CAVIN1,PPP1R8,GNS,CALR,CNPY3,LSM4,SH3GLB1,ACO2,SNRPB,AIP,SAFB,SNRPD2,SNRPD3,CSTB,NDUFA8,SRRT,LSM3,ASPSCR1,CELF1,KHSRP,TARDBP,HNRNPK,IDH3A</w:t>
            </w:r>
          </w:p>
        </w:tc>
      </w:tr>
      <w:tr w:rsidR="001E65D8" w:rsidRPr="001E65D8" w14:paraId="31A5BBE7"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283" w:type="pct"/>
            <w:noWrap/>
            <w:vAlign w:val="center"/>
            <w:hideMark/>
          </w:tcPr>
          <w:p w14:paraId="39861164" w14:textId="77777777" w:rsidR="00E8713E" w:rsidRPr="00E8713E" w:rsidRDefault="00E8713E" w:rsidP="001E65D8">
            <w:pPr>
              <w:jc w:val="center"/>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8</w:t>
            </w:r>
          </w:p>
        </w:tc>
        <w:tc>
          <w:tcPr>
            <w:tcW w:w="786" w:type="pct"/>
            <w:noWrap/>
            <w:vAlign w:val="center"/>
            <w:hideMark/>
          </w:tcPr>
          <w:p w14:paraId="675601F7"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Catalytic step 2 spliceosome</w:t>
            </w:r>
          </w:p>
        </w:tc>
        <w:tc>
          <w:tcPr>
            <w:tcW w:w="500" w:type="pct"/>
            <w:noWrap/>
            <w:vAlign w:val="center"/>
            <w:hideMark/>
          </w:tcPr>
          <w:p w14:paraId="69965C5C"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GO:CC</w:t>
            </w:r>
          </w:p>
        </w:tc>
        <w:tc>
          <w:tcPr>
            <w:tcW w:w="786" w:type="pct"/>
            <w:noWrap/>
            <w:vAlign w:val="center"/>
            <w:hideMark/>
          </w:tcPr>
          <w:p w14:paraId="48622A62"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2.81465E-05</w:t>
            </w:r>
          </w:p>
        </w:tc>
        <w:tc>
          <w:tcPr>
            <w:tcW w:w="2644" w:type="pct"/>
            <w:noWrap/>
            <w:vAlign w:val="center"/>
            <w:hideMark/>
          </w:tcPr>
          <w:p w14:paraId="7900E031"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HNRNPC,RALY,SNRPB,SNRPD2,SNRPD3,LSM3,HNRNPK</w:t>
            </w:r>
          </w:p>
        </w:tc>
      </w:tr>
      <w:tr w:rsidR="001E65D8" w:rsidRPr="001E65D8" w14:paraId="57A51B48" w14:textId="77777777" w:rsidTr="001E65D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3" w:type="pct"/>
            <w:noWrap/>
            <w:vAlign w:val="center"/>
            <w:hideMark/>
          </w:tcPr>
          <w:p w14:paraId="3E264963" w14:textId="77777777" w:rsidR="00E8713E" w:rsidRPr="00E8713E" w:rsidRDefault="00E8713E" w:rsidP="001E65D8">
            <w:pPr>
              <w:jc w:val="center"/>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9</w:t>
            </w:r>
          </w:p>
        </w:tc>
        <w:tc>
          <w:tcPr>
            <w:tcW w:w="786" w:type="pct"/>
            <w:noWrap/>
            <w:vAlign w:val="center"/>
            <w:hideMark/>
          </w:tcPr>
          <w:p w14:paraId="5DDA24D8"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Pigment granule</w:t>
            </w:r>
          </w:p>
        </w:tc>
        <w:tc>
          <w:tcPr>
            <w:tcW w:w="500" w:type="pct"/>
            <w:noWrap/>
            <w:vAlign w:val="center"/>
            <w:hideMark/>
          </w:tcPr>
          <w:p w14:paraId="14C4500F"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GO:CC</w:t>
            </w:r>
          </w:p>
        </w:tc>
        <w:tc>
          <w:tcPr>
            <w:tcW w:w="786" w:type="pct"/>
            <w:noWrap/>
            <w:vAlign w:val="center"/>
            <w:hideMark/>
          </w:tcPr>
          <w:p w14:paraId="4A3FFDE8"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0.032242176</w:t>
            </w:r>
          </w:p>
        </w:tc>
        <w:tc>
          <w:tcPr>
            <w:tcW w:w="2644" w:type="pct"/>
            <w:noWrap/>
            <w:vAlign w:val="center"/>
            <w:hideMark/>
          </w:tcPr>
          <w:p w14:paraId="13FC7870" w14:textId="77777777" w:rsidR="00E8713E" w:rsidRPr="00E8713E" w:rsidRDefault="00E8713E" w:rsidP="001E65D8">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CTSB,ITGB1,CALU,ATP6V1B2,SND1</w:t>
            </w:r>
          </w:p>
        </w:tc>
      </w:tr>
      <w:tr w:rsidR="001E65D8" w:rsidRPr="001E65D8" w14:paraId="79D96F04" w14:textId="77777777" w:rsidTr="001E65D8">
        <w:trPr>
          <w:trHeight w:val="300"/>
        </w:trPr>
        <w:tc>
          <w:tcPr>
            <w:cnfStyle w:val="001000000000" w:firstRow="0" w:lastRow="0" w:firstColumn="1" w:lastColumn="0" w:oddVBand="0" w:evenVBand="0" w:oddHBand="0" w:evenHBand="0" w:firstRowFirstColumn="0" w:firstRowLastColumn="0" w:lastRowFirstColumn="0" w:lastRowLastColumn="0"/>
            <w:tcW w:w="283" w:type="pct"/>
            <w:noWrap/>
            <w:vAlign w:val="center"/>
            <w:hideMark/>
          </w:tcPr>
          <w:p w14:paraId="741474A4" w14:textId="77777777" w:rsidR="00E8713E" w:rsidRPr="00E8713E" w:rsidRDefault="00E8713E" w:rsidP="001E65D8">
            <w:pPr>
              <w:jc w:val="center"/>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10</w:t>
            </w:r>
          </w:p>
        </w:tc>
        <w:tc>
          <w:tcPr>
            <w:tcW w:w="786" w:type="pct"/>
            <w:noWrap/>
            <w:vAlign w:val="center"/>
            <w:hideMark/>
          </w:tcPr>
          <w:p w14:paraId="4FCBAF76"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Oxidoreductase complex</w:t>
            </w:r>
          </w:p>
        </w:tc>
        <w:tc>
          <w:tcPr>
            <w:tcW w:w="500" w:type="pct"/>
            <w:noWrap/>
            <w:vAlign w:val="center"/>
            <w:hideMark/>
          </w:tcPr>
          <w:p w14:paraId="541733AF"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GO:CC</w:t>
            </w:r>
          </w:p>
        </w:tc>
        <w:tc>
          <w:tcPr>
            <w:tcW w:w="786" w:type="pct"/>
            <w:noWrap/>
            <w:vAlign w:val="center"/>
            <w:hideMark/>
          </w:tcPr>
          <w:p w14:paraId="1926970B"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0.046511852</w:t>
            </w:r>
          </w:p>
        </w:tc>
        <w:tc>
          <w:tcPr>
            <w:tcW w:w="2644" w:type="pct"/>
            <w:noWrap/>
            <w:vAlign w:val="center"/>
            <w:hideMark/>
          </w:tcPr>
          <w:p w14:paraId="787D4BFF" w14:textId="77777777" w:rsidR="00E8713E" w:rsidRPr="00E8713E" w:rsidRDefault="00E8713E" w:rsidP="001E65D8">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kern w:val="0"/>
                <w:sz w:val="20"/>
                <w:szCs w:val="20"/>
                <w:lang w:eastAsia="en-AU"/>
                <w14:ligatures w14:val="none"/>
              </w:rPr>
            </w:pPr>
            <w:r w:rsidRPr="00E8713E">
              <w:rPr>
                <w:rFonts w:ascii="Times New Roman" w:eastAsia="Times New Roman" w:hAnsi="Times New Roman" w:cs="Times New Roman"/>
                <w:color w:val="000000"/>
                <w:kern w:val="0"/>
                <w:sz w:val="20"/>
                <w:szCs w:val="20"/>
                <w:lang w:eastAsia="en-AU"/>
                <w14:ligatures w14:val="none"/>
              </w:rPr>
              <w:t>PDHB,CAT,SDHA,NDUFA8,IDH3A</w:t>
            </w:r>
          </w:p>
        </w:tc>
      </w:tr>
    </w:tbl>
    <w:p w14:paraId="223D2307" w14:textId="77777777" w:rsidR="001E65D8" w:rsidRDefault="001E65D8" w:rsidP="00A603B6">
      <w:pPr>
        <w:rPr>
          <w:rFonts w:ascii="Times New Roman" w:hAnsi="Times New Roman" w:cs="Times New Roman"/>
          <w:b/>
          <w:bCs/>
          <w:sz w:val="20"/>
          <w:szCs w:val="20"/>
        </w:rPr>
      </w:pPr>
    </w:p>
    <w:p w14:paraId="1E82E88A" w14:textId="77777777" w:rsidR="001E65D8" w:rsidRDefault="001E65D8" w:rsidP="00A603B6">
      <w:pPr>
        <w:rPr>
          <w:rFonts w:ascii="Times New Roman" w:hAnsi="Times New Roman" w:cs="Times New Roman"/>
          <w:b/>
          <w:bCs/>
          <w:sz w:val="20"/>
          <w:szCs w:val="20"/>
        </w:rPr>
      </w:pPr>
    </w:p>
    <w:p w14:paraId="1D728F12" w14:textId="77777777" w:rsidR="001E65D8" w:rsidRDefault="001E65D8" w:rsidP="00A603B6">
      <w:pPr>
        <w:rPr>
          <w:rFonts w:ascii="Times New Roman" w:hAnsi="Times New Roman" w:cs="Times New Roman"/>
          <w:b/>
          <w:bCs/>
          <w:sz w:val="20"/>
          <w:szCs w:val="20"/>
        </w:rPr>
      </w:pPr>
    </w:p>
    <w:p w14:paraId="1CF578A0" w14:textId="77777777" w:rsidR="001E65D8" w:rsidRDefault="001E65D8" w:rsidP="00A603B6">
      <w:pPr>
        <w:rPr>
          <w:rFonts w:ascii="Times New Roman" w:hAnsi="Times New Roman" w:cs="Times New Roman"/>
          <w:b/>
          <w:bCs/>
          <w:sz w:val="20"/>
          <w:szCs w:val="20"/>
        </w:rPr>
      </w:pPr>
    </w:p>
    <w:p w14:paraId="6BD34470" w14:textId="77777777" w:rsidR="001E65D8" w:rsidRDefault="001E65D8" w:rsidP="00A603B6">
      <w:pPr>
        <w:rPr>
          <w:rFonts w:ascii="Times New Roman" w:hAnsi="Times New Roman" w:cs="Times New Roman"/>
          <w:b/>
          <w:bCs/>
          <w:sz w:val="20"/>
          <w:szCs w:val="20"/>
        </w:rPr>
      </w:pPr>
    </w:p>
    <w:p w14:paraId="48C25BF3" w14:textId="102162AD" w:rsidR="00A603B6" w:rsidRPr="001E65D8" w:rsidRDefault="00D11E0D" w:rsidP="00A603B6">
      <w:pPr>
        <w:rPr>
          <w:rFonts w:ascii="Times New Roman" w:hAnsi="Times New Roman" w:cs="Times New Roman"/>
          <w:b/>
          <w:bCs/>
          <w:sz w:val="20"/>
          <w:szCs w:val="20"/>
        </w:rPr>
      </w:pPr>
      <w:r w:rsidRPr="001E65D8">
        <w:rPr>
          <w:rFonts w:ascii="Times New Roman" w:hAnsi="Times New Roman" w:cs="Times New Roman"/>
          <w:b/>
          <w:bCs/>
          <w:sz w:val="20"/>
          <w:szCs w:val="20"/>
        </w:rPr>
        <w:lastRenderedPageBreak/>
        <w:t>Table S3. KEGG and MSigDB pathways enriched in MDA-MB-231 STING high vs STING Low cells</w:t>
      </w:r>
    </w:p>
    <w:tbl>
      <w:tblPr>
        <w:tblStyle w:val="PlainTable1"/>
        <w:tblW w:w="9918" w:type="dxa"/>
        <w:tblLayout w:type="fixed"/>
        <w:tblLook w:val="04A0" w:firstRow="1" w:lastRow="0" w:firstColumn="1" w:lastColumn="0" w:noHBand="0" w:noVBand="1"/>
      </w:tblPr>
      <w:tblGrid>
        <w:gridCol w:w="1413"/>
        <w:gridCol w:w="1276"/>
        <w:gridCol w:w="850"/>
        <w:gridCol w:w="709"/>
        <w:gridCol w:w="1417"/>
        <w:gridCol w:w="993"/>
        <w:gridCol w:w="992"/>
        <w:gridCol w:w="2268"/>
      </w:tblGrid>
      <w:tr w:rsidR="00D11E0D" w:rsidRPr="001E65D8" w14:paraId="50A1D5E2" w14:textId="77777777" w:rsidTr="001E65D8">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9918" w:type="dxa"/>
            <w:gridSpan w:val="8"/>
            <w:noWrap/>
            <w:hideMark/>
          </w:tcPr>
          <w:p w14:paraId="5FB8D3CA" w14:textId="3561B389" w:rsidR="00D11E0D" w:rsidRPr="001E65D8" w:rsidRDefault="00D11E0D" w:rsidP="00C52E00">
            <w:pPr>
              <w:jc w:val="center"/>
              <w:rPr>
                <w:rFonts w:ascii="Times New Roman" w:hAnsi="Times New Roman" w:cs="Times New Roman"/>
                <w:b w:val="0"/>
                <w:bCs w:val="0"/>
                <w:sz w:val="20"/>
                <w:szCs w:val="20"/>
              </w:rPr>
            </w:pPr>
            <w:r w:rsidRPr="001E65D8">
              <w:rPr>
                <w:rFonts w:ascii="Times New Roman" w:hAnsi="Times New Roman" w:cs="Times New Roman"/>
                <w:sz w:val="20"/>
                <w:szCs w:val="20"/>
              </w:rPr>
              <w:t>KEGG Pathways_STING High vs STING Low</w:t>
            </w:r>
          </w:p>
        </w:tc>
      </w:tr>
      <w:tr w:rsidR="00C52E00" w:rsidRPr="001E65D8" w14:paraId="35CD91AC" w14:textId="77777777" w:rsidTr="001E65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060E7717"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73FB6746"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Term</w:t>
            </w:r>
          </w:p>
        </w:tc>
        <w:tc>
          <w:tcPr>
            <w:tcW w:w="850" w:type="dxa"/>
            <w:noWrap/>
            <w:hideMark/>
          </w:tcPr>
          <w:p w14:paraId="0EB5D1EF"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Overlap</w:t>
            </w:r>
          </w:p>
        </w:tc>
        <w:tc>
          <w:tcPr>
            <w:tcW w:w="709" w:type="dxa"/>
            <w:noWrap/>
            <w:hideMark/>
          </w:tcPr>
          <w:p w14:paraId="704367B5"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P-value</w:t>
            </w:r>
          </w:p>
        </w:tc>
        <w:tc>
          <w:tcPr>
            <w:tcW w:w="1417" w:type="dxa"/>
            <w:noWrap/>
            <w:hideMark/>
          </w:tcPr>
          <w:p w14:paraId="64EE7932"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Adjusted P-value</w:t>
            </w:r>
          </w:p>
        </w:tc>
        <w:tc>
          <w:tcPr>
            <w:tcW w:w="993" w:type="dxa"/>
            <w:noWrap/>
            <w:hideMark/>
          </w:tcPr>
          <w:p w14:paraId="2BAC697A"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Odds Ratio</w:t>
            </w:r>
          </w:p>
        </w:tc>
        <w:tc>
          <w:tcPr>
            <w:tcW w:w="992" w:type="dxa"/>
            <w:noWrap/>
            <w:hideMark/>
          </w:tcPr>
          <w:p w14:paraId="10573FE5"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Combined Score</w:t>
            </w:r>
          </w:p>
        </w:tc>
        <w:tc>
          <w:tcPr>
            <w:tcW w:w="2268" w:type="dxa"/>
            <w:noWrap/>
            <w:hideMark/>
          </w:tcPr>
          <w:p w14:paraId="7E3AEE1C"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Genes</w:t>
            </w:r>
          </w:p>
        </w:tc>
      </w:tr>
      <w:tr w:rsidR="00C52E00" w:rsidRPr="001E65D8" w14:paraId="027B8781" w14:textId="77777777" w:rsidTr="001E65D8">
        <w:trPr>
          <w:trHeight w:val="1692"/>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2A5A43BC" w14:textId="77777777" w:rsidR="00D11E0D" w:rsidRPr="001E65D8" w:rsidRDefault="00D11E0D" w:rsidP="00C52E00">
            <w:pPr>
              <w:jc w:val="center"/>
              <w:rPr>
                <w:rFonts w:ascii="Times New Roman" w:hAnsi="Times New Roman" w:cs="Times New Roman"/>
                <w:b w:val="0"/>
                <w:bCs w:val="0"/>
                <w:sz w:val="20"/>
                <w:szCs w:val="20"/>
              </w:rPr>
            </w:pPr>
            <w:r w:rsidRPr="001E65D8">
              <w:rPr>
                <w:rFonts w:ascii="Times New Roman" w:hAnsi="Times New Roman" w:cs="Times New Roman"/>
                <w:sz w:val="20"/>
                <w:szCs w:val="20"/>
              </w:rPr>
              <w:t>Upregulated</w:t>
            </w:r>
          </w:p>
        </w:tc>
        <w:tc>
          <w:tcPr>
            <w:tcW w:w="1276" w:type="dxa"/>
            <w:noWrap/>
            <w:hideMark/>
          </w:tcPr>
          <w:p w14:paraId="63E54B60"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Ribosome</w:t>
            </w:r>
          </w:p>
        </w:tc>
        <w:tc>
          <w:tcPr>
            <w:tcW w:w="850" w:type="dxa"/>
            <w:noWrap/>
            <w:hideMark/>
          </w:tcPr>
          <w:p w14:paraId="6E899809"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28/158</w:t>
            </w:r>
          </w:p>
        </w:tc>
        <w:tc>
          <w:tcPr>
            <w:tcW w:w="709" w:type="dxa"/>
            <w:noWrap/>
            <w:hideMark/>
          </w:tcPr>
          <w:p w14:paraId="2F9A7C45"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2.53E-40</w:t>
            </w:r>
          </w:p>
        </w:tc>
        <w:tc>
          <w:tcPr>
            <w:tcW w:w="1417" w:type="dxa"/>
            <w:noWrap/>
            <w:hideMark/>
          </w:tcPr>
          <w:p w14:paraId="549E253A"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2.15E-38</w:t>
            </w:r>
          </w:p>
        </w:tc>
        <w:tc>
          <w:tcPr>
            <w:tcW w:w="993" w:type="dxa"/>
            <w:noWrap/>
            <w:hideMark/>
          </w:tcPr>
          <w:p w14:paraId="52070AD2"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90.71358</w:t>
            </w:r>
          </w:p>
        </w:tc>
        <w:tc>
          <w:tcPr>
            <w:tcW w:w="992" w:type="dxa"/>
            <w:noWrap/>
            <w:hideMark/>
          </w:tcPr>
          <w:p w14:paraId="7336F194"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8270.667</w:t>
            </w:r>
          </w:p>
        </w:tc>
        <w:tc>
          <w:tcPr>
            <w:tcW w:w="2268" w:type="dxa"/>
            <w:noWrap/>
            <w:hideMark/>
          </w:tcPr>
          <w:p w14:paraId="1DDEAC0F"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RPL4;RPL3;RPL32;RPLP1;RPL12;RPL10A;RPL6;RPL7;RPS4X;RPL7A;RPS16;RPS15A;RPL36;RPL14;RPL35;RPL15;RPS2;RPL18;RPS13;RPL21;RPS8;RPL13A;RPS3A;RPL23A;RPL27A;RPL24;RPL27;RPS24</w:t>
            </w:r>
          </w:p>
        </w:tc>
      </w:tr>
      <w:tr w:rsidR="00C52E00" w:rsidRPr="001E65D8" w14:paraId="74AFA1C0" w14:textId="77777777" w:rsidTr="001E65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80A2159"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17AE4A19"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Coronavirus disease</w:t>
            </w:r>
          </w:p>
        </w:tc>
        <w:tc>
          <w:tcPr>
            <w:tcW w:w="850" w:type="dxa"/>
            <w:noWrap/>
            <w:hideMark/>
          </w:tcPr>
          <w:p w14:paraId="145D67BE"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29/232</w:t>
            </w:r>
          </w:p>
        </w:tc>
        <w:tc>
          <w:tcPr>
            <w:tcW w:w="709" w:type="dxa"/>
            <w:noWrap/>
            <w:hideMark/>
          </w:tcPr>
          <w:p w14:paraId="5E61A283"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3.92E-37</w:t>
            </w:r>
          </w:p>
        </w:tc>
        <w:tc>
          <w:tcPr>
            <w:tcW w:w="1417" w:type="dxa"/>
            <w:noWrap/>
            <w:hideMark/>
          </w:tcPr>
          <w:p w14:paraId="62A46829"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1.67E-35</w:t>
            </w:r>
          </w:p>
        </w:tc>
        <w:tc>
          <w:tcPr>
            <w:tcW w:w="993" w:type="dxa"/>
            <w:noWrap/>
            <w:hideMark/>
          </w:tcPr>
          <w:p w14:paraId="583CCE4D"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61.24845</w:t>
            </w:r>
          </w:p>
        </w:tc>
        <w:tc>
          <w:tcPr>
            <w:tcW w:w="992" w:type="dxa"/>
            <w:noWrap/>
            <w:hideMark/>
          </w:tcPr>
          <w:p w14:paraId="2FC33EE8"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5134.398</w:t>
            </w:r>
          </w:p>
        </w:tc>
        <w:tc>
          <w:tcPr>
            <w:tcW w:w="2268" w:type="dxa"/>
            <w:noWrap/>
            <w:hideMark/>
          </w:tcPr>
          <w:p w14:paraId="70512970"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RPL4;RPL3;RPL32;RPLP1;RPL12;RPL10A;RPL6;RPL7;RPS4X;RPL7A;RPS16;RPS15A;RPL36;RPL14;RPL35;RPL15;RPS2;RPL18;RPS13;RPL21;RPS8;RPL13A;RPS3A;ISG15;RPL23A;RPL27A;RPL24;RPL27;RPS24</w:t>
            </w:r>
          </w:p>
        </w:tc>
      </w:tr>
      <w:tr w:rsidR="00C52E00" w:rsidRPr="001E65D8" w14:paraId="0FFD9B70" w14:textId="77777777" w:rsidTr="001E65D8">
        <w:trPr>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3DB68C8"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334F9121"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850" w:type="dxa"/>
            <w:noWrap/>
            <w:hideMark/>
          </w:tcPr>
          <w:p w14:paraId="0E7F7BFA"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noWrap/>
            <w:hideMark/>
          </w:tcPr>
          <w:p w14:paraId="4BC3E941"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417" w:type="dxa"/>
            <w:noWrap/>
            <w:hideMark/>
          </w:tcPr>
          <w:p w14:paraId="35D84EBC"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993" w:type="dxa"/>
            <w:noWrap/>
            <w:hideMark/>
          </w:tcPr>
          <w:p w14:paraId="46516042"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992" w:type="dxa"/>
            <w:noWrap/>
            <w:hideMark/>
          </w:tcPr>
          <w:p w14:paraId="3AE69546"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268" w:type="dxa"/>
            <w:noWrap/>
            <w:hideMark/>
          </w:tcPr>
          <w:p w14:paraId="3AF97B57"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C52E00" w:rsidRPr="001E65D8" w14:paraId="5D505F63" w14:textId="77777777" w:rsidTr="001E65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val="restart"/>
            <w:noWrap/>
            <w:hideMark/>
          </w:tcPr>
          <w:p w14:paraId="0F40E192" w14:textId="77777777" w:rsidR="00D11E0D" w:rsidRPr="001E65D8" w:rsidRDefault="00D11E0D" w:rsidP="00C52E00">
            <w:pPr>
              <w:jc w:val="center"/>
              <w:rPr>
                <w:rFonts w:ascii="Times New Roman" w:hAnsi="Times New Roman" w:cs="Times New Roman"/>
                <w:b w:val="0"/>
                <w:bCs w:val="0"/>
                <w:sz w:val="20"/>
                <w:szCs w:val="20"/>
              </w:rPr>
            </w:pPr>
            <w:r w:rsidRPr="001E65D8">
              <w:rPr>
                <w:rFonts w:ascii="Times New Roman" w:hAnsi="Times New Roman" w:cs="Times New Roman"/>
                <w:sz w:val="20"/>
                <w:szCs w:val="20"/>
              </w:rPr>
              <w:t>Downregulated</w:t>
            </w:r>
          </w:p>
        </w:tc>
        <w:tc>
          <w:tcPr>
            <w:tcW w:w="1276" w:type="dxa"/>
            <w:noWrap/>
            <w:hideMark/>
          </w:tcPr>
          <w:p w14:paraId="471A5543"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Lysosome</w:t>
            </w:r>
          </w:p>
        </w:tc>
        <w:tc>
          <w:tcPr>
            <w:tcW w:w="850" w:type="dxa"/>
            <w:noWrap/>
            <w:hideMark/>
          </w:tcPr>
          <w:p w14:paraId="5845C028"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7/128</w:t>
            </w:r>
          </w:p>
        </w:tc>
        <w:tc>
          <w:tcPr>
            <w:tcW w:w="709" w:type="dxa"/>
            <w:noWrap/>
            <w:hideMark/>
          </w:tcPr>
          <w:p w14:paraId="06E9B00D"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2.58E-06</w:t>
            </w:r>
          </w:p>
        </w:tc>
        <w:tc>
          <w:tcPr>
            <w:tcW w:w="1417" w:type="dxa"/>
            <w:noWrap/>
            <w:hideMark/>
          </w:tcPr>
          <w:p w14:paraId="4E139D51"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3.28E-04</w:t>
            </w:r>
          </w:p>
        </w:tc>
        <w:tc>
          <w:tcPr>
            <w:tcW w:w="993" w:type="dxa"/>
            <w:noWrap/>
            <w:hideMark/>
          </w:tcPr>
          <w:p w14:paraId="618707E9"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13.00601</w:t>
            </w:r>
          </w:p>
        </w:tc>
        <w:tc>
          <w:tcPr>
            <w:tcW w:w="992" w:type="dxa"/>
            <w:noWrap/>
            <w:hideMark/>
          </w:tcPr>
          <w:p w14:paraId="14476D88"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167.346</w:t>
            </w:r>
          </w:p>
        </w:tc>
        <w:tc>
          <w:tcPr>
            <w:tcW w:w="2268" w:type="dxa"/>
            <w:noWrap/>
            <w:hideMark/>
          </w:tcPr>
          <w:p w14:paraId="1341C5DD"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CTSA;CTSZ;NEU1;PSAP;GNS;CTSB;LGMN</w:t>
            </w:r>
          </w:p>
        </w:tc>
      </w:tr>
      <w:tr w:rsidR="00C52E00" w:rsidRPr="001E65D8" w14:paraId="778E636F" w14:textId="77777777" w:rsidTr="001E65D8">
        <w:trPr>
          <w:trHeight w:val="288"/>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F684A54"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0EF871E7"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Spliceosome</w:t>
            </w:r>
          </w:p>
        </w:tc>
        <w:tc>
          <w:tcPr>
            <w:tcW w:w="850" w:type="dxa"/>
            <w:noWrap/>
            <w:hideMark/>
          </w:tcPr>
          <w:p w14:paraId="6C366848"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7/150</w:t>
            </w:r>
          </w:p>
        </w:tc>
        <w:tc>
          <w:tcPr>
            <w:tcW w:w="709" w:type="dxa"/>
            <w:noWrap/>
            <w:hideMark/>
          </w:tcPr>
          <w:p w14:paraId="7E4B894A"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7.38E-06</w:t>
            </w:r>
          </w:p>
        </w:tc>
        <w:tc>
          <w:tcPr>
            <w:tcW w:w="1417" w:type="dxa"/>
            <w:noWrap/>
            <w:hideMark/>
          </w:tcPr>
          <w:p w14:paraId="32DED4E5"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4.69E-04</w:t>
            </w:r>
          </w:p>
        </w:tc>
        <w:tc>
          <w:tcPr>
            <w:tcW w:w="993" w:type="dxa"/>
            <w:noWrap/>
            <w:hideMark/>
          </w:tcPr>
          <w:p w14:paraId="299A1628"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10.99285</w:t>
            </w:r>
          </w:p>
        </w:tc>
        <w:tc>
          <w:tcPr>
            <w:tcW w:w="992" w:type="dxa"/>
            <w:noWrap/>
            <w:hideMark/>
          </w:tcPr>
          <w:p w14:paraId="1750C284"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129.8958</w:t>
            </w:r>
          </w:p>
        </w:tc>
        <w:tc>
          <w:tcPr>
            <w:tcW w:w="2268" w:type="dxa"/>
            <w:noWrap/>
            <w:hideMark/>
          </w:tcPr>
          <w:p w14:paraId="10430E75"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HNRNPK;SNRPD2;SNRPD3;HNRNPC;LSM4;LSM3;SNRPB</w:t>
            </w:r>
          </w:p>
        </w:tc>
      </w:tr>
      <w:tr w:rsidR="00C52E00" w:rsidRPr="001E65D8" w14:paraId="50B595D1" w14:textId="77777777" w:rsidTr="001E65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hideMark/>
          </w:tcPr>
          <w:p w14:paraId="2C899DB9"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36749A8C"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Citrate cycle (TCA cycle)</w:t>
            </w:r>
          </w:p>
        </w:tc>
        <w:tc>
          <w:tcPr>
            <w:tcW w:w="850" w:type="dxa"/>
            <w:noWrap/>
            <w:hideMark/>
          </w:tcPr>
          <w:p w14:paraId="3259CC9E"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4/30</w:t>
            </w:r>
          </w:p>
        </w:tc>
        <w:tc>
          <w:tcPr>
            <w:tcW w:w="709" w:type="dxa"/>
            <w:noWrap/>
            <w:hideMark/>
          </w:tcPr>
          <w:p w14:paraId="3A0BA87C"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1.19E-05</w:t>
            </w:r>
          </w:p>
        </w:tc>
        <w:tc>
          <w:tcPr>
            <w:tcW w:w="1417" w:type="dxa"/>
            <w:noWrap/>
            <w:hideMark/>
          </w:tcPr>
          <w:p w14:paraId="6C4B63C7"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5.04E-04</w:t>
            </w:r>
          </w:p>
        </w:tc>
        <w:tc>
          <w:tcPr>
            <w:tcW w:w="993" w:type="dxa"/>
            <w:noWrap/>
            <w:hideMark/>
          </w:tcPr>
          <w:p w14:paraId="233FB51E"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33.60778</w:t>
            </w:r>
          </w:p>
        </w:tc>
        <w:tc>
          <w:tcPr>
            <w:tcW w:w="992" w:type="dxa"/>
            <w:noWrap/>
            <w:hideMark/>
          </w:tcPr>
          <w:p w14:paraId="5E14020F"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381.0575</w:t>
            </w:r>
          </w:p>
        </w:tc>
        <w:tc>
          <w:tcPr>
            <w:tcW w:w="2268" w:type="dxa"/>
            <w:noWrap/>
            <w:hideMark/>
          </w:tcPr>
          <w:p w14:paraId="409FE233"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PDHB;ACO2;SDHA;IDH3A</w:t>
            </w:r>
          </w:p>
        </w:tc>
      </w:tr>
      <w:tr w:rsidR="00C52E00" w:rsidRPr="001E65D8" w14:paraId="669A6269" w14:textId="77777777" w:rsidTr="001E65D8">
        <w:trPr>
          <w:trHeight w:val="288"/>
        </w:trPr>
        <w:tc>
          <w:tcPr>
            <w:cnfStyle w:val="001000000000" w:firstRow="0" w:lastRow="0" w:firstColumn="1" w:lastColumn="0" w:oddVBand="0" w:evenVBand="0" w:oddHBand="0" w:evenHBand="0" w:firstRowFirstColumn="0" w:firstRowLastColumn="0" w:lastRowFirstColumn="0" w:lastRowLastColumn="0"/>
            <w:tcW w:w="1413" w:type="dxa"/>
            <w:vMerge/>
            <w:hideMark/>
          </w:tcPr>
          <w:p w14:paraId="61416437"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24AE8466"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Glyoxylate and dicarboxylate metabolism</w:t>
            </w:r>
          </w:p>
        </w:tc>
        <w:tc>
          <w:tcPr>
            <w:tcW w:w="850" w:type="dxa"/>
            <w:noWrap/>
            <w:hideMark/>
          </w:tcPr>
          <w:p w14:paraId="5619FE8A"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3/30</w:t>
            </w:r>
          </w:p>
        </w:tc>
        <w:tc>
          <w:tcPr>
            <w:tcW w:w="709" w:type="dxa"/>
            <w:noWrap/>
            <w:hideMark/>
          </w:tcPr>
          <w:p w14:paraId="3E46EAE5"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3.84E-04</w:t>
            </w:r>
          </w:p>
        </w:tc>
        <w:tc>
          <w:tcPr>
            <w:tcW w:w="1417" w:type="dxa"/>
            <w:noWrap/>
            <w:hideMark/>
          </w:tcPr>
          <w:p w14:paraId="41AE2936"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0.012194</w:t>
            </w:r>
          </w:p>
        </w:tc>
        <w:tc>
          <w:tcPr>
            <w:tcW w:w="993" w:type="dxa"/>
            <w:noWrap/>
            <w:hideMark/>
          </w:tcPr>
          <w:p w14:paraId="516FC42C"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24.00725</w:t>
            </w:r>
          </w:p>
        </w:tc>
        <w:tc>
          <w:tcPr>
            <w:tcW w:w="992" w:type="dxa"/>
            <w:noWrap/>
            <w:hideMark/>
          </w:tcPr>
          <w:p w14:paraId="47C5B7BB"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188.8104</w:t>
            </w:r>
          </w:p>
        </w:tc>
        <w:tc>
          <w:tcPr>
            <w:tcW w:w="2268" w:type="dxa"/>
            <w:noWrap/>
            <w:hideMark/>
          </w:tcPr>
          <w:p w14:paraId="0726626B"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ACSS2;CAT;ACO2</w:t>
            </w:r>
          </w:p>
        </w:tc>
      </w:tr>
      <w:tr w:rsidR="00C52E00" w:rsidRPr="001E65D8" w14:paraId="44DA3EE0" w14:textId="77777777" w:rsidTr="001E65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hideMark/>
          </w:tcPr>
          <w:p w14:paraId="4BBE312F"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5A71A626"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Antigen processing and presentation</w:t>
            </w:r>
          </w:p>
        </w:tc>
        <w:tc>
          <w:tcPr>
            <w:tcW w:w="850" w:type="dxa"/>
            <w:noWrap/>
            <w:hideMark/>
          </w:tcPr>
          <w:p w14:paraId="54FFE3FC"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4/78</w:t>
            </w:r>
          </w:p>
        </w:tc>
        <w:tc>
          <w:tcPr>
            <w:tcW w:w="709" w:type="dxa"/>
            <w:noWrap/>
            <w:hideMark/>
          </w:tcPr>
          <w:p w14:paraId="77DA0EC3"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5.21E-04</w:t>
            </w:r>
          </w:p>
        </w:tc>
        <w:tc>
          <w:tcPr>
            <w:tcW w:w="1417" w:type="dxa"/>
            <w:noWrap/>
            <w:hideMark/>
          </w:tcPr>
          <w:p w14:paraId="03755557"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0.013227</w:t>
            </w:r>
          </w:p>
        </w:tc>
        <w:tc>
          <w:tcPr>
            <w:tcW w:w="993" w:type="dxa"/>
            <w:noWrap/>
            <w:hideMark/>
          </w:tcPr>
          <w:p w14:paraId="47579FE1"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11.77963</w:t>
            </w:r>
          </w:p>
        </w:tc>
        <w:tc>
          <w:tcPr>
            <w:tcW w:w="992" w:type="dxa"/>
            <w:noWrap/>
            <w:hideMark/>
          </w:tcPr>
          <w:p w14:paraId="079D5A33"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89.05652</w:t>
            </w:r>
          </w:p>
        </w:tc>
        <w:tc>
          <w:tcPr>
            <w:tcW w:w="2268" w:type="dxa"/>
            <w:noWrap/>
            <w:hideMark/>
          </w:tcPr>
          <w:p w14:paraId="3A9A19BD"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HLA-A;CALR;CTSB;LGMN</w:t>
            </w:r>
          </w:p>
        </w:tc>
      </w:tr>
      <w:tr w:rsidR="00D11E0D" w:rsidRPr="001E65D8" w14:paraId="13AB590A" w14:textId="77777777" w:rsidTr="001E65D8">
        <w:trPr>
          <w:trHeight w:val="288"/>
        </w:trPr>
        <w:tc>
          <w:tcPr>
            <w:cnfStyle w:val="001000000000" w:firstRow="0" w:lastRow="0" w:firstColumn="1" w:lastColumn="0" w:oddVBand="0" w:evenVBand="0" w:oddHBand="0" w:evenHBand="0" w:firstRowFirstColumn="0" w:firstRowLastColumn="0" w:lastRowFirstColumn="0" w:lastRowLastColumn="0"/>
            <w:tcW w:w="9918" w:type="dxa"/>
            <w:gridSpan w:val="8"/>
            <w:noWrap/>
            <w:hideMark/>
          </w:tcPr>
          <w:p w14:paraId="2145F3EC" w14:textId="59775D41" w:rsidR="00D11E0D" w:rsidRPr="001E65D8" w:rsidRDefault="00D11E0D" w:rsidP="00C52E00">
            <w:pPr>
              <w:jc w:val="center"/>
              <w:rPr>
                <w:rFonts w:ascii="Times New Roman" w:hAnsi="Times New Roman" w:cs="Times New Roman"/>
                <w:b w:val="0"/>
                <w:bCs w:val="0"/>
                <w:sz w:val="20"/>
                <w:szCs w:val="20"/>
              </w:rPr>
            </w:pPr>
            <w:r w:rsidRPr="001E65D8">
              <w:rPr>
                <w:rFonts w:ascii="Times New Roman" w:hAnsi="Times New Roman" w:cs="Times New Roman"/>
                <w:sz w:val="20"/>
                <w:szCs w:val="20"/>
              </w:rPr>
              <w:t>MSigDB Pathways_STING High vs STING Low</w:t>
            </w:r>
          </w:p>
        </w:tc>
      </w:tr>
      <w:tr w:rsidR="00C52E00" w:rsidRPr="001E65D8" w14:paraId="15B0CEE2" w14:textId="77777777" w:rsidTr="001E65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2F837FDE"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62CD3A11"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Term</w:t>
            </w:r>
          </w:p>
        </w:tc>
        <w:tc>
          <w:tcPr>
            <w:tcW w:w="850" w:type="dxa"/>
            <w:noWrap/>
            <w:hideMark/>
          </w:tcPr>
          <w:p w14:paraId="763996E2"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Overlap</w:t>
            </w:r>
          </w:p>
        </w:tc>
        <w:tc>
          <w:tcPr>
            <w:tcW w:w="709" w:type="dxa"/>
            <w:noWrap/>
            <w:hideMark/>
          </w:tcPr>
          <w:p w14:paraId="1A5E4DD8"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P-value</w:t>
            </w:r>
          </w:p>
        </w:tc>
        <w:tc>
          <w:tcPr>
            <w:tcW w:w="1417" w:type="dxa"/>
            <w:noWrap/>
            <w:hideMark/>
          </w:tcPr>
          <w:p w14:paraId="2EDD271E"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Adjusted P-value</w:t>
            </w:r>
          </w:p>
        </w:tc>
        <w:tc>
          <w:tcPr>
            <w:tcW w:w="993" w:type="dxa"/>
            <w:noWrap/>
            <w:hideMark/>
          </w:tcPr>
          <w:p w14:paraId="753286F5"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Odds Ratio</w:t>
            </w:r>
          </w:p>
        </w:tc>
        <w:tc>
          <w:tcPr>
            <w:tcW w:w="992" w:type="dxa"/>
            <w:noWrap/>
            <w:hideMark/>
          </w:tcPr>
          <w:p w14:paraId="2E7055C6"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Combined Score</w:t>
            </w:r>
          </w:p>
        </w:tc>
        <w:tc>
          <w:tcPr>
            <w:tcW w:w="2268" w:type="dxa"/>
            <w:noWrap/>
            <w:hideMark/>
          </w:tcPr>
          <w:p w14:paraId="26974EA5"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Genes</w:t>
            </w:r>
          </w:p>
        </w:tc>
      </w:tr>
      <w:tr w:rsidR="00C52E00" w:rsidRPr="001E65D8" w14:paraId="70AB7CA8" w14:textId="77777777" w:rsidTr="001E65D8">
        <w:trPr>
          <w:trHeight w:val="288"/>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3AFD7DC2" w14:textId="77777777" w:rsidR="00D11E0D" w:rsidRPr="001E65D8" w:rsidRDefault="00D11E0D" w:rsidP="00C52E00">
            <w:pPr>
              <w:jc w:val="center"/>
              <w:rPr>
                <w:rFonts w:ascii="Times New Roman" w:hAnsi="Times New Roman" w:cs="Times New Roman"/>
                <w:b w:val="0"/>
                <w:bCs w:val="0"/>
                <w:sz w:val="20"/>
                <w:szCs w:val="20"/>
              </w:rPr>
            </w:pPr>
            <w:r w:rsidRPr="001E65D8">
              <w:rPr>
                <w:rFonts w:ascii="Times New Roman" w:hAnsi="Times New Roman" w:cs="Times New Roman"/>
                <w:sz w:val="20"/>
                <w:szCs w:val="20"/>
              </w:rPr>
              <w:t>Upregulated</w:t>
            </w:r>
          </w:p>
        </w:tc>
        <w:tc>
          <w:tcPr>
            <w:tcW w:w="1276" w:type="dxa"/>
            <w:noWrap/>
            <w:hideMark/>
          </w:tcPr>
          <w:p w14:paraId="29CE4429"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Myc Targets V1</w:t>
            </w:r>
          </w:p>
        </w:tc>
        <w:tc>
          <w:tcPr>
            <w:tcW w:w="850" w:type="dxa"/>
            <w:noWrap/>
            <w:hideMark/>
          </w:tcPr>
          <w:p w14:paraId="691993B6"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5/200</w:t>
            </w:r>
          </w:p>
        </w:tc>
        <w:tc>
          <w:tcPr>
            <w:tcW w:w="709" w:type="dxa"/>
            <w:noWrap/>
            <w:hideMark/>
          </w:tcPr>
          <w:p w14:paraId="15449D83"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9.31E-04</w:t>
            </w:r>
          </w:p>
        </w:tc>
        <w:tc>
          <w:tcPr>
            <w:tcW w:w="1417" w:type="dxa"/>
            <w:noWrap/>
            <w:hideMark/>
          </w:tcPr>
          <w:p w14:paraId="045B6FC1"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0.023278</w:t>
            </w:r>
          </w:p>
        </w:tc>
        <w:tc>
          <w:tcPr>
            <w:tcW w:w="993" w:type="dxa"/>
            <w:noWrap/>
            <w:hideMark/>
          </w:tcPr>
          <w:p w14:paraId="42DAE554"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7.227106</w:t>
            </w:r>
          </w:p>
        </w:tc>
        <w:tc>
          <w:tcPr>
            <w:tcW w:w="992" w:type="dxa"/>
            <w:noWrap/>
            <w:hideMark/>
          </w:tcPr>
          <w:p w14:paraId="629C936B"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50.43885</w:t>
            </w:r>
          </w:p>
        </w:tc>
        <w:tc>
          <w:tcPr>
            <w:tcW w:w="2268" w:type="dxa"/>
            <w:noWrap/>
            <w:hideMark/>
          </w:tcPr>
          <w:p w14:paraId="2BD049C9"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FBL;RPL14;RPS2;RPL18;RPL6</w:t>
            </w:r>
          </w:p>
        </w:tc>
      </w:tr>
      <w:tr w:rsidR="00C52E00" w:rsidRPr="001E65D8" w14:paraId="2180BB7E" w14:textId="77777777" w:rsidTr="001E65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hideMark/>
          </w:tcPr>
          <w:p w14:paraId="7DDA34A9"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37232C82"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Interferon Alpha Response</w:t>
            </w:r>
          </w:p>
        </w:tc>
        <w:tc>
          <w:tcPr>
            <w:tcW w:w="850" w:type="dxa"/>
            <w:noWrap/>
            <w:hideMark/>
          </w:tcPr>
          <w:p w14:paraId="5B6F4D78"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3/97</w:t>
            </w:r>
          </w:p>
        </w:tc>
        <w:tc>
          <w:tcPr>
            <w:tcW w:w="709" w:type="dxa"/>
            <w:noWrap/>
            <w:hideMark/>
          </w:tcPr>
          <w:p w14:paraId="57FBD10E"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0.005802</w:t>
            </w:r>
          </w:p>
        </w:tc>
        <w:tc>
          <w:tcPr>
            <w:tcW w:w="1417" w:type="dxa"/>
            <w:noWrap/>
            <w:hideMark/>
          </w:tcPr>
          <w:p w14:paraId="728FE578"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0.072521</w:t>
            </w:r>
          </w:p>
        </w:tc>
        <w:tc>
          <w:tcPr>
            <w:tcW w:w="993" w:type="dxa"/>
            <w:noWrap/>
            <w:hideMark/>
          </w:tcPr>
          <w:p w14:paraId="15630F34"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8.790337</w:t>
            </w:r>
          </w:p>
        </w:tc>
        <w:tc>
          <w:tcPr>
            <w:tcW w:w="992" w:type="dxa"/>
            <w:noWrap/>
            <w:hideMark/>
          </w:tcPr>
          <w:p w14:paraId="144AF2DE"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45.26676</w:t>
            </w:r>
          </w:p>
        </w:tc>
        <w:tc>
          <w:tcPr>
            <w:tcW w:w="2268" w:type="dxa"/>
            <w:noWrap/>
            <w:hideMark/>
          </w:tcPr>
          <w:p w14:paraId="1A53F23D"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ISG15;IFIT3;WARS1</w:t>
            </w:r>
          </w:p>
        </w:tc>
      </w:tr>
      <w:tr w:rsidR="00C52E00" w:rsidRPr="001E65D8" w14:paraId="57CF2A48" w14:textId="77777777" w:rsidTr="001E65D8">
        <w:trPr>
          <w:trHeight w:val="288"/>
        </w:trPr>
        <w:tc>
          <w:tcPr>
            <w:cnfStyle w:val="001000000000" w:firstRow="0" w:lastRow="0" w:firstColumn="1" w:lastColumn="0" w:oddVBand="0" w:evenVBand="0" w:oddHBand="0" w:evenHBand="0" w:firstRowFirstColumn="0" w:firstRowLastColumn="0" w:lastRowFirstColumn="0" w:lastRowLastColumn="0"/>
            <w:tcW w:w="1413" w:type="dxa"/>
            <w:noWrap/>
            <w:hideMark/>
          </w:tcPr>
          <w:p w14:paraId="62A5A67D"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07F101D3"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850" w:type="dxa"/>
            <w:noWrap/>
            <w:hideMark/>
          </w:tcPr>
          <w:p w14:paraId="43DFAB28"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709" w:type="dxa"/>
            <w:noWrap/>
            <w:hideMark/>
          </w:tcPr>
          <w:p w14:paraId="76B5FD83"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1417" w:type="dxa"/>
            <w:noWrap/>
            <w:hideMark/>
          </w:tcPr>
          <w:p w14:paraId="3ECB7E94"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993" w:type="dxa"/>
            <w:noWrap/>
            <w:hideMark/>
          </w:tcPr>
          <w:p w14:paraId="1FC3D480"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992" w:type="dxa"/>
            <w:noWrap/>
            <w:hideMark/>
          </w:tcPr>
          <w:p w14:paraId="36BBF915"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c>
          <w:tcPr>
            <w:tcW w:w="2268" w:type="dxa"/>
            <w:noWrap/>
            <w:hideMark/>
          </w:tcPr>
          <w:p w14:paraId="644F7883"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tc>
      </w:tr>
      <w:tr w:rsidR="00C52E00" w:rsidRPr="001E65D8" w14:paraId="24290E97" w14:textId="77777777" w:rsidTr="001E65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val="restart"/>
            <w:hideMark/>
          </w:tcPr>
          <w:p w14:paraId="4195ED30" w14:textId="1AA29AA1" w:rsidR="00D11E0D" w:rsidRPr="001E65D8" w:rsidRDefault="00D11E0D" w:rsidP="00C52E00">
            <w:pPr>
              <w:jc w:val="center"/>
              <w:rPr>
                <w:rFonts w:ascii="Times New Roman" w:hAnsi="Times New Roman" w:cs="Times New Roman"/>
                <w:b w:val="0"/>
                <w:bCs w:val="0"/>
                <w:sz w:val="20"/>
                <w:szCs w:val="20"/>
              </w:rPr>
            </w:pPr>
            <w:r w:rsidRPr="001E65D8">
              <w:rPr>
                <w:rFonts w:ascii="Times New Roman" w:hAnsi="Times New Roman" w:cs="Times New Roman"/>
                <w:sz w:val="20"/>
                <w:szCs w:val="20"/>
              </w:rPr>
              <w:t>Downregulate</w:t>
            </w:r>
            <w:r w:rsidR="00C52E00" w:rsidRPr="001E65D8">
              <w:rPr>
                <w:rFonts w:ascii="Times New Roman" w:hAnsi="Times New Roman" w:cs="Times New Roman"/>
                <w:sz w:val="20"/>
                <w:szCs w:val="20"/>
              </w:rPr>
              <w:t>d</w:t>
            </w:r>
          </w:p>
        </w:tc>
        <w:tc>
          <w:tcPr>
            <w:tcW w:w="1276" w:type="dxa"/>
            <w:noWrap/>
            <w:hideMark/>
          </w:tcPr>
          <w:p w14:paraId="2FB92CE5"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Adipogenesis</w:t>
            </w:r>
          </w:p>
        </w:tc>
        <w:tc>
          <w:tcPr>
            <w:tcW w:w="850" w:type="dxa"/>
            <w:noWrap/>
            <w:hideMark/>
          </w:tcPr>
          <w:p w14:paraId="6DFC1A97"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7/200</w:t>
            </w:r>
          </w:p>
        </w:tc>
        <w:tc>
          <w:tcPr>
            <w:tcW w:w="709" w:type="dxa"/>
            <w:noWrap/>
            <w:hideMark/>
          </w:tcPr>
          <w:p w14:paraId="7B95050B"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4.73E-05</w:t>
            </w:r>
          </w:p>
        </w:tc>
        <w:tc>
          <w:tcPr>
            <w:tcW w:w="1417" w:type="dxa"/>
            <w:noWrap/>
            <w:hideMark/>
          </w:tcPr>
          <w:p w14:paraId="1EEF704F"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0.001845</w:t>
            </w:r>
          </w:p>
        </w:tc>
        <w:tc>
          <w:tcPr>
            <w:tcW w:w="993" w:type="dxa"/>
            <w:noWrap/>
            <w:hideMark/>
          </w:tcPr>
          <w:p w14:paraId="62B43D2C"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8.124352</w:t>
            </w:r>
          </w:p>
        </w:tc>
        <w:tc>
          <w:tcPr>
            <w:tcW w:w="992" w:type="dxa"/>
            <w:noWrap/>
            <w:hideMark/>
          </w:tcPr>
          <w:p w14:paraId="379B9CD9"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80.90987</w:t>
            </w:r>
          </w:p>
        </w:tc>
        <w:tc>
          <w:tcPr>
            <w:tcW w:w="2268" w:type="dxa"/>
            <w:noWrap/>
            <w:hideMark/>
          </w:tcPr>
          <w:p w14:paraId="67DCFED5"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TST;CAVIN1;CAT;PDCD4;ESYT1;ACO2;IDH3A</w:t>
            </w:r>
          </w:p>
        </w:tc>
      </w:tr>
      <w:tr w:rsidR="00C52E00" w:rsidRPr="001E65D8" w14:paraId="5FDD0069" w14:textId="77777777" w:rsidTr="001E65D8">
        <w:trPr>
          <w:trHeight w:val="288"/>
        </w:trPr>
        <w:tc>
          <w:tcPr>
            <w:cnfStyle w:val="001000000000" w:firstRow="0" w:lastRow="0" w:firstColumn="1" w:lastColumn="0" w:oddVBand="0" w:evenVBand="0" w:oddHBand="0" w:evenHBand="0" w:firstRowFirstColumn="0" w:firstRowLastColumn="0" w:lastRowFirstColumn="0" w:lastRowLastColumn="0"/>
            <w:tcW w:w="1413" w:type="dxa"/>
            <w:vMerge/>
            <w:hideMark/>
          </w:tcPr>
          <w:p w14:paraId="56218F32"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607F50EC"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Estrogen Response Late</w:t>
            </w:r>
          </w:p>
        </w:tc>
        <w:tc>
          <w:tcPr>
            <w:tcW w:w="850" w:type="dxa"/>
            <w:noWrap/>
            <w:hideMark/>
          </w:tcPr>
          <w:p w14:paraId="0F504CD2"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5/200</w:t>
            </w:r>
          </w:p>
        </w:tc>
        <w:tc>
          <w:tcPr>
            <w:tcW w:w="709" w:type="dxa"/>
            <w:noWrap/>
            <w:hideMark/>
          </w:tcPr>
          <w:p w14:paraId="169FDB06"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0.002662</w:t>
            </w:r>
          </w:p>
        </w:tc>
        <w:tc>
          <w:tcPr>
            <w:tcW w:w="1417" w:type="dxa"/>
            <w:noWrap/>
            <w:hideMark/>
          </w:tcPr>
          <w:p w14:paraId="0DA23AA4"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0.020767</w:t>
            </w:r>
          </w:p>
        </w:tc>
        <w:tc>
          <w:tcPr>
            <w:tcW w:w="993" w:type="dxa"/>
            <w:noWrap/>
            <w:hideMark/>
          </w:tcPr>
          <w:p w14:paraId="23B067AB"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5.615385</w:t>
            </w:r>
          </w:p>
        </w:tc>
        <w:tc>
          <w:tcPr>
            <w:tcW w:w="992" w:type="dxa"/>
            <w:noWrap/>
            <w:hideMark/>
          </w:tcPr>
          <w:p w14:paraId="4185C68A"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33.29101</w:t>
            </w:r>
          </w:p>
        </w:tc>
        <w:tc>
          <w:tcPr>
            <w:tcW w:w="2268" w:type="dxa"/>
            <w:noWrap/>
            <w:hideMark/>
          </w:tcPr>
          <w:p w14:paraId="441E778C"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GALE;TST;AGR2;PDCD4;ASS1</w:t>
            </w:r>
          </w:p>
        </w:tc>
      </w:tr>
      <w:tr w:rsidR="00C52E00" w:rsidRPr="001E65D8" w14:paraId="792B5617" w14:textId="77777777" w:rsidTr="001E65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hideMark/>
          </w:tcPr>
          <w:p w14:paraId="3C65B215"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246DA5B9"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Myc Targets V1</w:t>
            </w:r>
          </w:p>
        </w:tc>
        <w:tc>
          <w:tcPr>
            <w:tcW w:w="850" w:type="dxa"/>
            <w:noWrap/>
            <w:hideMark/>
          </w:tcPr>
          <w:p w14:paraId="1D7B78BC"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5/200</w:t>
            </w:r>
          </w:p>
        </w:tc>
        <w:tc>
          <w:tcPr>
            <w:tcW w:w="709" w:type="dxa"/>
            <w:noWrap/>
            <w:hideMark/>
          </w:tcPr>
          <w:p w14:paraId="24D38590"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0.002662</w:t>
            </w:r>
          </w:p>
        </w:tc>
        <w:tc>
          <w:tcPr>
            <w:tcW w:w="1417" w:type="dxa"/>
            <w:noWrap/>
            <w:hideMark/>
          </w:tcPr>
          <w:p w14:paraId="61B7A0CE"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0.020767</w:t>
            </w:r>
          </w:p>
        </w:tc>
        <w:tc>
          <w:tcPr>
            <w:tcW w:w="993" w:type="dxa"/>
            <w:noWrap/>
            <w:hideMark/>
          </w:tcPr>
          <w:p w14:paraId="5CA0E137"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5.615385</w:t>
            </w:r>
          </w:p>
        </w:tc>
        <w:tc>
          <w:tcPr>
            <w:tcW w:w="992" w:type="dxa"/>
            <w:noWrap/>
            <w:hideMark/>
          </w:tcPr>
          <w:p w14:paraId="22ECE7C7"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33.29101</w:t>
            </w:r>
          </w:p>
        </w:tc>
        <w:tc>
          <w:tcPr>
            <w:tcW w:w="2268" w:type="dxa"/>
            <w:noWrap/>
            <w:hideMark/>
          </w:tcPr>
          <w:p w14:paraId="75848D3D"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SNRPD2;FAM120A;SNRPD3;HNRNPC;TARDBP</w:t>
            </w:r>
          </w:p>
        </w:tc>
      </w:tr>
      <w:tr w:rsidR="00C52E00" w:rsidRPr="001E65D8" w14:paraId="13EC9231" w14:textId="77777777" w:rsidTr="001E65D8">
        <w:trPr>
          <w:trHeight w:val="288"/>
        </w:trPr>
        <w:tc>
          <w:tcPr>
            <w:cnfStyle w:val="001000000000" w:firstRow="0" w:lastRow="0" w:firstColumn="1" w:lastColumn="0" w:oddVBand="0" w:evenVBand="0" w:oddHBand="0" w:evenHBand="0" w:firstRowFirstColumn="0" w:firstRowLastColumn="0" w:lastRowFirstColumn="0" w:lastRowLastColumn="0"/>
            <w:tcW w:w="1413" w:type="dxa"/>
            <w:vMerge/>
            <w:hideMark/>
          </w:tcPr>
          <w:p w14:paraId="0E92B728"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2D892451"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Epithelial Mesenchymal Transition</w:t>
            </w:r>
          </w:p>
        </w:tc>
        <w:tc>
          <w:tcPr>
            <w:tcW w:w="850" w:type="dxa"/>
            <w:noWrap/>
            <w:hideMark/>
          </w:tcPr>
          <w:p w14:paraId="01430668"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5/200</w:t>
            </w:r>
          </w:p>
        </w:tc>
        <w:tc>
          <w:tcPr>
            <w:tcW w:w="709" w:type="dxa"/>
            <w:noWrap/>
            <w:hideMark/>
          </w:tcPr>
          <w:p w14:paraId="03596222"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0.002662</w:t>
            </w:r>
          </w:p>
        </w:tc>
        <w:tc>
          <w:tcPr>
            <w:tcW w:w="1417" w:type="dxa"/>
            <w:noWrap/>
            <w:hideMark/>
          </w:tcPr>
          <w:p w14:paraId="1716551F"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0.020767</w:t>
            </w:r>
          </w:p>
        </w:tc>
        <w:tc>
          <w:tcPr>
            <w:tcW w:w="993" w:type="dxa"/>
            <w:noWrap/>
            <w:hideMark/>
          </w:tcPr>
          <w:p w14:paraId="4ECC5006"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5.615385</w:t>
            </w:r>
          </w:p>
        </w:tc>
        <w:tc>
          <w:tcPr>
            <w:tcW w:w="992" w:type="dxa"/>
            <w:noWrap/>
            <w:hideMark/>
          </w:tcPr>
          <w:p w14:paraId="0F26D4E0"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33.29101</w:t>
            </w:r>
          </w:p>
        </w:tc>
        <w:tc>
          <w:tcPr>
            <w:tcW w:w="2268" w:type="dxa"/>
            <w:noWrap/>
            <w:hideMark/>
          </w:tcPr>
          <w:p w14:paraId="5FC14122" w14:textId="77777777" w:rsidR="00D11E0D" w:rsidRPr="001E65D8" w:rsidRDefault="00D11E0D" w:rsidP="00C52E00">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ITGB1;SERPINH1;CALU;CD59;COLGALT1</w:t>
            </w:r>
          </w:p>
        </w:tc>
      </w:tr>
      <w:tr w:rsidR="00C52E00" w:rsidRPr="001E65D8" w14:paraId="67ED1646" w14:textId="77777777" w:rsidTr="001E65D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13" w:type="dxa"/>
            <w:vMerge/>
            <w:hideMark/>
          </w:tcPr>
          <w:p w14:paraId="75B1174C" w14:textId="77777777" w:rsidR="00D11E0D" w:rsidRPr="001E65D8" w:rsidRDefault="00D11E0D" w:rsidP="00C52E00">
            <w:pPr>
              <w:jc w:val="center"/>
              <w:rPr>
                <w:rFonts w:ascii="Times New Roman" w:hAnsi="Times New Roman" w:cs="Times New Roman"/>
                <w:b w:val="0"/>
                <w:bCs w:val="0"/>
                <w:sz w:val="20"/>
                <w:szCs w:val="20"/>
              </w:rPr>
            </w:pPr>
          </w:p>
        </w:tc>
        <w:tc>
          <w:tcPr>
            <w:tcW w:w="1276" w:type="dxa"/>
            <w:noWrap/>
            <w:hideMark/>
          </w:tcPr>
          <w:p w14:paraId="25D7B2FA"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Oxidative Phosphorylation</w:t>
            </w:r>
          </w:p>
        </w:tc>
        <w:tc>
          <w:tcPr>
            <w:tcW w:w="850" w:type="dxa"/>
            <w:noWrap/>
            <w:hideMark/>
          </w:tcPr>
          <w:p w14:paraId="5EF9D7BE"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5/200</w:t>
            </w:r>
          </w:p>
        </w:tc>
        <w:tc>
          <w:tcPr>
            <w:tcW w:w="709" w:type="dxa"/>
            <w:noWrap/>
            <w:hideMark/>
          </w:tcPr>
          <w:p w14:paraId="31D67355"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0.002662</w:t>
            </w:r>
          </w:p>
        </w:tc>
        <w:tc>
          <w:tcPr>
            <w:tcW w:w="1417" w:type="dxa"/>
            <w:noWrap/>
            <w:hideMark/>
          </w:tcPr>
          <w:p w14:paraId="0B135F85"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0.020767</w:t>
            </w:r>
          </w:p>
        </w:tc>
        <w:tc>
          <w:tcPr>
            <w:tcW w:w="993" w:type="dxa"/>
            <w:noWrap/>
            <w:hideMark/>
          </w:tcPr>
          <w:p w14:paraId="01442A6A"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5.615385</w:t>
            </w:r>
          </w:p>
        </w:tc>
        <w:tc>
          <w:tcPr>
            <w:tcW w:w="992" w:type="dxa"/>
            <w:noWrap/>
            <w:hideMark/>
          </w:tcPr>
          <w:p w14:paraId="2F1BE7B8"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33.29101</w:t>
            </w:r>
          </w:p>
        </w:tc>
        <w:tc>
          <w:tcPr>
            <w:tcW w:w="2268" w:type="dxa"/>
            <w:noWrap/>
            <w:hideMark/>
          </w:tcPr>
          <w:p w14:paraId="5C95550F" w14:textId="77777777" w:rsidR="00D11E0D" w:rsidRPr="001E65D8" w:rsidRDefault="00D11E0D" w:rsidP="00C52E00">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sz w:val="20"/>
                <w:szCs w:val="20"/>
              </w:rPr>
            </w:pPr>
            <w:r w:rsidRPr="001E65D8">
              <w:rPr>
                <w:rFonts w:ascii="Times New Roman" w:hAnsi="Times New Roman" w:cs="Times New Roman"/>
                <w:b/>
                <w:bCs/>
                <w:sz w:val="20"/>
                <w:szCs w:val="20"/>
              </w:rPr>
              <w:t>NDUFA8;PDHB;ACO2;SDHA;IDH3A</w:t>
            </w:r>
          </w:p>
        </w:tc>
      </w:tr>
    </w:tbl>
    <w:p w14:paraId="77566E56" w14:textId="77777777" w:rsidR="00D11E0D" w:rsidRPr="001E65D8" w:rsidRDefault="00D11E0D" w:rsidP="00A603B6">
      <w:pPr>
        <w:rPr>
          <w:rFonts w:ascii="Times New Roman" w:hAnsi="Times New Roman" w:cs="Times New Roman"/>
          <w:b/>
          <w:bCs/>
          <w:sz w:val="20"/>
          <w:szCs w:val="20"/>
        </w:rPr>
      </w:pPr>
    </w:p>
    <w:p w14:paraId="072FEC78" w14:textId="77777777" w:rsidR="005A5A37" w:rsidRPr="001E65D8" w:rsidRDefault="005A5A37" w:rsidP="00A603B6">
      <w:pPr>
        <w:rPr>
          <w:rFonts w:ascii="Times New Roman" w:hAnsi="Times New Roman" w:cs="Times New Roman"/>
          <w:b/>
          <w:bCs/>
          <w:sz w:val="20"/>
          <w:szCs w:val="20"/>
        </w:rPr>
      </w:pPr>
    </w:p>
    <w:p w14:paraId="1FE5825D" w14:textId="43E28BAA" w:rsidR="005A5A37" w:rsidRPr="001E65D8" w:rsidRDefault="005A5A37" w:rsidP="00A603B6">
      <w:pPr>
        <w:rPr>
          <w:rFonts w:ascii="Times New Roman" w:hAnsi="Times New Roman" w:cs="Times New Roman"/>
          <w:b/>
          <w:bCs/>
          <w:sz w:val="20"/>
          <w:szCs w:val="20"/>
        </w:rPr>
      </w:pPr>
    </w:p>
    <w:sectPr w:rsidR="005A5A37" w:rsidRPr="001E65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230B87" w14:textId="77777777" w:rsidR="00220340" w:rsidRDefault="00220340" w:rsidP="00A603B6">
      <w:pPr>
        <w:spacing w:after="0" w:line="240" w:lineRule="auto"/>
      </w:pPr>
      <w:r>
        <w:separator/>
      </w:r>
    </w:p>
  </w:endnote>
  <w:endnote w:type="continuationSeparator" w:id="0">
    <w:p w14:paraId="5F70ECDF" w14:textId="77777777" w:rsidR="00220340" w:rsidRDefault="00220340" w:rsidP="00A603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n-e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0212E3" w14:textId="77777777" w:rsidR="00220340" w:rsidRDefault="00220340" w:rsidP="00A603B6">
      <w:pPr>
        <w:spacing w:after="0" w:line="240" w:lineRule="auto"/>
      </w:pPr>
      <w:r>
        <w:separator/>
      </w:r>
    </w:p>
  </w:footnote>
  <w:footnote w:type="continuationSeparator" w:id="0">
    <w:p w14:paraId="3850663E" w14:textId="77777777" w:rsidR="00220340" w:rsidRDefault="00220340" w:rsidP="00A603B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BE5"/>
    <w:rsid w:val="00092680"/>
    <w:rsid w:val="000C1A93"/>
    <w:rsid w:val="00141FE1"/>
    <w:rsid w:val="001779B0"/>
    <w:rsid w:val="001A7509"/>
    <w:rsid w:val="001B2E57"/>
    <w:rsid w:val="001B3761"/>
    <w:rsid w:val="001C79C0"/>
    <w:rsid w:val="001E014C"/>
    <w:rsid w:val="001E65D8"/>
    <w:rsid w:val="001F3753"/>
    <w:rsid w:val="00220340"/>
    <w:rsid w:val="002F3D95"/>
    <w:rsid w:val="00375C39"/>
    <w:rsid w:val="004575A7"/>
    <w:rsid w:val="004B4FB7"/>
    <w:rsid w:val="005A5A37"/>
    <w:rsid w:val="00614840"/>
    <w:rsid w:val="006A21B0"/>
    <w:rsid w:val="006D7483"/>
    <w:rsid w:val="00716FA0"/>
    <w:rsid w:val="007F5ADB"/>
    <w:rsid w:val="00877EDF"/>
    <w:rsid w:val="008B4857"/>
    <w:rsid w:val="009C1418"/>
    <w:rsid w:val="00A603B6"/>
    <w:rsid w:val="00B53FFD"/>
    <w:rsid w:val="00B64478"/>
    <w:rsid w:val="00BA78E7"/>
    <w:rsid w:val="00C52E00"/>
    <w:rsid w:val="00C64264"/>
    <w:rsid w:val="00CC7991"/>
    <w:rsid w:val="00CE39BC"/>
    <w:rsid w:val="00CF4E43"/>
    <w:rsid w:val="00D01FEA"/>
    <w:rsid w:val="00D07D7E"/>
    <w:rsid w:val="00D11E0D"/>
    <w:rsid w:val="00D23F20"/>
    <w:rsid w:val="00D63659"/>
    <w:rsid w:val="00D74130"/>
    <w:rsid w:val="00DB6615"/>
    <w:rsid w:val="00E8713E"/>
    <w:rsid w:val="00F55BE5"/>
    <w:rsid w:val="00F71C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9C26BF"/>
  <w15:chartTrackingRefBased/>
  <w15:docId w15:val="{B37AAC47-7A82-4802-9677-5D5E9F4AA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55BE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55BE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55BE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55BE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55BE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55BE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55BE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55BE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55BE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55BE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55BE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55BE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55BE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55BE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55BE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55BE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55BE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55BE5"/>
    <w:rPr>
      <w:rFonts w:eastAsiaTheme="majorEastAsia" w:cstheme="majorBidi"/>
      <w:color w:val="272727" w:themeColor="text1" w:themeTint="D8"/>
    </w:rPr>
  </w:style>
  <w:style w:type="paragraph" w:styleId="Title">
    <w:name w:val="Title"/>
    <w:basedOn w:val="Normal"/>
    <w:next w:val="Normal"/>
    <w:link w:val="TitleChar"/>
    <w:uiPriority w:val="10"/>
    <w:qFormat/>
    <w:rsid w:val="00F55BE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55BE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55BE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55BE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55BE5"/>
    <w:pPr>
      <w:spacing w:before="160"/>
      <w:jc w:val="center"/>
    </w:pPr>
    <w:rPr>
      <w:i/>
      <w:iCs/>
      <w:color w:val="404040" w:themeColor="text1" w:themeTint="BF"/>
    </w:rPr>
  </w:style>
  <w:style w:type="character" w:customStyle="1" w:styleId="QuoteChar">
    <w:name w:val="Quote Char"/>
    <w:basedOn w:val="DefaultParagraphFont"/>
    <w:link w:val="Quote"/>
    <w:uiPriority w:val="29"/>
    <w:rsid w:val="00F55BE5"/>
    <w:rPr>
      <w:i/>
      <w:iCs/>
      <w:color w:val="404040" w:themeColor="text1" w:themeTint="BF"/>
    </w:rPr>
  </w:style>
  <w:style w:type="paragraph" w:styleId="ListParagraph">
    <w:name w:val="List Paragraph"/>
    <w:basedOn w:val="Normal"/>
    <w:uiPriority w:val="34"/>
    <w:qFormat/>
    <w:rsid w:val="00F55BE5"/>
    <w:pPr>
      <w:ind w:left="720"/>
      <w:contextualSpacing/>
    </w:pPr>
  </w:style>
  <w:style w:type="character" w:styleId="IntenseEmphasis">
    <w:name w:val="Intense Emphasis"/>
    <w:basedOn w:val="DefaultParagraphFont"/>
    <w:uiPriority w:val="21"/>
    <w:qFormat/>
    <w:rsid w:val="00F55BE5"/>
    <w:rPr>
      <w:i/>
      <w:iCs/>
      <w:color w:val="0F4761" w:themeColor="accent1" w:themeShade="BF"/>
    </w:rPr>
  </w:style>
  <w:style w:type="paragraph" w:styleId="IntenseQuote">
    <w:name w:val="Intense Quote"/>
    <w:basedOn w:val="Normal"/>
    <w:next w:val="Normal"/>
    <w:link w:val="IntenseQuoteChar"/>
    <w:uiPriority w:val="30"/>
    <w:qFormat/>
    <w:rsid w:val="00F55BE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55BE5"/>
    <w:rPr>
      <w:i/>
      <w:iCs/>
      <w:color w:val="0F4761" w:themeColor="accent1" w:themeShade="BF"/>
    </w:rPr>
  </w:style>
  <w:style w:type="character" w:styleId="IntenseReference">
    <w:name w:val="Intense Reference"/>
    <w:basedOn w:val="DefaultParagraphFont"/>
    <w:uiPriority w:val="32"/>
    <w:qFormat/>
    <w:rsid w:val="00F55BE5"/>
    <w:rPr>
      <w:b/>
      <w:bCs/>
      <w:smallCaps/>
      <w:color w:val="0F4761" w:themeColor="accent1" w:themeShade="BF"/>
      <w:spacing w:val="5"/>
    </w:rPr>
  </w:style>
  <w:style w:type="paragraph" w:styleId="Header">
    <w:name w:val="header"/>
    <w:basedOn w:val="Normal"/>
    <w:link w:val="HeaderChar"/>
    <w:uiPriority w:val="99"/>
    <w:unhideWhenUsed/>
    <w:rsid w:val="00A603B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03B6"/>
  </w:style>
  <w:style w:type="paragraph" w:styleId="Footer">
    <w:name w:val="footer"/>
    <w:basedOn w:val="Normal"/>
    <w:link w:val="FooterChar"/>
    <w:uiPriority w:val="99"/>
    <w:unhideWhenUsed/>
    <w:rsid w:val="00A603B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03B6"/>
  </w:style>
  <w:style w:type="character" w:styleId="CommentReference">
    <w:name w:val="annotation reference"/>
    <w:basedOn w:val="DefaultParagraphFont"/>
    <w:uiPriority w:val="99"/>
    <w:semiHidden/>
    <w:unhideWhenUsed/>
    <w:rsid w:val="00CE39BC"/>
    <w:rPr>
      <w:sz w:val="16"/>
      <w:szCs w:val="16"/>
    </w:rPr>
  </w:style>
  <w:style w:type="paragraph" w:styleId="CommentText">
    <w:name w:val="annotation text"/>
    <w:basedOn w:val="Normal"/>
    <w:link w:val="CommentTextChar"/>
    <w:uiPriority w:val="99"/>
    <w:semiHidden/>
    <w:unhideWhenUsed/>
    <w:rsid w:val="00CE39BC"/>
    <w:pPr>
      <w:spacing w:line="240" w:lineRule="auto"/>
    </w:pPr>
    <w:rPr>
      <w:sz w:val="20"/>
      <w:szCs w:val="20"/>
    </w:rPr>
  </w:style>
  <w:style w:type="character" w:customStyle="1" w:styleId="CommentTextChar">
    <w:name w:val="Comment Text Char"/>
    <w:basedOn w:val="DefaultParagraphFont"/>
    <w:link w:val="CommentText"/>
    <w:uiPriority w:val="99"/>
    <w:semiHidden/>
    <w:rsid w:val="00CE39BC"/>
    <w:rPr>
      <w:sz w:val="20"/>
      <w:szCs w:val="20"/>
    </w:rPr>
  </w:style>
  <w:style w:type="paragraph" w:styleId="CommentSubject">
    <w:name w:val="annotation subject"/>
    <w:basedOn w:val="CommentText"/>
    <w:next w:val="CommentText"/>
    <w:link w:val="CommentSubjectChar"/>
    <w:uiPriority w:val="99"/>
    <w:semiHidden/>
    <w:unhideWhenUsed/>
    <w:rsid w:val="00CE39BC"/>
    <w:rPr>
      <w:b/>
      <w:bCs/>
    </w:rPr>
  </w:style>
  <w:style w:type="character" w:customStyle="1" w:styleId="CommentSubjectChar">
    <w:name w:val="Comment Subject Char"/>
    <w:basedOn w:val="CommentTextChar"/>
    <w:link w:val="CommentSubject"/>
    <w:uiPriority w:val="99"/>
    <w:semiHidden/>
    <w:rsid w:val="00CE39BC"/>
    <w:rPr>
      <w:b/>
      <w:bCs/>
      <w:sz w:val="20"/>
      <w:szCs w:val="20"/>
    </w:rPr>
  </w:style>
  <w:style w:type="table" w:styleId="TableGrid">
    <w:name w:val="Table Grid"/>
    <w:basedOn w:val="TableNormal"/>
    <w:uiPriority w:val="39"/>
    <w:rsid w:val="00D11E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01FEA"/>
    <w:rPr>
      <w:color w:val="0000FF"/>
      <w:u w:val="single"/>
    </w:rPr>
  </w:style>
  <w:style w:type="table" w:styleId="GridTable4">
    <w:name w:val="Grid Table 4"/>
    <w:basedOn w:val="TableNormal"/>
    <w:uiPriority w:val="49"/>
    <w:rsid w:val="005A5A3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1">
    <w:name w:val="Plain Table 1"/>
    <w:basedOn w:val="TableNormal"/>
    <w:uiPriority w:val="41"/>
    <w:rsid w:val="00C6426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2">
    <w:name w:val="Grid Table 2"/>
    <w:basedOn w:val="TableNormal"/>
    <w:uiPriority w:val="47"/>
    <w:rsid w:val="00E8713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amy.reed@uq.edu.au" TargetMode="Externa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66</TotalTime>
  <Pages>11</Pages>
  <Words>1849</Words>
  <Characters>10544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Queensland</Company>
  <LinksUpToDate>false</LinksUpToDate>
  <CharactersWithSpaces>12369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Vaibhavi Joshi</dc:creator>
  <cp:keywords/>
  <dc:description/>
  <cp:lastModifiedBy>Vaibhavi Joshi</cp:lastModifiedBy>
  <cp:revision>8</cp:revision>
  <dcterms:created xsi:type="dcterms:W3CDTF">2026-02-23T04:58:00Z</dcterms:created>
  <dcterms:modified xsi:type="dcterms:W3CDTF">2026-04-30T01:49:00Z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f488380-630a-4f55-a077-a19445e3f360_Enabled">
    <vt:lpwstr>true</vt:lpwstr>
  </property>
  <property fmtid="{D5CDD505-2E9C-101B-9397-08002B2CF9AE}" pid="3" name="MSIP_Label_0f488380-630a-4f55-a077-a19445e3f360_SetDate">
    <vt:lpwstr>2026-02-10T01:25:02Z</vt:lpwstr>
  </property>
  <property fmtid="{D5CDD505-2E9C-101B-9397-08002B2CF9AE}" pid="4" name="MSIP_Label_0f488380-630a-4f55-a077-a19445e3f360_Method">
    <vt:lpwstr>Standard</vt:lpwstr>
  </property>
  <property fmtid="{D5CDD505-2E9C-101B-9397-08002B2CF9AE}" pid="5" name="MSIP_Label_0f488380-630a-4f55-a077-a19445e3f360_Name">
    <vt:lpwstr>OFFICIAL - INTERNAL</vt:lpwstr>
  </property>
  <property fmtid="{D5CDD505-2E9C-101B-9397-08002B2CF9AE}" pid="6" name="MSIP_Label_0f488380-630a-4f55-a077-a19445e3f360_SiteId">
    <vt:lpwstr>b6e377cf-9db3-46cb-91a2-fad9605bb15c</vt:lpwstr>
  </property>
  <property fmtid="{D5CDD505-2E9C-101B-9397-08002B2CF9AE}" pid="7" name="MSIP_Label_0f488380-630a-4f55-a077-a19445e3f360_ActionId">
    <vt:lpwstr>76d0e11d-647a-42f0-831c-d9ab0f1eb275</vt:lpwstr>
  </property>
  <property fmtid="{D5CDD505-2E9C-101B-9397-08002B2CF9AE}" pid="8" name="MSIP_Label_0f488380-630a-4f55-a077-a19445e3f360_ContentBits">
    <vt:lpwstr>0</vt:lpwstr>
  </property>
  <property fmtid="{D5CDD505-2E9C-101B-9397-08002B2CF9AE}" pid="9" name="MSIP_Label_0f488380-630a-4f55-a077-a19445e3f360_Tag">
    <vt:lpwstr>10, 3, 0, 1</vt:lpwstr>
  </property>
</Properties>
</file>