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AF4EF" w14:textId="382017EA" w:rsidR="00930DBB" w:rsidRPr="00930DBB" w:rsidRDefault="00930DBB" w:rsidP="00930DBB">
      <w:pPr>
        <w:spacing w:line="360" w:lineRule="auto"/>
        <w:ind w:firstLineChars="100" w:firstLine="2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T</w:t>
      </w:r>
      <w:r w:rsidRPr="00930DBB">
        <w:rPr>
          <w:rFonts w:ascii="Times New Roman" w:eastAsiaTheme="minorEastAsia" w:hAnsi="Times New Roman" w:cs="Times New Roman"/>
          <w:sz w:val="24"/>
          <w:szCs w:val="24"/>
        </w:rPr>
        <w:t xml:space="preserve">he retrograde labeling from the CMT and the anterograde labeling from the LC demonstrate a robust, reciprocal LC–CMT pathway, confirming that CMT both receives noradrenergic input from the LC and, in turn, is embedded within a broader </w:t>
      </w:r>
      <w:r w:rsidRPr="00930DBB">
        <w:rPr>
          <w:rFonts w:ascii="Times New Roman" w:eastAsiaTheme="minorEastAsia" w:hAnsi="Times New Roman" w:cs="Times New Roman"/>
          <w:sz w:val="24"/>
          <w:szCs w:val="24"/>
        </w:rPr>
        <w:t>corticothalamic</w:t>
      </w:r>
      <w:r w:rsidRPr="00930DBB">
        <w:rPr>
          <w:rFonts w:ascii="Times New Roman" w:eastAsiaTheme="minorEastAsia" w:hAnsi="Times New Roman" w:cs="Times New Roman"/>
          <w:sz w:val="24"/>
          <w:szCs w:val="24"/>
        </w:rPr>
        <w:t xml:space="preserve"> brainstem network.</w:t>
      </w:r>
    </w:p>
    <w:p w14:paraId="61636B6C" w14:textId="08BDB164" w:rsidR="00C5044D" w:rsidRDefault="00C5044D" w:rsidP="00C5044D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6A9B80F" wp14:editId="057757A8">
            <wp:extent cx="5274310" cy="2470785"/>
            <wp:effectExtent l="0" t="0" r="2540" b="5715"/>
            <wp:docPr id="430057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057802" name="图片 43005780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6709B" w14:textId="0705E8B9" w:rsidR="0012401B" w:rsidRPr="00930DBB" w:rsidRDefault="00930DBB" w:rsidP="00930DBB">
      <w:pPr>
        <w:spacing w:line="360" w:lineRule="auto"/>
        <w:rPr>
          <w:rFonts w:ascii="Times New Roman" w:eastAsiaTheme="minorEastAsia" w:hAnsi="Times New Roman" w:cs="Times New Roman" w:hint="eastAsia"/>
          <w:sz w:val="24"/>
          <w:szCs w:val="24"/>
        </w:rPr>
      </w:pPr>
      <w:r w:rsidRPr="00930DBB">
        <w:rPr>
          <w:rFonts w:ascii="Times New Roman" w:eastAsiaTheme="minorEastAsia" w:hAnsi="Times New Roman" w:cs="Times New Roman"/>
          <w:sz w:val="24"/>
          <w:szCs w:val="24"/>
        </w:rPr>
        <w:t xml:space="preserve">Supplementary Figure 1. Anatomical connectivity between the locus coeruleus (LC) and the central medial thalamus (CMT).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Pr="00930DBB">
        <w:rPr>
          <w:rFonts w:ascii="Times New Roman" w:eastAsiaTheme="minorEastAsia" w:hAnsi="Times New Roman" w:cs="Times New Roman"/>
          <w:sz w:val="24"/>
          <w:szCs w:val="24"/>
        </w:rPr>
        <w:t xml:space="preserve">(A1–L1) Retrograde tracing from the CMT. </w:t>
      </w:r>
      <w:proofErr w:type="spellStart"/>
      <w:r w:rsidRPr="00930DBB">
        <w:rPr>
          <w:rFonts w:ascii="Times New Roman" w:eastAsiaTheme="minorEastAsia" w:hAnsi="Times New Roman" w:cs="Times New Roman"/>
          <w:sz w:val="24"/>
          <w:szCs w:val="24"/>
        </w:rPr>
        <w:t>rAAV</w:t>
      </w:r>
      <w:proofErr w:type="spellEnd"/>
      <w:r w:rsidRPr="00930DBB">
        <w:rPr>
          <w:rFonts w:ascii="Times New Roman" w:eastAsiaTheme="minorEastAsia" w:hAnsi="Times New Roman" w:cs="Times New Roman"/>
          <w:sz w:val="24"/>
          <w:szCs w:val="24"/>
        </w:rPr>
        <w:t xml:space="preserve"> retro </w:t>
      </w:r>
      <w:proofErr w:type="spellStart"/>
      <w:r w:rsidRPr="00930DBB">
        <w:rPr>
          <w:rFonts w:ascii="Times New Roman" w:eastAsiaTheme="minorEastAsia" w:hAnsi="Times New Roman" w:cs="Times New Roman"/>
          <w:sz w:val="24"/>
          <w:szCs w:val="24"/>
        </w:rPr>
        <w:t>hSyn</w:t>
      </w:r>
      <w:proofErr w:type="spellEnd"/>
      <w:r w:rsidRPr="00930DBB">
        <w:rPr>
          <w:rFonts w:ascii="Times New Roman" w:eastAsiaTheme="minorEastAsia" w:hAnsi="Times New Roman" w:cs="Times New Roman"/>
          <w:sz w:val="24"/>
          <w:szCs w:val="24"/>
        </w:rPr>
        <w:t xml:space="preserve"> Cre </w:t>
      </w:r>
      <w:proofErr w:type="spellStart"/>
      <w:r w:rsidRPr="00930DBB">
        <w:rPr>
          <w:rFonts w:ascii="Times New Roman" w:eastAsiaTheme="minorEastAsia" w:hAnsi="Times New Roman" w:cs="Times New Roman"/>
          <w:sz w:val="24"/>
          <w:szCs w:val="24"/>
        </w:rPr>
        <w:t>mCherry</w:t>
      </w:r>
      <w:proofErr w:type="spellEnd"/>
      <w:r w:rsidRPr="00930DBB">
        <w:rPr>
          <w:rFonts w:ascii="Times New Roman" w:eastAsiaTheme="minorEastAsia" w:hAnsi="Times New Roman" w:cs="Times New Roman"/>
          <w:sz w:val="24"/>
          <w:szCs w:val="24"/>
        </w:rPr>
        <w:t xml:space="preserve"> WPRE </w:t>
      </w:r>
      <w:proofErr w:type="spellStart"/>
      <w:r w:rsidRPr="00930DBB">
        <w:rPr>
          <w:rFonts w:ascii="Times New Roman" w:eastAsiaTheme="minorEastAsia" w:hAnsi="Times New Roman" w:cs="Times New Roman"/>
          <w:sz w:val="24"/>
          <w:szCs w:val="24"/>
        </w:rPr>
        <w:t>hGH</w:t>
      </w:r>
      <w:proofErr w:type="spellEnd"/>
      <w:r w:rsidRPr="00930DBB">
        <w:rPr>
          <w:rFonts w:ascii="Times New Roman" w:eastAsiaTheme="minorEastAsia" w:hAnsi="Times New Roman" w:cs="Times New Roman"/>
          <w:sz w:val="24"/>
          <w:szCs w:val="24"/>
        </w:rPr>
        <w:t xml:space="preserve"> was injected into the CMT to map its afferent inputs. (A1) Injection site centered in the CMT. (B1–L1) Representative coronal sections showing prominent </w:t>
      </w:r>
      <w:proofErr w:type="spellStart"/>
      <w:r w:rsidRPr="00930DBB">
        <w:rPr>
          <w:rFonts w:ascii="Times New Roman" w:eastAsiaTheme="minorEastAsia" w:hAnsi="Times New Roman" w:cs="Times New Roman"/>
          <w:sz w:val="24"/>
          <w:szCs w:val="24"/>
        </w:rPr>
        <w:t>mCherry</w:t>
      </w:r>
      <w:proofErr w:type="spellEnd"/>
      <w:r w:rsidRPr="00930DBB">
        <w:rPr>
          <w:rFonts w:ascii="Times New Roman" w:eastAsiaTheme="minorEastAsia" w:hAnsi="Times New Roman" w:cs="Times New Roman"/>
          <w:sz w:val="24"/>
          <w:szCs w:val="24"/>
        </w:rPr>
        <w:t xml:space="preserve"> labeled neurons in multiple upstream regions, including the secondary motor cortex (M2) and anterior cingulate area (A24b, B1), anteromedial thalamic nucleus (AM, C1), cingulate cortex area 30 (A30, D1), </w:t>
      </w:r>
      <w:proofErr w:type="spellStart"/>
      <w:r w:rsidRPr="00930DBB">
        <w:rPr>
          <w:rFonts w:ascii="Times New Roman" w:eastAsiaTheme="minorEastAsia" w:hAnsi="Times New Roman" w:cs="Times New Roman"/>
          <w:sz w:val="24"/>
          <w:szCs w:val="24"/>
        </w:rPr>
        <w:t>dysgranular</w:t>
      </w:r>
      <w:proofErr w:type="spellEnd"/>
      <w:r w:rsidRPr="00930DBB">
        <w:rPr>
          <w:rFonts w:ascii="Times New Roman" w:eastAsiaTheme="minorEastAsia" w:hAnsi="Times New Roman" w:cs="Times New Roman"/>
          <w:sz w:val="24"/>
          <w:szCs w:val="24"/>
        </w:rPr>
        <w:t xml:space="preserve"> insular cortex (DI) and agranular insular cortex posterior part (AIP, E1), cingulate gyrus (cg, F1), lateral cerebellar nucleus (Lat, G1), medial parabrachial nucleus (MPB) and LC (H1), median raphe/interposed nucleus (RIP, H1), posterior hypothalamic/parabrachial area (</w:t>
      </w:r>
      <w:proofErr w:type="spellStart"/>
      <w:r w:rsidRPr="00930DBB">
        <w:rPr>
          <w:rFonts w:ascii="Times New Roman" w:eastAsiaTheme="minorEastAsia" w:hAnsi="Times New Roman" w:cs="Times New Roman"/>
          <w:sz w:val="24"/>
          <w:szCs w:val="24"/>
        </w:rPr>
        <w:t>PSTh</w:t>
      </w:r>
      <w:proofErr w:type="spellEnd"/>
      <w:r w:rsidRPr="00930DBB">
        <w:rPr>
          <w:rFonts w:ascii="Times New Roman" w:eastAsiaTheme="minorEastAsia" w:hAnsi="Times New Roman" w:cs="Times New Roman"/>
          <w:sz w:val="24"/>
          <w:szCs w:val="24"/>
        </w:rPr>
        <w:t>, I1), periaqueductal gray (PAG) and red nucleus (RPC, J1), pontine reticular formation (P1Rt, K1), and medial prefrontal cortex (</w:t>
      </w:r>
      <w:proofErr w:type="spellStart"/>
      <w:r w:rsidRPr="00930DBB">
        <w:rPr>
          <w:rFonts w:ascii="Times New Roman" w:eastAsiaTheme="minorEastAsia" w:hAnsi="Times New Roman" w:cs="Times New Roman"/>
          <w:sz w:val="24"/>
          <w:szCs w:val="24"/>
        </w:rPr>
        <w:t>mPFC</w:t>
      </w:r>
      <w:proofErr w:type="spellEnd"/>
      <w:r w:rsidRPr="00930DBB">
        <w:rPr>
          <w:rFonts w:ascii="Times New Roman" w:eastAsiaTheme="minorEastAsia" w:hAnsi="Times New Roman" w:cs="Times New Roman"/>
          <w:sz w:val="24"/>
          <w:szCs w:val="24"/>
        </w:rPr>
        <w:t xml:space="preserve">, L1). These data indicate that the CMT integrates convergent inputs from widespread cortical, thalamic, brainstem, and cerebellar structures, including the LC.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Pr="00930DBB">
        <w:rPr>
          <w:rFonts w:ascii="Times New Roman" w:eastAsiaTheme="minorEastAsia" w:hAnsi="Times New Roman" w:cs="Times New Roman"/>
          <w:sz w:val="24"/>
          <w:szCs w:val="24"/>
        </w:rPr>
        <w:t xml:space="preserve">(A2–H2) Anterograde tracing from the LC. To delineate LC efferent projections, </w:t>
      </w:r>
      <w:proofErr w:type="spellStart"/>
      <w:r w:rsidRPr="00930DBB">
        <w:rPr>
          <w:rFonts w:ascii="Times New Roman" w:eastAsiaTheme="minorEastAsia" w:hAnsi="Times New Roman" w:cs="Times New Roman"/>
          <w:sz w:val="24"/>
          <w:szCs w:val="24"/>
        </w:rPr>
        <w:t>rAAV</w:t>
      </w:r>
      <w:proofErr w:type="spellEnd"/>
      <w:r w:rsidRPr="00930DBB">
        <w:rPr>
          <w:rFonts w:ascii="Times New Roman" w:eastAsiaTheme="minorEastAsia" w:hAnsi="Times New Roman" w:cs="Times New Roman"/>
          <w:sz w:val="24"/>
          <w:szCs w:val="24"/>
        </w:rPr>
        <w:t xml:space="preserve"> EF1α hChR2 EGFP WPRE </w:t>
      </w:r>
      <w:proofErr w:type="spellStart"/>
      <w:r w:rsidRPr="00930DBB">
        <w:rPr>
          <w:rFonts w:ascii="Times New Roman" w:eastAsiaTheme="minorEastAsia" w:hAnsi="Times New Roman" w:cs="Times New Roman"/>
          <w:sz w:val="24"/>
          <w:szCs w:val="24"/>
        </w:rPr>
        <w:t>pA</w:t>
      </w:r>
      <w:proofErr w:type="spellEnd"/>
      <w:r w:rsidRPr="00930DBB">
        <w:rPr>
          <w:rFonts w:ascii="Times New Roman" w:eastAsiaTheme="minorEastAsia" w:hAnsi="Times New Roman" w:cs="Times New Roman"/>
          <w:sz w:val="24"/>
          <w:szCs w:val="24"/>
        </w:rPr>
        <w:t xml:space="preserve"> was injected into the LC (coordinates: AP −5.30 mm, ML −1.05 mm, DV −3.85 mm; 120 </w:t>
      </w:r>
      <w:proofErr w:type="spellStart"/>
      <w:r w:rsidRPr="00930DBB">
        <w:rPr>
          <w:rFonts w:ascii="Times New Roman" w:eastAsiaTheme="minorEastAsia" w:hAnsi="Times New Roman" w:cs="Times New Roman"/>
          <w:sz w:val="24"/>
          <w:szCs w:val="24"/>
        </w:rPr>
        <w:t>nL</w:t>
      </w:r>
      <w:proofErr w:type="spellEnd"/>
      <w:r w:rsidRPr="00930DBB">
        <w:rPr>
          <w:rFonts w:ascii="Times New Roman" w:eastAsiaTheme="minorEastAsia" w:hAnsi="Times New Roman" w:cs="Times New Roman"/>
          <w:sz w:val="24"/>
          <w:szCs w:val="24"/>
        </w:rPr>
        <w:t xml:space="preserve"> per side at 12 </w:t>
      </w:r>
      <w:proofErr w:type="spellStart"/>
      <w:r w:rsidRPr="00930DBB">
        <w:rPr>
          <w:rFonts w:ascii="Times New Roman" w:eastAsiaTheme="minorEastAsia" w:hAnsi="Times New Roman" w:cs="Times New Roman"/>
          <w:sz w:val="24"/>
          <w:szCs w:val="24"/>
        </w:rPr>
        <w:t>nL</w:t>
      </w:r>
      <w:proofErr w:type="spellEnd"/>
      <w:r w:rsidRPr="00930DBB">
        <w:rPr>
          <w:rFonts w:ascii="Times New Roman" w:eastAsiaTheme="minorEastAsia" w:hAnsi="Times New Roman" w:cs="Times New Roman"/>
          <w:sz w:val="24"/>
          <w:szCs w:val="24"/>
        </w:rPr>
        <w:t xml:space="preserve">/min). (A2) Injection site confined </w:t>
      </w:r>
      <w:r w:rsidRPr="00930DBB">
        <w:rPr>
          <w:rFonts w:ascii="Times New Roman" w:eastAsiaTheme="minorEastAsia" w:hAnsi="Times New Roman" w:cs="Times New Roman"/>
          <w:sz w:val="24"/>
          <w:szCs w:val="24"/>
        </w:rPr>
        <w:lastRenderedPageBreak/>
        <w:t>to the LC. (B2) Low magnification view of EGFP labeled LC axons in forebrain and thalamus, revealing projections to the lateral habenular nucleus (</w:t>
      </w:r>
      <w:proofErr w:type="spellStart"/>
      <w:r w:rsidRPr="00930DBB">
        <w:rPr>
          <w:rFonts w:ascii="Times New Roman" w:eastAsiaTheme="minorEastAsia" w:hAnsi="Times New Roman" w:cs="Times New Roman"/>
          <w:sz w:val="24"/>
          <w:szCs w:val="24"/>
        </w:rPr>
        <w:t>LHb</w:t>
      </w:r>
      <w:proofErr w:type="spellEnd"/>
      <w:r w:rsidRPr="00930DBB">
        <w:rPr>
          <w:rFonts w:ascii="Times New Roman" w:eastAsiaTheme="minorEastAsia" w:hAnsi="Times New Roman" w:cs="Times New Roman"/>
          <w:sz w:val="24"/>
          <w:szCs w:val="24"/>
        </w:rPr>
        <w:t xml:space="preserve">), paraventricular thalamic nucleus (PVT), mediodorsal thalamic nucleus (MD), posterior thalamic nucleus (Po), CMT, ventrolateral thalamic nucleus (VL), ventromedial thalamic nucleus (VM), ventral pallidum (VP), and </w:t>
      </w:r>
      <w:proofErr w:type="spellStart"/>
      <w:r w:rsidRPr="00930DBB">
        <w:rPr>
          <w:rFonts w:ascii="Times New Roman" w:eastAsiaTheme="minorEastAsia" w:hAnsi="Times New Roman" w:cs="Times New Roman"/>
          <w:sz w:val="24"/>
          <w:szCs w:val="24"/>
        </w:rPr>
        <w:t>laterodorsal</w:t>
      </w:r>
      <w:proofErr w:type="spellEnd"/>
      <w:r w:rsidRPr="00930DBB">
        <w:rPr>
          <w:rFonts w:ascii="Times New Roman" w:eastAsiaTheme="minorEastAsia" w:hAnsi="Times New Roman" w:cs="Times New Roman"/>
          <w:sz w:val="24"/>
          <w:szCs w:val="24"/>
        </w:rPr>
        <w:t xml:space="preserve"> thalamic/ventrolateral region (LDVL), with particularly dense fiber innervation in the CMT. (C2–H2) Higher magnification images of LC axons in selected downstream targets, including PVT (C2), MD (D2), VP/VM (E2), CMT (F2, G2), and pontine reticular formation (</w:t>
      </w:r>
      <w:proofErr w:type="spellStart"/>
      <w:r w:rsidRPr="00930DBB">
        <w:rPr>
          <w:rFonts w:ascii="Times New Roman" w:eastAsiaTheme="minorEastAsia" w:hAnsi="Times New Roman" w:cs="Times New Roman"/>
          <w:sz w:val="24"/>
          <w:szCs w:val="24"/>
        </w:rPr>
        <w:t>Prf</w:t>
      </w:r>
      <w:proofErr w:type="spellEnd"/>
      <w:r w:rsidRPr="00930DBB">
        <w:rPr>
          <w:rFonts w:ascii="Times New Roman" w:eastAsiaTheme="minorEastAsia" w:hAnsi="Times New Roman" w:cs="Times New Roman"/>
          <w:sz w:val="24"/>
          <w:szCs w:val="24"/>
        </w:rPr>
        <w:t>, H2). Scale bars are indicated in each panel.</w:t>
      </w:r>
    </w:p>
    <w:sectPr w:rsidR="0012401B" w:rsidRPr="00930DBB">
      <w:headerReference w:type="default" r:id="rId7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A33F07" w14:textId="77777777" w:rsidR="00C72ED8" w:rsidRDefault="00C72ED8">
      <w:r>
        <w:separator/>
      </w:r>
    </w:p>
  </w:endnote>
  <w:endnote w:type="continuationSeparator" w:id="0">
    <w:p w14:paraId="7611ABE0" w14:textId="77777777" w:rsidR="00C72ED8" w:rsidRDefault="00C72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19B622" w14:textId="77777777" w:rsidR="00C72ED8" w:rsidRDefault="00C72ED8">
      <w:r>
        <w:separator/>
      </w:r>
    </w:p>
  </w:footnote>
  <w:footnote w:type="continuationSeparator" w:id="0">
    <w:p w14:paraId="63EBBD54" w14:textId="77777777" w:rsidR="00C72ED8" w:rsidRDefault="00C72E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8208D" w14:textId="77777777" w:rsidR="0012401B" w:rsidRDefault="00C72ED8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  <w:p w14:paraId="70E79039" w14:textId="77777777" w:rsidR="0012401B" w:rsidRDefault="0012401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TRhMjRlMGU2YzdkZmFjYmY5MzNmMjk0YTkyOTQ5OWMifQ=="/>
  </w:docVars>
  <w:rsids>
    <w:rsidRoot w:val="0012401B"/>
    <w:rsid w:val="0012401B"/>
    <w:rsid w:val="0017118E"/>
    <w:rsid w:val="0041274F"/>
    <w:rsid w:val="00422F37"/>
    <w:rsid w:val="0052662C"/>
    <w:rsid w:val="00930DBB"/>
    <w:rsid w:val="00BC05E4"/>
    <w:rsid w:val="00C5044D"/>
    <w:rsid w:val="00C72ED8"/>
    <w:rsid w:val="00E169C7"/>
    <w:rsid w:val="00F80F14"/>
    <w:rsid w:val="05590120"/>
    <w:rsid w:val="205D6FEF"/>
    <w:rsid w:val="54C16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91797E"/>
  <w15:docId w15:val="{A4CB40EC-D5D9-46D9-A7F2-DF200F403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Calibri" w:hAnsi="Calibri" w:cs="Calibri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iPriority w:val="99"/>
    <w:qFormat/>
    <w:pPr>
      <w:tabs>
        <w:tab w:val="center" w:pos="4680"/>
        <w:tab w:val="right" w:pos="9360"/>
      </w:tabs>
    </w:pPr>
  </w:style>
  <w:style w:type="paragraph" w:styleId="a4">
    <w:name w:val="footer"/>
    <w:basedOn w:val="a"/>
    <w:link w:val="a5"/>
    <w:rsid w:val="005266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5">
    <w:name w:val="页脚 字符"/>
    <w:basedOn w:val="a0"/>
    <w:link w:val="a4"/>
    <w:rsid w:val="0052662C"/>
    <w:rPr>
      <w:rFonts w:ascii="Calibri" w:eastAsia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342</Words>
  <Characters>2013</Characters>
  <Application>Microsoft Office Word</Application>
  <DocSecurity>0</DocSecurity>
  <Lines>16</Lines>
  <Paragraphs>4</Paragraphs>
  <ScaleCrop>false</ScaleCrop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BZH</dc:creator>
  <cp:lastModifiedBy>宇 张</cp:lastModifiedBy>
  <cp:revision>8</cp:revision>
  <dcterms:created xsi:type="dcterms:W3CDTF">2025-11-17T04:15:00Z</dcterms:created>
  <dcterms:modified xsi:type="dcterms:W3CDTF">2026-02-19T10:10:00Z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7FEA5D8450B540028392021A7F51D064_12</vt:lpwstr>
  </property>
</Properties>
</file>