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26555C">
      <w:pPr>
        <w:rPr>
          <w:rFonts w:ascii="Arial" w:hAnsi="Arial" w:eastAsia="等线" w:cs="Arial"/>
          <w:b/>
          <w:bCs/>
          <w:color w:val="000000"/>
          <w:sz w:val="28"/>
          <w:szCs w:val="28"/>
        </w:rPr>
      </w:pPr>
      <w:r>
        <w:rPr>
          <w:rFonts w:hint="eastAsia" w:ascii="Arial" w:hAnsi="Arial" w:eastAsia="等线" w:cs="Arial"/>
          <w:b/>
          <w:bCs/>
          <w:color w:val="000000"/>
          <w:sz w:val="28"/>
          <w:szCs w:val="28"/>
        </w:rPr>
        <w:t>AMPK–TFE3–SLCO4A1 axis drives xanthosine-mediated NK cell suppression under hypoxia</w:t>
      </w:r>
    </w:p>
    <w:p w14:paraId="005941DD">
      <w:pPr>
        <w:spacing w:line="360" w:lineRule="auto"/>
        <w:rPr>
          <w:rFonts w:ascii="Arial" w:hAnsi="Arial" w:eastAsia="等线" w:cs="Arial"/>
          <w:color w:val="000000"/>
          <w:sz w:val="24"/>
          <w:szCs w:val="24"/>
        </w:rPr>
      </w:pPr>
      <w:r>
        <w:rPr>
          <w:rFonts w:hint="eastAsia" w:ascii="Arial" w:hAnsi="Arial" w:eastAsia="等线" w:cs="Arial"/>
          <w:color w:val="000000"/>
          <w:sz w:val="24"/>
          <w:szCs w:val="24"/>
          <w:lang w:bidi="ar"/>
        </w:rPr>
        <w:t>Chaomin Wang</w:t>
      </w:r>
      <w:r>
        <w:rPr>
          <w:rFonts w:hint="eastAsia" w:ascii="Arial" w:hAnsi="Arial" w:eastAsia="等线" w:cs="Arial"/>
          <w:color w:val="000000"/>
          <w:sz w:val="24"/>
          <w:szCs w:val="24"/>
          <w:vertAlign w:val="superscript"/>
          <w:lang w:bidi="ar"/>
        </w:rPr>
        <w:t>1</w:t>
      </w:r>
      <w:r>
        <w:rPr>
          <w:rFonts w:ascii="Arial" w:hAnsi="Arial" w:eastAsia="等线" w:cs="Arial"/>
          <w:color w:val="000000"/>
          <w:sz w:val="24"/>
          <w:szCs w:val="24"/>
          <w:vertAlign w:val="superscript"/>
          <w:lang w:bidi="ar"/>
        </w:rPr>
        <w:t>,</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Yu Wu</w:t>
      </w:r>
      <w:r>
        <w:rPr>
          <w:rFonts w:hint="eastAsia" w:ascii="Arial" w:hAnsi="Arial" w:eastAsia="等线" w:cs="Arial"/>
          <w:color w:val="000000"/>
          <w:sz w:val="24"/>
          <w:szCs w:val="24"/>
          <w:vertAlign w:val="superscript"/>
          <w:lang w:bidi="ar"/>
        </w:rPr>
        <w:t>3,</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Na Zhao</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Yawen Song</w:t>
      </w:r>
      <w:r>
        <w:rPr>
          <w:rFonts w:hint="eastAsia" w:ascii="Arial" w:hAnsi="Arial" w:eastAsia="等线" w:cs="Arial"/>
          <w:color w:val="000000"/>
          <w:sz w:val="24"/>
          <w:szCs w:val="24"/>
          <w:vertAlign w:val="superscript"/>
          <w:lang w:bidi="ar"/>
        </w:rPr>
        <w:t>4,</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w:t>
      </w:r>
      <w:r>
        <w:rPr>
          <w:rFonts w:hint="eastAsia" w:ascii="Arial" w:hAnsi="Arial" w:eastAsia="等线" w:cs="Arial"/>
          <w:color w:val="000000"/>
          <w:sz w:val="24"/>
          <w:szCs w:val="24"/>
          <w:lang w:val="en-US" w:eastAsia="zh-CN" w:bidi="ar"/>
        </w:rPr>
        <w:t>Wenhao Niu</w:t>
      </w:r>
      <w:r>
        <w:rPr>
          <w:rFonts w:hint="eastAsia" w:ascii="Arial" w:hAnsi="Arial" w:eastAsia="等线" w:cs="Arial"/>
          <w:color w:val="000000"/>
          <w:sz w:val="24"/>
          <w:szCs w:val="24"/>
          <w:vertAlign w:val="superscript"/>
          <w:lang w:bidi="ar"/>
        </w:rPr>
        <w:t>1</w:t>
      </w:r>
      <w:r>
        <w:rPr>
          <w:rFonts w:ascii="Arial" w:hAnsi="Arial" w:eastAsia="等线" w:cs="Arial"/>
          <w:color w:val="000000"/>
          <w:sz w:val="24"/>
          <w:szCs w:val="24"/>
          <w:vertAlign w:val="superscript"/>
          <w:lang w:bidi="ar"/>
        </w:rPr>
        <w:t>,</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lang w:val="en-US" w:eastAsia="zh-CN" w:bidi="ar"/>
        </w:rPr>
        <w:t xml:space="preserve">, </w:t>
      </w:r>
      <w:r>
        <w:rPr>
          <w:rFonts w:ascii="Arial" w:hAnsi="Arial" w:eastAsia="等线" w:cs="Arial"/>
          <w:color w:val="000000"/>
          <w:sz w:val="24"/>
          <w:szCs w:val="24"/>
          <w:lang w:bidi="ar"/>
        </w:rPr>
        <w:t>Zhaosong Wang</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Jialei Hua</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Shuya Zhao</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Qianhui Hao</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Dong Yang</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Zhansheng Jiang</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Benfu Zhong</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vertAlign w:val="superscript"/>
          <w:lang w:val="en-US" w:eastAsia="zh-CN" w:bidi="ar"/>
        </w:rPr>
        <w:t>,</w:t>
      </w:r>
      <w:r>
        <w:rPr>
          <w:rFonts w:hint="eastAsia" w:ascii="Arial" w:hAnsi="Arial" w:eastAsia="等线" w:cs="Arial"/>
          <w:color w:val="000000"/>
          <w:sz w:val="24"/>
          <w:szCs w:val="24"/>
          <w:vertAlign w:val="superscript"/>
          <w:lang w:bidi="ar"/>
        </w:rPr>
        <w:t>*</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Xiuju Chen</w:t>
      </w:r>
      <w:r>
        <w:rPr>
          <w:rFonts w:hint="eastAsia" w:ascii="Arial" w:hAnsi="Arial" w:eastAsia="等线" w:cs="Arial"/>
          <w:color w:val="000000"/>
          <w:sz w:val="24"/>
          <w:szCs w:val="24"/>
          <w:vertAlign w:val="superscript"/>
          <w:lang w:bidi="ar"/>
        </w:rPr>
        <w:t>3,*</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Miao Liu</w:t>
      </w:r>
      <w:r>
        <w:rPr>
          <w:rFonts w:hint="eastAsia" w:ascii="Arial" w:hAnsi="Arial" w:eastAsia="等线" w:cs="Arial"/>
          <w:color w:val="000000"/>
          <w:sz w:val="24"/>
          <w:szCs w:val="24"/>
          <w:vertAlign w:val="superscript"/>
          <w:lang w:bidi="ar"/>
        </w:rPr>
        <w:t>2,*</w:t>
      </w:r>
      <w:r>
        <w:rPr>
          <w:rFonts w:hint="eastAsia" w:ascii="Arial" w:hAnsi="Arial" w:eastAsia="等线" w:cs="Arial"/>
          <w:color w:val="000000"/>
          <w:sz w:val="24"/>
          <w:szCs w:val="24"/>
          <w:lang w:bidi="ar"/>
        </w:rPr>
        <w:t>,</w:t>
      </w:r>
      <w:r>
        <w:rPr>
          <w:rFonts w:ascii="Arial" w:hAnsi="Arial" w:eastAsia="等线" w:cs="Arial"/>
          <w:color w:val="000000"/>
          <w:sz w:val="24"/>
          <w:szCs w:val="24"/>
          <w:lang w:bidi="ar"/>
        </w:rPr>
        <w:t xml:space="preserve"> Changsen Bai</w:t>
      </w:r>
      <w:r>
        <w:rPr>
          <w:rFonts w:hint="eastAsia" w:ascii="Arial" w:hAnsi="Arial" w:eastAsia="等线" w:cs="Arial"/>
          <w:color w:val="000000"/>
          <w:sz w:val="24"/>
          <w:szCs w:val="24"/>
          <w:vertAlign w:val="superscript"/>
          <w:lang w:bidi="ar"/>
        </w:rPr>
        <w:t>2,*</w:t>
      </w:r>
    </w:p>
    <w:p w14:paraId="7B406671">
      <w:pPr>
        <w:rPr>
          <w:rFonts w:ascii="Arial" w:hAnsi="Arial" w:eastAsia="等线" w:cs="Arial"/>
          <w:b/>
          <w:bCs/>
          <w:color w:val="000000"/>
          <w:sz w:val="24"/>
          <w:szCs w:val="24"/>
        </w:rPr>
      </w:pPr>
    </w:p>
    <w:p w14:paraId="70A6EEDE">
      <w:pPr>
        <w:spacing w:line="360" w:lineRule="auto"/>
        <w:rPr>
          <w:rFonts w:ascii="Arial" w:hAnsi="Arial" w:eastAsia="宋体" w:cs="Arial"/>
          <w:i/>
          <w:iCs/>
          <w:color w:val="000000"/>
          <w:sz w:val="24"/>
          <w:szCs w:val="24"/>
          <w:vertAlign w:val="superscript"/>
        </w:rPr>
      </w:pPr>
      <w:r>
        <w:rPr>
          <w:rFonts w:hint="eastAsia" w:ascii="Arial" w:hAnsi="Arial" w:eastAsia="宋体" w:cs="Arial"/>
          <w:i/>
          <w:iCs/>
          <w:color w:val="000000"/>
          <w:sz w:val="24"/>
          <w:szCs w:val="24"/>
          <w:vertAlign w:val="superscript"/>
          <w:lang w:bidi="ar"/>
        </w:rPr>
        <w:t>1</w:t>
      </w:r>
      <w:r>
        <w:rPr>
          <w:rFonts w:ascii="Arial" w:hAnsi="Arial" w:eastAsia="宋体" w:cs="Arial"/>
          <w:i/>
          <w:iCs/>
          <w:color w:val="000000"/>
          <w:sz w:val="24"/>
          <w:szCs w:val="24"/>
          <w:lang w:bidi="ar"/>
        </w:rPr>
        <w:t>Department of Clinical Laboratory, Shanxi Provincial People's Hospital, No. 29 of Shuangtasi Street</w:t>
      </w:r>
      <w:r>
        <w:rPr>
          <w:rFonts w:hint="eastAsia" w:ascii="Arial" w:hAnsi="Arial" w:eastAsia="宋体" w:cs="Arial"/>
          <w:i/>
          <w:iCs/>
          <w:color w:val="000000"/>
          <w:sz w:val="24"/>
          <w:szCs w:val="24"/>
          <w:lang w:bidi="ar"/>
        </w:rPr>
        <w:t>，</w:t>
      </w:r>
      <w:r>
        <w:rPr>
          <w:rFonts w:ascii="Arial" w:hAnsi="Arial" w:eastAsia="宋体" w:cs="Arial"/>
          <w:i/>
          <w:iCs/>
          <w:color w:val="000000"/>
          <w:sz w:val="24"/>
          <w:szCs w:val="24"/>
          <w:lang w:bidi="ar"/>
        </w:rPr>
        <w:t>Taiyuan</w:t>
      </w:r>
      <w:r>
        <w:rPr>
          <w:rFonts w:hint="eastAsia" w:ascii="Arial" w:hAnsi="Arial" w:eastAsia="宋体" w:cs="Arial"/>
          <w:i/>
          <w:iCs/>
          <w:color w:val="000000"/>
          <w:sz w:val="24"/>
          <w:szCs w:val="24"/>
          <w:lang w:bidi="ar"/>
        </w:rPr>
        <w:t>，</w:t>
      </w:r>
      <w:r>
        <w:rPr>
          <w:rFonts w:ascii="Arial" w:hAnsi="Arial" w:eastAsia="宋体" w:cs="Arial"/>
          <w:i/>
          <w:iCs/>
          <w:color w:val="000000"/>
          <w:sz w:val="24"/>
          <w:szCs w:val="24"/>
          <w:lang w:bidi="ar"/>
        </w:rPr>
        <w:t>Shanxi</w:t>
      </w:r>
      <w:r>
        <w:rPr>
          <w:rFonts w:hint="eastAsia" w:ascii="Arial" w:hAnsi="Arial" w:eastAsia="宋体" w:cs="Arial"/>
          <w:i/>
          <w:iCs/>
          <w:color w:val="000000"/>
          <w:sz w:val="24"/>
          <w:szCs w:val="24"/>
          <w:lang w:bidi="ar"/>
        </w:rPr>
        <w:t>，</w:t>
      </w:r>
      <w:r>
        <w:rPr>
          <w:rFonts w:ascii="Arial" w:hAnsi="Arial" w:eastAsia="宋体" w:cs="Arial"/>
          <w:i/>
          <w:iCs/>
          <w:color w:val="000000"/>
          <w:sz w:val="24"/>
          <w:szCs w:val="24"/>
          <w:lang w:bidi="ar"/>
        </w:rPr>
        <w:t>China</w:t>
      </w:r>
    </w:p>
    <w:p w14:paraId="4F269F94">
      <w:pPr>
        <w:spacing w:line="360" w:lineRule="auto"/>
        <w:rPr>
          <w:rFonts w:ascii="Arial" w:hAnsi="Arial" w:eastAsia="宋体" w:cs="Arial"/>
          <w:i/>
          <w:iCs/>
          <w:color w:val="000000"/>
          <w:sz w:val="24"/>
          <w:szCs w:val="24"/>
        </w:rPr>
      </w:pPr>
      <w:r>
        <w:rPr>
          <w:rFonts w:hint="eastAsia" w:ascii="Arial" w:hAnsi="Arial" w:eastAsia="宋体" w:cs="Arial"/>
          <w:i/>
          <w:iCs/>
          <w:color w:val="000000"/>
          <w:sz w:val="24"/>
          <w:szCs w:val="24"/>
          <w:vertAlign w:val="superscript"/>
          <w:lang w:bidi="ar"/>
        </w:rPr>
        <w:t>2</w:t>
      </w:r>
      <w:r>
        <w:rPr>
          <w:rFonts w:ascii="Arial" w:hAnsi="Arial" w:eastAsia="宋体" w:cs="Arial"/>
          <w:i/>
          <w:iCs/>
          <w:color w:val="000000"/>
          <w:sz w:val="24"/>
          <w:szCs w:val="24"/>
          <w:lang w:bidi="ar"/>
        </w:rPr>
        <w:t xml:space="preserve">National Clinical Research Center for Cancer, Key Laboratory of Cancer Prevention and Therapy, Tianjin's Clinical Research Center for Cancer, Tianjin Medical University Cancer Institute and Hospital, Tianjin, China </w:t>
      </w:r>
    </w:p>
    <w:p w14:paraId="17C4BE05">
      <w:pPr>
        <w:spacing w:line="360" w:lineRule="auto"/>
        <w:rPr>
          <w:rFonts w:ascii="Arial" w:hAnsi="Arial" w:eastAsia="宋体" w:cs="Arial"/>
          <w:i/>
          <w:iCs/>
          <w:color w:val="000000"/>
          <w:sz w:val="24"/>
          <w:szCs w:val="24"/>
        </w:rPr>
      </w:pPr>
      <w:r>
        <w:rPr>
          <w:rFonts w:hint="eastAsia" w:ascii="Arial" w:hAnsi="Arial" w:eastAsia="宋体" w:cs="Arial"/>
          <w:i/>
          <w:iCs/>
          <w:color w:val="000000"/>
          <w:sz w:val="24"/>
          <w:szCs w:val="24"/>
          <w:vertAlign w:val="superscript"/>
          <w:lang w:bidi="ar"/>
        </w:rPr>
        <w:t>3</w:t>
      </w:r>
      <w:r>
        <w:rPr>
          <w:rFonts w:ascii="Arial" w:hAnsi="Arial" w:eastAsia="宋体" w:cs="Arial"/>
          <w:i/>
          <w:iCs/>
          <w:color w:val="000000"/>
          <w:sz w:val="24"/>
          <w:szCs w:val="24"/>
          <w:lang w:bidi="ar"/>
        </w:rPr>
        <w:t>Tianjin Nankai Hospital, Tianjin Medical University, Tianjin,China</w:t>
      </w:r>
    </w:p>
    <w:p w14:paraId="71BA83B4">
      <w:pPr>
        <w:spacing w:line="360" w:lineRule="auto"/>
        <w:rPr>
          <w:rFonts w:ascii="Arial" w:hAnsi="Arial" w:eastAsia="等线" w:cs="Arial"/>
          <w:i/>
          <w:iCs/>
          <w:color w:val="000000"/>
          <w:sz w:val="24"/>
          <w:szCs w:val="24"/>
        </w:rPr>
      </w:pPr>
      <w:r>
        <w:rPr>
          <w:rFonts w:hint="eastAsia" w:ascii="Arial" w:hAnsi="Arial" w:eastAsia="宋体" w:cs="Arial"/>
          <w:i/>
          <w:iCs/>
          <w:color w:val="000000"/>
          <w:sz w:val="24"/>
          <w:szCs w:val="24"/>
          <w:vertAlign w:val="superscript"/>
          <w:lang w:bidi="ar"/>
        </w:rPr>
        <w:t>4</w:t>
      </w:r>
      <w:r>
        <w:rPr>
          <w:rFonts w:ascii="Arial" w:hAnsi="Arial" w:eastAsia="等线" w:cs="Arial"/>
          <w:i/>
          <w:iCs/>
          <w:color w:val="000000"/>
          <w:sz w:val="24"/>
          <w:szCs w:val="24"/>
        </w:rPr>
        <w:t>The Third Central Hospital of Tianjin, Tianjin Key Laboratory of Extracorporeal Life Support for Critical Diseases, Artificial Cell Engineering Technology Research Center, Tianjin Institute of Hepatobiliary Disease, 83 Jintang Road, Hedong District, Tianjin, China.</w:t>
      </w:r>
    </w:p>
    <w:p w14:paraId="394CB95E">
      <w:pPr>
        <w:spacing w:line="360" w:lineRule="auto"/>
        <w:rPr>
          <w:rFonts w:hint="eastAsia" w:ascii="Arial" w:hAnsi="Arial" w:eastAsia="等线" w:cs="Arial"/>
          <w:i/>
          <w:iCs/>
          <w:color w:val="000000"/>
          <w:sz w:val="24"/>
          <w:szCs w:val="24"/>
          <w:lang w:val="en-US" w:eastAsia="zh-CN"/>
        </w:rPr>
      </w:pPr>
      <w:r>
        <w:rPr>
          <w:rFonts w:hint="eastAsia" w:ascii="Arial" w:hAnsi="Arial" w:eastAsia="等线" w:cs="Arial"/>
          <w:i/>
          <w:iCs/>
          <w:color w:val="000000"/>
          <w:sz w:val="24"/>
          <w:szCs w:val="24"/>
          <w:vertAlign w:val="superscript"/>
          <w:lang w:val="en-US" w:eastAsia="zh-CN"/>
        </w:rPr>
        <w:t>#</w:t>
      </w:r>
      <w:r>
        <w:rPr>
          <w:rFonts w:hint="eastAsia" w:ascii="Arial" w:hAnsi="Arial" w:eastAsia="等线" w:cs="Arial"/>
          <w:i/>
          <w:iCs/>
          <w:color w:val="000000"/>
          <w:sz w:val="24"/>
          <w:szCs w:val="24"/>
          <w:lang w:val="en-US" w:eastAsia="zh-CN"/>
        </w:rPr>
        <w:t>These authors contributed equally to this work.</w:t>
      </w:r>
    </w:p>
    <w:p w14:paraId="7C70763A">
      <w:pPr>
        <w:spacing w:line="360" w:lineRule="auto"/>
        <w:rPr>
          <w:rFonts w:hint="eastAsia" w:ascii="Arial" w:hAnsi="Arial" w:eastAsia="等线" w:cs="Arial"/>
          <w:b/>
          <w:bCs/>
          <w:i w:val="0"/>
          <w:iCs w:val="0"/>
          <w:color w:val="000000"/>
          <w:sz w:val="24"/>
          <w:szCs w:val="24"/>
          <w:lang w:val="en-US" w:eastAsia="zh-CN"/>
        </w:rPr>
      </w:pPr>
    </w:p>
    <w:p w14:paraId="3BE775DF">
      <w:pPr>
        <w:spacing w:line="360" w:lineRule="auto"/>
        <w:rPr>
          <w:rFonts w:hint="eastAsia" w:ascii="Arial" w:hAnsi="Arial" w:eastAsia="等线" w:cs="Arial"/>
          <w:b/>
          <w:bCs/>
          <w:i w:val="0"/>
          <w:iCs w:val="0"/>
          <w:color w:val="000000"/>
          <w:sz w:val="24"/>
          <w:szCs w:val="24"/>
          <w:lang w:val="en-US" w:eastAsia="zh-CN"/>
        </w:rPr>
      </w:pPr>
      <w:r>
        <w:rPr>
          <w:rFonts w:hint="eastAsia" w:ascii="Arial" w:hAnsi="Arial" w:eastAsia="等线" w:cs="Arial"/>
          <w:b/>
          <w:bCs/>
          <w:i w:val="0"/>
          <w:iCs w:val="0"/>
          <w:color w:val="000000"/>
          <w:sz w:val="24"/>
          <w:szCs w:val="24"/>
          <w:lang w:val="en-US" w:eastAsia="zh-CN"/>
        </w:rPr>
        <w:t xml:space="preserve">* Corresponding authors: </w:t>
      </w:r>
    </w:p>
    <w:p w14:paraId="2A97A594">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Changsen Bai:</w:t>
      </w:r>
    </w:p>
    <w:p w14:paraId="5B6CA296">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National Clinical Research Center for Cancer, Key Laboratory of Cancer Prevention and Therapy, Tianjin's Clinical Research Center for Cancer, Tianjin Medical University Cancer Institute and Hospital, Tianjin, China.</w:t>
      </w:r>
    </w:p>
    <w:p w14:paraId="72CA24F6">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 xml:space="preserve">E-mail: </w:t>
      </w:r>
      <w:r>
        <w:rPr>
          <w:rFonts w:hint="eastAsia" w:ascii="Arial" w:hAnsi="Arial" w:eastAsia="等线" w:cs="Arial"/>
          <w:b w:val="0"/>
          <w:bCs w:val="0"/>
          <w:i w:val="0"/>
          <w:iCs w:val="0"/>
          <w:color w:val="000000"/>
          <w:sz w:val="24"/>
          <w:szCs w:val="24"/>
          <w:u w:val="single"/>
          <w:lang w:val="en-US" w:eastAsia="zh-CN"/>
        </w:rPr>
        <w:t>changsenbai@tmu.edu.cn</w:t>
      </w:r>
    </w:p>
    <w:p w14:paraId="47E97DC4">
      <w:pPr>
        <w:spacing w:line="360" w:lineRule="auto"/>
        <w:rPr>
          <w:rFonts w:hint="eastAsia" w:ascii="Arial" w:hAnsi="Arial" w:eastAsia="等线" w:cs="Arial"/>
          <w:color w:val="000000"/>
          <w:sz w:val="24"/>
          <w:szCs w:val="24"/>
          <w:lang w:val="en-US" w:eastAsia="zh-CN" w:bidi="ar"/>
        </w:rPr>
      </w:pPr>
      <w:r>
        <w:rPr>
          <w:rFonts w:hint="eastAsia" w:ascii="Arial" w:hAnsi="Arial" w:eastAsia="等线" w:cs="Arial"/>
          <w:color w:val="000000"/>
          <w:sz w:val="24"/>
          <w:szCs w:val="24"/>
        </w:rPr>
        <w:br w:type="textWrapping"/>
      </w:r>
      <w:r>
        <w:rPr>
          <w:rFonts w:ascii="Arial" w:hAnsi="Arial" w:eastAsia="等线" w:cs="Arial"/>
          <w:color w:val="000000"/>
          <w:sz w:val="24"/>
          <w:szCs w:val="24"/>
          <w:lang w:bidi="ar"/>
        </w:rPr>
        <w:t>Miao Liu</w:t>
      </w:r>
      <w:r>
        <w:rPr>
          <w:rFonts w:hint="eastAsia" w:ascii="Arial" w:hAnsi="Arial" w:eastAsia="等线" w:cs="Arial"/>
          <w:color w:val="000000"/>
          <w:sz w:val="24"/>
          <w:szCs w:val="24"/>
          <w:lang w:val="en-US" w:eastAsia="zh-CN" w:bidi="ar"/>
        </w:rPr>
        <w:t>:</w:t>
      </w:r>
    </w:p>
    <w:p w14:paraId="65F0692B">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National Clinical Research Center for Cancer, Key Laboratory of Cancer Prevention and Therapy, Tianjin's Clinical Research Center for Cancer, Tianjin Medical University Cancer Institute and Hospital, Tianjin, China.</w:t>
      </w:r>
    </w:p>
    <w:p w14:paraId="027EDF7E">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 xml:space="preserve">E-mail: </w:t>
      </w:r>
      <w:r>
        <w:rPr>
          <w:rFonts w:hint="eastAsia" w:ascii="Arial" w:hAnsi="Arial" w:eastAsia="等线" w:cs="Arial"/>
          <w:color w:val="000000"/>
          <w:sz w:val="24"/>
          <w:szCs w:val="24"/>
          <w:u w:val="single"/>
        </w:rPr>
        <w:t>732793416@qq.com</w:t>
      </w:r>
    </w:p>
    <w:p w14:paraId="3047FBD1">
      <w:pPr>
        <w:spacing w:line="360" w:lineRule="auto"/>
        <w:rPr>
          <w:rFonts w:hint="eastAsia" w:ascii="Arial" w:hAnsi="Arial" w:eastAsia="等线" w:cs="Arial"/>
          <w:color w:val="000000"/>
          <w:sz w:val="24"/>
          <w:szCs w:val="24"/>
          <w:lang w:val="en-US" w:eastAsia="zh-CN" w:bidi="ar"/>
        </w:rPr>
      </w:pPr>
    </w:p>
    <w:p w14:paraId="0B67726C">
      <w:pPr>
        <w:spacing w:line="360" w:lineRule="auto"/>
        <w:rPr>
          <w:rFonts w:hint="eastAsia" w:ascii="Arial" w:hAnsi="Arial" w:eastAsia="等线" w:cs="Arial"/>
          <w:color w:val="000000"/>
          <w:sz w:val="24"/>
          <w:szCs w:val="24"/>
          <w:lang w:val="en-US" w:eastAsia="zh-CN" w:bidi="ar"/>
        </w:rPr>
      </w:pPr>
      <w:r>
        <w:rPr>
          <w:rFonts w:ascii="Arial" w:hAnsi="Arial" w:eastAsia="等线" w:cs="Arial"/>
          <w:color w:val="000000"/>
          <w:sz w:val="24"/>
          <w:szCs w:val="24"/>
          <w:lang w:bidi="ar"/>
        </w:rPr>
        <w:t>Xiuju Chen</w:t>
      </w:r>
      <w:r>
        <w:rPr>
          <w:rFonts w:hint="eastAsia" w:ascii="Arial" w:hAnsi="Arial" w:eastAsia="等线" w:cs="Arial"/>
          <w:color w:val="000000"/>
          <w:sz w:val="24"/>
          <w:szCs w:val="24"/>
          <w:lang w:val="en-US" w:eastAsia="zh-CN" w:bidi="ar"/>
        </w:rPr>
        <w:t>:</w:t>
      </w:r>
    </w:p>
    <w:p w14:paraId="0B8A63AD">
      <w:pPr>
        <w:spacing w:line="360" w:lineRule="auto"/>
        <w:rPr>
          <w:rFonts w:ascii="Arial" w:hAnsi="Arial" w:eastAsia="宋体" w:cs="Arial"/>
          <w:i/>
          <w:iCs/>
          <w:color w:val="000000"/>
          <w:sz w:val="24"/>
          <w:szCs w:val="24"/>
          <w:lang w:bidi="ar"/>
        </w:rPr>
      </w:pPr>
      <w:r>
        <w:rPr>
          <w:rFonts w:ascii="Arial" w:hAnsi="Arial" w:eastAsia="宋体" w:cs="Arial"/>
          <w:i/>
          <w:iCs/>
          <w:color w:val="000000"/>
          <w:sz w:val="24"/>
          <w:szCs w:val="24"/>
          <w:lang w:bidi="ar"/>
        </w:rPr>
        <w:t>Tianjin Nankai Hospital, Tianjin Medical University, Tianjin,China</w:t>
      </w:r>
    </w:p>
    <w:p w14:paraId="454E862C">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 xml:space="preserve">E-mail: </w:t>
      </w:r>
      <w:r>
        <w:rPr>
          <w:rFonts w:hint="eastAsia" w:ascii="Arial" w:hAnsi="Arial" w:eastAsia="等线" w:cs="Arial"/>
          <w:color w:val="000000"/>
          <w:sz w:val="24"/>
          <w:szCs w:val="24"/>
          <w:u w:val="single"/>
        </w:rPr>
        <w:t>chyjutj@163.com</w:t>
      </w:r>
    </w:p>
    <w:p w14:paraId="005DF1D4">
      <w:pPr>
        <w:spacing w:line="360" w:lineRule="auto"/>
        <w:rPr>
          <w:rFonts w:hint="eastAsia" w:ascii="Arial" w:hAnsi="Arial" w:eastAsia="宋体" w:cs="Arial"/>
          <w:i/>
          <w:iCs/>
          <w:color w:val="000000"/>
          <w:sz w:val="24"/>
          <w:szCs w:val="24"/>
          <w:lang w:val="en-US" w:eastAsia="zh-CN" w:bidi="ar"/>
        </w:rPr>
      </w:pPr>
    </w:p>
    <w:p w14:paraId="0A36EB9D">
      <w:pPr>
        <w:spacing w:line="360" w:lineRule="auto"/>
        <w:rPr>
          <w:rFonts w:hint="eastAsia" w:ascii="Arial" w:hAnsi="Arial" w:eastAsia="等线" w:cs="Arial"/>
          <w:color w:val="000000"/>
          <w:sz w:val="24"/>
          <w:szCs w:val="24"/>
          <w:lang w:val="en-US" w:eastAsia="zh-CN" w:bidi="ar"/>
        </w:rPr>
      </w:pPr>
      <w:r>
        <w:rPr>
          <w:rFonts w:ascii="Arial" w:hAnsi="Arial" w:eastAsia="等线" w:cs="Arial"/>
          <w:color w:val="000000"/>
          <w:sz w:val="24"/>
          <w:szCs w:val="24"/>
          <w:lang w:bidi="ar"/>
        </w:rPr>
        <w:t>Benfu Zhong</w:t>
      </w:r>
      <w:r>
        <w:rPr>
          <w:rFonts w:hint="eastAsia" w:ascii="Arial" w:hAnsi="Arial" w:eastAsia="等线" w:cs="Arial"/>
          <w:color w:val="000000"/>
          <w:sz w:val="24"/>
          <w:szCs w:val="24"/>
          <w:lang w:val="en-US" w:eastAsia="zh-CN" w:bidi="ar"/>
        </w:rPr>
        <w:t>:</w:t>
      </w:r>
    </w:p>
    <w:p w14:paraId="3F65ED29">
      <w:pPr>
        <w:spacing w:line="360" w:lineRule="auto"/>
        <w:rPr>
          <w:rFonts w:hint="eastAsia" w:ascii="Arial" w:hAnsi="Arial" w:eastAsia="等线" w:cs="Arial"/>
          <w:i w:val="0"/>
          <w:iCs w:val="0"/>
          <w:color w:val="000000"/>
          <w:sz w:val="24"/>
          <w:szCs w:val="24"/>
          <w:lang w:val="en-US" w:eastAsia="zh-CN" w:bidi="ar"/>
        </w:rPr>
      </w:pPr>
      <w:r>
        <w:rPr>
          <w:rFonts w:ascii="Arial" w:hAnsi="Arial" w:eastAsia="宋体" w:cs="Arial"/>
          <w:i w:val="0"/>
          <w:iCs w:val="0"/>
          <w:color w:val="000000"/>
          <w:sz w:val="24"/>
          <w:szCs w:val="24"/>
          <w:lang w:bidi="ar"/>
        </w:rPr>
        <w:t>National Clinical Research Center for Cancer, Key Laboratory of Cancer Prevention and Therapy, Tianjin's Clinical Research Center for Cancer, Tianjin Medical University Cancer Institute and Hospital, Tianjin, China</w:t>
      </w:r>
    </w:p>
    <w:p w14:paraId="06D8DC34">
      <w:pPr>
        <w:spacing w:line="360" w:lineRule="auto"/>
        <w:rPr>
          <w:rFonts w:hint="eastAsia" w:ascii="Arial" w:hAnsi="Arial" w:eastAsia="等线" w:cs="Arial"/>
          <w:b w:val="0"/>
          <w:bCs w:val="0"/>
          <w:i w:val="0"/>
          <w:iCs w:val="0"/>
          <w:color w:val="000000"/>
          <w:sz w:val="24"/>
          <w:szCs w:val="24"/>
          <w:lang w:val="en-US" w:eastAsia="zh-CN"/>
        </w:rPr>
      </w:pPr>
      <w:r>
        <w:rPr>
          <w:rFonts w:hint="eastAsia" w:ascii="Arial" w:hAnsi="Arial" w:eastAsia="等线" w:cs="Arial"/>
          <w:b w:val="0"/>
          <w:bCs w:val="0"/>
          <w:i w:val="0"/>
          <w:iCs w:val="0"/>
          <w:color w:val="000000"/>
          <w:sz w:val="24"/>
          <w:szCs w:val="24"/>
          <w:lang w:val="en-US" w:eastAsia="zh-CN"/>
        </w:rPr>
        <w:t xml:space="preserve">E-mail: </w:t>
      </w:r>
      <w:r>
        <w:rPr>
          <w:rFonts w:hint="eastAsia" w:ascii="Arial" w:hAnsi="Arial" w:eastAsia="等线" w:cs="Arial"/>
          <w:color w:val="000000"/>
          <w:sz w:val="24"/>
          <w:szCs w:val="24"/>
          <w:u w:val="single"/>
        </w:rPr>
        <w:t>benfu1314@126.com</w:t>
      </w:r>
    </w:p>
    <w:p w14:paraId="04088AEE">
      <w:pPr>
        <w:rPr>
          <w:rFonts w:hint="eastAsia" w:ascii="Arial" w:hAnsi="Arial" w:cs="Arial"/>
          <w:b/>
          <w:sz w:val="24"/>
          <w:szCs w:val="24"/>
        </w:rPr>
      </w:pPr>
      <w:r>
        <w:rPr>
          <w:rFonts w:hint="eastAsia" w:ascii="Arial" w:hAnsi="Arial" w:cs="Arial"/>
          <w:b/>
          <w:sz w:val="24"/>
          <w:szCs w:val="24"/>
        </w:rPr>
        <w:br w:type="page"/>
      </w:r>
    </w:p>
    <w:p w14:paraId="39532E84">
      <w:pPr>
        <w:rPr>
          <w:rFonts w:ascii="Arial" w:hAnsi="Arial" w:cs="Arial"/>
          <w:b/>
          <w:sz w:val="24"/>
          <w:szCs w:val="24"/>
        </w:rPr>
      </w:pPr>
      <w:r>
        <w:rPr>
          <w:rFonts w:hint="eastAsia" w:ascii="Arial" w:hAnsi="Arial" w:cs="Arial"/>
          <w:b/>
          <w:sz w:val="24"/>
          <w:szCs w:val="24"/>
        </w:rPr>
        <w:t>Supporting Information (Supplementary Figures S1-S</w:t>
      </w:r>
      <w:r>
        <w:rPr>
          <w:rFonts w:hint="eastAsia" w:ascii="Arial" w:hAnsi="Arial" w:cs="Arial"/>
          <w:b/>
          <w:sz w:val="24"/>
          <w:szCs w:val="24"/>
          <w:lang w:val="en-US" w:eastAsia="zh-CN"/>
        </w:rPr>
        <w:t>10 and Table S1-S4</w:t>
      </w:r>
      <w:r>
        <w:rPr>
          <w:rFonts w:hint="eastAsia" w:ascii="Arial" w:hAnsi="Arial" w:cs="Arial"/>
          <w:b/>
          <w:sz w:val="24"/>
          <w:szCs w:val="24"/>
        </w:rPr>
        <w:t>)</w:t>
      </w:r>
    </w:p>
    <w:p w14:paraId="472C547F">
      <w:pPr>
        <w:spacing w:line="360" w:lineRule="auto"/>
        <w:rPr>
          <w:rFonts w:ascii="Arial" w:hAnsi="Arial" w:cs="Arial"/>
          <w:b/>
          <w:bCs/>
          <w:color w:val="AB4B4B"/>
          <w:sz w:val="24"/>
          <w:szCs w:val="24"/>
        </w:rPr>
      </w:pPr>
      <w:r>
        <w:rPr>
          <w:rFonts w:hint="eastAsia" w:ascii="Arial" w:hAnsi="Arial" w:cs="Arial"/>
          <w:b/>
          <w:bCs/>
          <w:color w:val="AB4B4B"/>
          <w:sz w:val="24"/>
          <w:szCs w:val="24"/>
        </w:rPr>
        <w:drawing>
          <wp:inline distT="0" distB="0" distL="114300" distR="114300">
            <wp:extent cx="5266690" cy="5387340"/>
            <wp:effectExtent l="0" t="0" r="0" b="0"/>
            <wp:docPr id="1" name="图片 1" descr="Supplementary Figure202602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20260201_01"/>
                    <pic:cNvPicPr>
                      <a:picLocks noChangeAspect="1"/>
                    </pic:cNvPicPr>
                  </pic:nvPicPr>
                  <pic:blipFill>
                    <a:blip r:embed="rId4"/>
                    <a:srcRect b="7943"/>
                    <a:stretch>
                      <a:fillRect/>
                    </a:stretch>
                  </pic:blipFill>
                  <pic:spPr>
                    <a:xfrm>
                      <a:off x="0" y="0"/>
                      <a:ext cx="5266690" cy="5387340"/>
                    </a:xfrm>
                    <a:prstGeom prst="rect">
                      <a:avLst/>
                    </a:prstGeom>
                  </pic:spPr>
                </pic:pic>
              </a:graphicData>
            </a:graphic>
          </wp:inline>
        </w:drawing>
      </w:r>
    </w:p>
    <w:p w14:paraId="0AB25E1D">
      <w:pPr>
        <w:spacing w:line="360" w:lineRule="auto"/>
        <w:rPr>
          <w:rFonts w:ascii="Arial" w:hAnsi="Arial" w:eastAsia="HelveticaNeue-Heavy" w:cs="Arial"/>
          <w:b/>
          <w:bCs/>
          <w:color w:val="auto"/>
          <w:sz w:val="24"/>
          <w:szCs w:val="24"/>
        </w:rPr>
      </w:pPr>
      <w:r>
        <w:rPr>
          <w:rFonts w:hint="eastAsia" w:ascii="Arial" w:hAnsi="Arial" w:eastAsia="HelveticaNeue-Heavy" w:cs="Arial"/>
          <w:b/>
          <w:bCs/>
          <w:color w:val="auto"/>
          <w:sz w:val="24"/>
          <w:szCs w:val="24"/>
        </w:rPr>
        <w:t xml:space="preserve">Figure S1 SLCO4A1 Downregulation Significantly Inhibits Cancer Growth Under Hypoxia. </w:t>
      </w:r>
    </w:p>
    <w:p w14:paraId="77D12711">
      <w:pPr>
        <w:numPr>
          <w:ilvl w:val="0"/>
          <w:numId w:val="1"/>
        </w:numPr>
        <w:spacing w:line="360" w:lineRule="auto"/>
        <w:rPr>
          <w:rFonts w:ascii="Arial" w:hAnsi="Arial" w:cs="Arial"/>
          <w:sz w:val="24"/>
          <w:szCs w:val="24"/>
        </w:rPr>
      </w:pPr>
      <w:r>
        <w:rPr>
          <w:rFonts w:ascii="Arial" w:hAnsi="Arial" w:cs="Arial"/>
          <w:sz w:val="24"/>
          <w:szCs w:val="24"/>
        </w:rPr>
        <w:t>qPCR analysis of SLCO4A1 mRNA levels in HeLa and MCF-7 cells cultured under normoxia or hypoxia for 24 h.</w:t>
      </w:r>
    </w:p>
    <w:p w14:paraId="2DD4C1A5">
      <w:pPr>
        <w:numPr>
          <w:ilvl w:val="0"/>
          <w:numId w:val="1"/>
        </w:numPr>
        <w:spacing w:line="360" w:lineRule="auto"/>
        <w:rPr>
          <w:rFonts w:ascii="Arial" w:hAnsi="Arial" w:cs="Arial"/>
          <w:sz w:val="24"/>
          <w:szCs w:val="24"/>
        </w:rPr>
      </w:pPr>
      <w:r>
        <w:rPr>
          <w:rFonts w:ascii="Arial" w:hAnsi="Arial" w:cs="Arial"/>
          <w:sz w:val="24"/>
          <w:szCs w:val="24"/>
        </w:rPr>
        <w:t>Western blot analysis of SLCO4A1 protein expression in HeLa and MCF-7 cells cultured under normoxia or hypoxia for 24 h.</w:t>
      </w:r>
    </w:p>
    <w:p w14:paraId="397BA5C3">
      <w:pPr>
        <w:rPr>
          <w:rFonts w:ascii="Arial" w:hAnsi="Arial" w:cs="Arial"/>
          <w:sz w:val="24"/>
          <w:szCs w:val="24"/>
        </w:rPr>
      </w:pPr>
      <w:r>
        <w:rPr>
          <w:rFonts w:hint="eastAsia" w:ascii="Arial" w:hAnsi="Arial" w:cs="Arial"/>
          <w:sz w:val="24"/>
          <w:szCs w:val="24"/>
        </w:rPr>
        <w:t>(C</w:t>
      </w:r>
      <w:r>
        <w:rPr>
          <w:rFonts w:ascii="Arial" w:hAnsi="Arial" w:cs="Arial"/>
          <w:sz w:val="24"/>
          <w:szCs w:val="24"/>
        </w:rPr>
        <w:t xml:space="preserve">) Western blot analysis confirmed successful generation of SLCO4A1 knockdown cell lines. </w:t>
      </w:r>
    </w:p>
    <w:p w14:paraId="1748D00F">
      <w:pPr>
        <w:spacing w:line="360" w:lineRule="auto"/>
        <w:rPr>
          <w:rFonts w:ascii="Arial" w:hAnsi="Arial" w:cs="Arial"/>
          <w:sz w:val="24"/>
          <w:szCs w:val="24"/>
        </w:rPr>
      </w:pPr>
      <w:r>
        <w:rPr>
          <w:rFonts w:hint="eastAsia" w:ascii="Arial" w:hAnsi="Arial" w:cs="Arial"/>
          <w:sz w:val="24"/>
          <w:szCs w:val="24"/>
        </w:rPr>
        <w:t xml:space="preserve">(D) Cell viability of Scr and shSLCO4A1-1 cells cultured under normoxia and hypoxia was measured at 24, 48, 72, and 96 hours. </w:t>
      </w:r>
    </w:p>
    <w:p w14:paraId="5F628446">
      <w:pPr>
        <w:spacing w:line="360" w:lineRule="auto"/>
        <w:rPr>
          <w:rFonts w:ascii="Arial" w:hAnsi="Arial" w:cs="Arial"/>
          <w:sz w:val="24"/>
          <w:szCs w:val="24"/>
        </w:rPr>
      </w:pPr>
      <w:r>
        <w:rPr>
          <w:rFonts w:hint="eastAsia" w:ascii="Arial" w:hAnsi="Arial" w:cs="Arial"/>
          <w:sz w:val="24"/>
          <w:szCs w:val="24"/>
        </w:rPr>
        <w:t>(E) Scr and shSLCO4A1-1 cells were cultured under normoxia and hypoxia for 96 hours, and EdU incorporation was assessed by flow cytometry.</w:t>
      </w:r>
    </w:p>
    <w:p w14:paraId="6CCD018D">
      <w:pPr>
        <w:spacing w:line="360" w:lineRule="auto"/>
        <w:rPr>
          <w:rFonts w:ascii="Arial" w:hAnsi="Arial" w:cs="Arial"/>
          <w:sz w:val="24"/>
          <w:szCs w:val="24"/>
        </w:rPr>
      </w:pPr>
      <w:r>
        <w:rPr>
          <w:rFonts w:hint="eastAsia" w:ascii="Arial" w:hAnsi="Arial" w:cs="Arial"/>
          <w:sz w:val="24"/>
          <w:szCs w:val="24"/>
        </w:rPr>
        <w:t xml:space="preserve">(F) </w:t>
      </w:r>
      <w:r>
        <w:rPr>
          <w:rFonts w:ascii="Arial" w:hAnsi="Arial" w:cs="Arial"/>
          <w:sz w:val="24"/>
          <w:szCs w:val="24"/>
        </w:rPr>
        <w:t>Western blot analysis confirmed successful generation of SLCO4A1 knockdown and rescue cell lines.</w:t>
      </w:r>
    </w:p>
    <w:p w14:paraId="059CC3FE">
      <w:pPr>
        <w:spacing w:line="360" w:lineRule="auto"/>
        <w:rPr>
          <w:rFonts w:ascii="Arial" w:hAnsi="Arial" w:cs="Arial"/>
          <w:sz w:val="24"/>
          <w:szCs w:val="24"/>
        </w:rPr>
      </w:pPr>
      <w:r>
        <w:rPr>
          <w:rFonts w:hint="eastAsia" w:ascii="Arial" w:hAnsi="Arial" w:cs="Arial"/>
          <w:sz w:val="24"/>
          <w:szCs w:val="24"/>
        </w:rPr>
        <w:t xml:space="preserve">(G) Scr, shSLCO4A1-1, and shSLCO4A1-1 + SLCO4A1 cells were cultured under hypoxia for 96 hours, and EdU-positive cells were quantified by flow cytometry. </w:t>
      </w:r>
    </w:p>
    <w:p w14:paraId="6A1795E0">
      <w:pPr>
        <w:spacing w:line="360" w:lineRule="auto"/>
        <w:rPr>
          <w:rFonts w:ascii="Arial" w:hAnsi="Arial" w:cs="Arial"/>
          <w:sz w:val="24"/>
          <w:szCs w:val="24"/>
          <w:highlight w:val="yellow"/>
        </w:rPr>
      </w:pPr>
      <w:r>
        <w:rPr>
          <w:rFonts w:hint="eastAsia" w:ascii="Arial" w:hAnsi="Arial" w:cs="Arial"/>
          <w:sz w:val="24"/>
          <w:szCs w:val="24"/>
        </w:rPr>
        <w:t xml:space="preserve">(H) </w:t>
      </w:r>
      <w:r>
        <w:rPr>
          <w:rFonts w:ascii="Arial" w:hAnsi="Arial" w:cs="Arial"/>
          <w:color w:val="000000" w:themeColor="text1"/>
          <w:sz w:val="24"/>
          <w:szCs w:val="24"/>
          <w14:textFill>
            <w14:solidFill>
              <w14:schemeClr w14:val="tx1"/>
            </w14:solidFill>
          </w14:textFill>
        </w:rPr>
        <w:t>5 × 10⁶ HeLa/Scr, HeLa/shSLCO4A1, and HeLa/shSLCO4A1/SLCO4A1 cells were subcutaneously injected into nude mice</w:t>
      </w:r>
      <w:r>
        <w:rPr>
          <w:rFonts w:hint="eastAsia" w:ascii="Arial" w:hAnsi="Arial" w:cs="Arial"/>
          <w:color w:val="000000" w:themeColor="text1"/>
          <w:sz w:val="24"/>
          <w:szCs w:val="24"/>
          <w14:textFill>
            <w14:solidFill>
              <w14:schemeClr w14:val="tx1"/>
            </w14:solidFill>
          </w14:textFill>
        </w:rPr>
        <w:t xml:space="preserve"> (n=5/group).</w:t>
      </w:r>
      <w:r>
        <w:rPr>
          <w:rFonts w:ascii="Arial" w:hAnsi="Arial" w:cs="Arial"/>
          <w:color w:val="000000" w:themeColor="text1"/>
          <w:sz w:val="24"/>
          <w:szCs w:val="24"/>
          <w14:textFill>
            <w14:solidFill>
              <w14:schemeClr w14:val="tx1"/>
            </w14:solidFill>
          </w14:textFill>
        </w:rPr>
        <w:t xml:space="preserve"> Quantification of tumor weights at the end of the experiment.</w:t>
      </w:r>
    </w:p>
    <w:p w14:paraId="25DDB1D4">
      <w:pPr>
        <w:spacing w:line="360" w:lineRule="auto"/>
        <w:rPr>
          <w:rFonts w:ascii="Arial" w:hAnsi="Arial" w:cs="Arial"/>
          <w:sz w:val="24"/>
          <w:szCs w:val="24"/>
        </w:rPr>
      </w:pPr>
      <w:r>
        <w:rPr>
          <w:rFonts w:hint="eastAsia" w:ascii="Arial" w:hAnsi="Arial" w:cs="Arial"/>
          <w:sz w:val="24"/>
          <w:szCs w:val="24"/>
        </w:rPr>
        <w:t xml:space="preserve">All cultures were supplied with 10% dialyzed serum. </w:t>
      </w:r>
      <w:r>
        <w:rPr>
          <w:rFonts w:ascii="Arial" w:hAnsi="Arial" w:cs="Arial"/>
          <w:sz w:val="24"/>
          <w:szCs w:val="24"/>
        </w:rPr>
        <w:t>Values are presented as means ± SD from three independent experiments. **</w:t>
      </w:r>
      <w:r>
        <w:rPr>
          <w:rFonts w:ascii="Arial" w:hAnsi="Arial" w:cs="Arial"/>
          <w:i/>
          <w:iCs/>
          <w:sz w:val="24"/>
          <w:szCs w:val="24"/>
        </w:rPr>
        <w:t>p</w:t>
      </w:r>
      <w:r>
        <w:rPr>
          <w:rFonts w:ascii="Arial" w:hAnsi="Arial" w:cs="Arial"/>
          <w:sz w:val="24"/>
          <w:szCs w:val="24"/>
        </w:rPr>
        <w:t xml:space="preserve"> &lt; 0.01</w:t>
      </w:r>
      <w:r>
        <w:rPr>
          <w:rFonts w:hint="eastAsia" w:ascii="Arial" w:hAnsi="Arial" w:cs="Arial"/>
          <w:sz w:val="24"/>
          <w:szCs w:val="24"/>
        </w:rPr>
        <w:t>; *</w:t>
      </w:r>
      <w:r>
        <w:rPr>
          <w:rFonts w:ascii="Arial" w:hAnsi="Arial" w:cs="Arial"/>
          <w:sz w:val="24"/>
          <w:szCs w:val="24"/>
        </w:rPr>
        <w:t>**</w:t>
      </w:r>
      <w:r>
        <w:rPr>
          <w:rFonts w:ascii="Arial" w:hAnsi="Arial" w:cs="Arial"/>
          <w:i/>
          <w:iCs/>
          <w:sz w:val="24"/>
          <w:szCs w:val="24"/>
        </w:rPr>
        <w:t>p</w:t>
      </w:r>
      <w:r>
        <w:rPr>
          <w:rFonts w:ascii="Arial" w:hAnsi="Arial" w:cs="Arial"/>
          <w:sz w:val="24"/>
          <w:szCs w:val="24"/>
        </w:rPr>
        <w:t xml:space="preserve"> &lt; 0.0</w:t>
      </w:r>
      <w:r>
        <w:rPr>
          <w:rFonts w:hint="eastAsia" w:ascii="Arial" w:hAnsi="Arial" w:cs="Arial"/>
          <w:sz w:val="24"/>
          <w:szCs w:val="24"/>
        </w:rPr>
        <w:t>0</w:t>
      </w:r>
      <w:r>
        <w:rPr>
          <w:rFonts w:ascii="Arial" w:hAnsi="Arial" w:cs="Arial"/>
          <w:sz w:val="24"/>
          <w:szCs w:val="24"/>
        </w:rPr>
        <w:t>1</w:t>
      </w:r>
      <w:r>
        <w:rPr>
          <w:rFonts w:hint="eastAsia" w:ascii="Arial" w:hAnsi="Arial" w:cs="Arial"/>
          <w:sz w:val="24"/>
          <w:szCs w:val="24"/>
        </w:rPr>
        <w:t>; *</w:t>
      </w:r>
      <w:r>
        <w:rPr>
          <w:rFonts w:ascii="Arial" w:hAnsi="Arial" w:cs="Arial"/>
          <w:sz w:val="24"/>
          <w:szCs w:val="24"/>
        </w:rPr>
        <w:t>**</w:t>
      </w:r>
      <w:r>
        <w:rPr>
          <w:rFonts w:hint="eastAsia" w:ascii="Arial" w:hAnsi="Arial" w:cs="Arial"/>
          <w:sz w:val="24"/>
          <w:szCs w:val="24"/>
        </w:rPr>
        <w:t>*</w:t>
      </w:r>
      <w:r>
        <w:rPr>
          <w:rFonts w:ascii="Arial" w:hAnsi="Arial" w:cs="Arial"/>
          <w:i/>
          <w:iCs/>
          <w:sz w:val="24"/>
          <w:szCs w:val="24"/>
        </w:rPr>
        <w:t>p</w:t>
      </w:r>
      <w:r>
        <w:rPr>
          <w:rFonts w:ascii="Arial" w:hAnsi="Arial" w:cs="Arial"/>
          <w:sz w:val="24"/>
          <w:szCs w:val="24"/>
        </w:rPr>
        <w:t xml:space="preserve"> &lt; 0.0</w:t>
      </w:r>
      <w:r>
        <w:rPr>
          <w:rFonts w:hint="eastAsia" w:ascii="Arial" w:hAnsi="Arial" w:cs="Arial"/>
          <w:sz w:val="24"/>
          <w:szCs w:val="24"/>
        </w:rPr>
        <w:t>00</w:t>
      </w:r>
      <w:r>
        <w:rPr>
          <w:rFonts w:ascii="Arial" w:hAnsi="Arial" w:cs="Arial"/>
          <w:sz w:val="24"/>
          <w:szCs w:val="24"/>
        </w:rPr>
        <w:t>1 (</w:t>
      </w:r>
      <w:r>
        <w:rPr>
          <w:rFonts w:hint="eastAsia" w:ascii="Arial" w:hAnsi="Arial" w:cs="Arial"/>
          <w:sz w:val="24"/>
          <w:szCs w:val="24"/>
        </w:rPr>
        <w:t>Student</w:t>
      </w:r>
      <w:r>
        <w:rPr>
          <w:rFonts w:ascii="Arial" w:hAnsi="Arial" w:cs="Arial"/>
          <w:sz w:val="24"/>
          <w:szCs w:val="24"/>
        </w:rPr>
        <w:t>’</w:t>
      </w:r>
      <w:r>
        <w:rPr>
          <w:rFonts w:hint="eastAsia" w:ascii="Arial" w:hAnsi="Arial" w:cs="Arial"/>
          <w:sz w:val="24"/>
          <w:szCs w:val="24"/>
        </w:rPr>
        <w:t xml:space="preserve"> s t-test</w:t>
      </w:r>
      <w:r>
        <w:rPr>
          <w:rFonts w:ascii="Arial" w:hAnsi="Arial" w:cs="Arial"/>
          <w:sz w:val="24"/>
          <w:szCs w:val="24"/>
        </w:rPr>
        <w:t>).</w:t>
      </w:r>
    </w:p>
    <w:p w14:paraId="44FBEABB">
      <w:pPr>
        <w:rPr>
          <w:rFonts w:ascii="Arial" w:hAnsi="Arial" w:cs="Arial"/>
          <w:b/>
          <w:sz w:val="24"/>
          <w:szCs w:val="24"/>
        </w:rPr>
      </w:pPr>
      <w:r>
        <w:rPr>
          <w:rFonts w:ascii="Arial" w:hAnsi="Arial" w:cs="Arial"/>
          <w:b/>
          <w:sz w:val="24"/>
          <w:szCs w:val="24"/>
        </w:rPr>
        <w:br w:type="page"/>
      </w:r>
    </w:p>
    <w:p w14:paraId="0F68E42C">
      <w:r>
        <w:rPr>
          <w:rFonts w:hint="eastAsia"/>
        </w:rPr>
        <w:drawing>
          <wp:inline distT="0" distB="0" distL="114300" distR="114300">
            <wp:extent cx="5266690" cy="5069205"/>
            <wp:effectExtent l="0" t="0" r="0" b="0"/>
            <wp:docPr id="2" name="图片 2" descr="Supplementary Figure2026020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20260201_02"/>
                    <pic:cNvPicPr>
                      <a:picLocks noChangeAspect="1"/>
                    </pic:cNvPicPr>
                  </pic:nvPicPr>
                  <pic:blipFill>
                    <a:blip r:embed="rId5"/>
                    <a:srcRect b="13379"/>
                    <a:stretch>
                      <a:fillRect/>
                    </a:stretch>
                  </pic:blipFill>
                  <pic:spPr>
                    <a:xfrm>
                      <a:off x="0" y="0"/>
                      <a:ext cx="5266690" cy="5069205"/>
                    </a:xfrm>
                    <a:prstGeom prst="rect">
                      <a:avLst/>
                    </a:prstGeom>
                  </pic:spPr>
                </pic:pic>
              </a:graphicData>
            </a:graphic>
          </wp:inline>
        </w:drawing>
      </w:r>
    </w:p>
    <w:p w14:paraId="46063677">
      <w:pPr>
        <w:spacing w:line="360" w:lineRule="auto"/>
        <w:rPr>
          <w:rFonts w:ascii="Arial" w:hAnsi="Arial" w:cs="Arial"/>
          <w:b/>
          <w:bCs/>
          <w:color w:val="auto"/>
          <w:sz w:val="24"/>
          <w:szCs w:val="24"/>
        </w:rPr>
      </w:pPr>
      <w:r>
        <w:rPr>
          <w:rFonts w:hint="eastAsia" w:ascii="Arial" w:hAnsi="Arial" w:eastAsia="HelveticaNeue-Heavy" w:cs="Arial"/>
          <w:b/>
          <w:bCs/>
          <w:color w:val="auto"/>
          <w:sz w:val="24"/>
          <w:szCs w:val="24"/>
        </w:rPr>
        <w:t xml:space="preserve">Figure </w:t>
      </w:r>
      <w:r>
        <w:rPr>
          <w:rFonts w:hint="eastAsia" w:ascii="Arial" w:hAnsi="Arial" w:eastAsia="宋体" w:cs="Arial"/>
          <w:b/>
          <w:bCs/>
          <w:color w:val="auto"/>
          <w:sz w:val="24"/>
          <w:szCs w:val="24"/>
        </w:rPr>
        <w:t>S</w:t>
      </w:r>
      <w:r>
        <w:rPr>
          <w:rFonts w:hint="eastAsia" w:ascii="Arial" w:hAnsi="Arial" w:eastAsia="HelveticaNeue-Heavy" w:cs="Arial"/>
          <w:b/>
          <w:bCs/>
          <w:color w:val="auto"/>
          <w:sz w:val="24"/>
          <w:szCs w:val="24"/>
        </w:rPr>
        <w:t xml:space="preserve">2 SLCO4A1 Is Amplified in Multiple Cancers and Correlates with Poor Patient Prognosis. </w:t>
      </w:r>
    </w:p>
    <w:p w14:paraId="77643BD5">
      <w:pPr>
        <w:numPr>
          <w:ilvl w:val="0"/>
          <w:numId w:val="2"/>
        </w:numPr>
        <w:spacing w:line="360" w:lineRule="auto"/>
        <w:rPr>
          <w:rFonts w:ascii="Arial" w:hAnsi="Arial" w:cs="Arial"/>
          <w:sz w:val="24"/>
          <w:szCs w:val="24"/>
        </w:rPr>
      </w:pPr>
      <w:r>
        <w:rPr>
          <w:rFonts w:hint="eastAsia" w:ascii="Arial" w:hAnsi="Arial" w:cs="Arial"/>
          <w:sz w:val="24"/>
          <w:szCs w:val="24"/>
        </w:rPr>
        <w:t xml:space="preserve">Analysis of SLCO4A1 expression and mutation status in various cancers using the cBioPortal online database. </w:t>
      </w:r>
    </w:p>
    <w:p w14:paraId="5B585AF4">
      <w:pPr>
        <w:numPr>
          <w:ilvl w:val="0"/>
          <w:numId w:val="2"/>
        </w:numPr>
        <w:spacing w:line="360" w:lineRule="auto"/>
        <w:rPr>
          <w:rFonts w:ascii="Arial" w:hAnsi="Arial" w:cs="Arial"/>
          <w:sz w:val="24"/>
          <w:szCs w:val="24"/>
        </w:rPr>
      </w:pPr>
      <w:r>
        <w:rPr>
          <w:rFonts w:hint="eastAsia" w:ascii="Arial" w:hAnsi="Arial" w:cs="Arial"/>
          <w:sz w:val="24"/>
          <w:szCs w:val="24"/>
        </w:rPr>
        <w:t xml:space="preserve">Large-scale data analysis of the correlation between SLCO4A1 expression and prognosis in breast cancer patients (data from TCGA Breast Cancer, analyzed by Kaplan-Meier gene expression). </w:t>
      </w:r>
    </w:p>
    <w:p w14:paraId="67A63727">
      <w:pPr>
        <w:spacing w:line="360" w:lineRule="auto"/>
        <w:rPr>
          <w:rFonts w:ascii="Arial" w:hAnsi="Arial" w:cs="Arial"/>
          <w:sz w:val="24"/>
          <w:szCs w:val="24"/>
        </w:rPr>
      </w:pPr>
      <w:r>
        <w:rPr>
          <w:rFonts w:hint="eastAsia" w:ascii="Arial" w:hAnsi="Arial" w:cs="Arial"/>
          <w:sz w:val="24"/>
          <w:szCs w:val="24"/>
        </w:rPr>
        <w:t>(C) Analysis of the association between SLCO4A1 expression and prognosis in liver cancer patients (https://www.kmplot.com/).</w:t>
      </w:r>
    </w:p>
    <w:p w14:paraId="6E9EBE50">
      <w:r>
        <w:rPr>
          <w:rFonts w:hint="eastAsia"/>
        </w:rPr>
        <w:br w:type="page"/>
      </w:r>
    </w:p>
    <w:p w14:paraId="5AF7F986">
      <w:pPr>
        <w:spacing w:line="360" w:lineRule="auto"/>
        <w:jc w:val="center"/>
        <w:rPr>
          <w:rFonts w:ascii="Arial" w:hAnsi="Arial" w:cs="Arial"/>
          <w:b/>
          <w:bCs/>
          <w:sz w:val="24"/>
          <w:szCs w:val="24"/>
        </w:rPr>
      </w:pPr>
      <w:r>
        <w:rPr>
          <w:rFonts w:hint="eastAsia" w:ascii="Arial" w:hAnsi="Arial" w:cs="Arial"/>
          <w:b/>
          <w:bCs/>
          <w:sz w:val="24"/>
          <w:szCs w:val="24"/>
        </w:rPr>
        <w:drawing>
          <wp:inline distT="0" distB="0" distL="114300" distR="114300">
            <wp:extent cx="5266690" cy="5852160"/>
            <wp:effectExtent l="0" t="0" r="6350" b="0"/>
            <wp:docPr id="3" name="图片 3" descr="Supplementary Figure202602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20260201_03"/>
                    <pic:cNvPicPr>
                      <a:picLocks noChangeAspect="1"/>
                    </pic:cNvPicPr>
                  </pic:nvPicPr>
                  <pic:blipFill>
                    <a:blip r:embed="rId6"/>
                    <a:stretch>
                      <a:fillRect/>
                    </a:stretch>
                  </pic:blipFill>
                  <pic:spPr>
                    <a:xfrm>
                      <a:off x="0" y="0"/>
                      <a:ext cx="5266690" cy="5852160"/>
                    </a:xfrm>
                    <a:prstGeom prst="rect">
                      <a:avLst/>
                    </a:prstGeom>
                  </pic:spPr>
                </pic:pic>
              </a:graphicData>
            </a:graphic>
          </wp:inline>
        </w:drawing>
      </w:r>
    </w:p>
    <w:p w14:paraId="762C6A42">
      <w:pPr>
        <w:spacing w:line="360" w:lineRule="auto"/>
        <w:rPr>
          <w:rFonts w:ascii="Arial" w:hAnsi="Arial" w:cs="Arial"/>
          <w:b/>
          <w:bCs/>
          <w:color w:val="auto"/>
          <w:sz w:val="24"/>
          <w:szCs w:val="24"/>
        </w:rPr>
      </w:pPr>
      <w:r>
        <w:rPr>
          <w:rFonts w:hint="eastAsia" w:ascii="Arial" w:hAnsi="Arial" w:eastAsia="HelveticaNeue-Heavy" w:cs="Arial"/>
          <w:b/>
          <w:bCs/>
          <w:color w:val="auto"/>
          <w:sz w:val="24"/>
          <w:szCs w:val="24"/>
        </w:rPr>
        <w:t xml:space="preserve">Figure </w:t>
      </w:r>
      <w:r>
        <w:rPr>
          <w:rFonts w:hint="eastAsia" w:ascii="Arial" w:hAnsi="Arial" w:eastAsia="宋体" w:cs="Arial"/>
          <w:b/>
          <w:bCs/>
          <w:color w:val="auto"/>
          <w:sz w:val="24"/>
          <w:szCs w:val="24"/>
        </w:rPr>
        <w:t>S</w:t>
      </w:r>
      <w:r>
        <w:rPr>
          <w:rFonts w:hint="eastAsia" w:ascii="Arial" w:hAnsi="Arial" w:eastAsia="HelveticaNeue-Heavy" w:cs="Arial"/>
          <w:b/>
          <w:bCs/>
          <w:color w:val="auto"/>
          <w:sz w:val="24"/>
          <w:szCs w:val="24"/>
        </w:rPr>
        <w:t xml:space="preserve">3 TFE3 Positively Correlates with SLCO4A1 and Regulates Its Expression Through Promoter Association. </w:t>
      </w:r>
    </w:p>
    <w:p w14:paraId="20F56B5A">
      <w:pPr>
        <w:spacing w:line="360" w:lineRule="auto"/>
        <w:rPr>
          <w:rFonts w:ascii="Arial" w:hAnsi="Arial" w:cs="Arial"/>
          <w:sz w:val="24"/>
          <w:szCs w:val="24"/>
        </w:rPr>
      </w:pPr>
      <w:r>
        <w:rPr>
          <w:rFonts w:ascii="Arial" w:hAnsi="Arial" w:cs="Arial"/>
          <w:sz w:val="24"/>
          <w:szCs w:val="24"/>
        </w:rPr>
        <w:t>(A) Western blot analysis of TFE3 and SLCO4A1 protein expression in tumor cells transiently transfected with FLAG-TFE3</w:t>
      </w:r>
      <w:r>
        <w:rPr>
          <w:rFonts w:hint="eastAsia" w:ascii="Arial" w:hAnsi="Arial" w:cs="Arial"/>
          <w:sz w:val="24"/>
          <w:szCs w:val="24"/>
        </w:rPr>
        <w:t xml:space="preserve"> for 48h</w:t>
      </w:r>
      <w:r>
        <w:rPr>
          <w:rFonts w:ascii="Arial" w:hAnsi="Arial" w:cs="Arial"/>
          <w:sz w:val="24"/>
          <w:szCs w:val="24"/>
        </w:rPr>
        <w:t>.</w:t>
      </w:r>
    </w:p>
    <w:p w14:paraId="02241B77">
      <w:pPr>
        <w:spacing w:line="360" w:lineRule="auto"/>
        <w:rPr>
          <w:rFonts w:ascii="Arial" w:hAnsi="Arial" w:cs="Arial"/>
          <w:sz w:val="24"/>
          <w:szCs w:val="24"/>
        </w:rPr>
      </w:pPr>
      <w:r>
        <w:rPr>
          <w:rFonts w:ascii="Arial" w:hAnsi="Arial" w:cs="Arial"/>
          <w:sz w:val="24"/>
          <w:szCs w:val="24"/>
        </w:rPr>
        <w:t xml:space="preserve">(B–D) Transcriptional correlation in clinical samples. mRNA levels of </w:t>
      </w:r>
      <w:r>
        <w:rPr>
          <w:rFonts w:ascii="Arial" w:hAnsi="Arial" w:cs="Arial"/>
          <w:i/>
          <w:iCs/>
          <w:sz w:val="24"/>
          <w:szCs w:val="24"/>
        </w:rPr>
        <w:t>TFE3</w:t>
      </w:r>
      <w:r>
        <w:rPr>
          <w:rFonts w:ascii="Arial" w:hAnsi="Arial" w:cs="Arial"/>
          <w:sz w:val="24"/>
          <w:szCs w:val="24"/>
        </w:rPr>
        <w:t xml:space="preserve"> and </w:t>
      </w:r>
      <w:r>
        <w:rPr>
          <w:rFonts w:ascii="Arial" w:hAnsi="Arial" w:cs="Arial"/>
          <w:i/>
          <w:iCs/>
          <w:sz w:val="24"/>
          <w:szCs w:val="24"/>
        </w:rPr>
        <w:t>SLCO4A1</w:t>
      </w:r>
      <w:r>
        <w:rPr>
          <w:rFonts w:ascii="Arial" w:hAnsi="Arial" w:cs="Arial"/>
          <w:sz w:val="24"/>
          <w:szCs w:val="24"/>
        </w:rPr>
        <w:t xml:space="preserve"> were detected by qPCR in 17 paired liver cancer and adjacent non-tumor tissues (B-C), followed by Pearson correlation analysis (D).</w:t>
      </w:r>
    </w:p>
    <w:p w14:paraId="3E3E4772">
      <w:pPr>
        <w:spacing w:line="360" w:lineRule="auto"/>
        <w:rPr>
          <w:rFonts w:ascii="Arial" w:hAnsi="Arial" w:cs="Arial"/>
          <w:sz w:val="24"/>
          <w:szCs w:val="24"/>
        </w:rPr>
      </w:pPr>
      <w:r>
        <w:rPr>
          <w:rFonts w:ascii="Arial" w:hAnsi="Arial" w:cs="Arial"/>
          <w:sz w:val="24"/>
          <w:szCs w:val="24"/>
        </w:rPr>
        <w:t>(E–F) Specificity of SLCO4A1 regulation by MiT family members. (E) qPCR validation of TFEB mRNA levels in HeLa and MCF-7 cells 48 h post-transfection with the TFEB plasmid. (F) Western blot analysis showing the impact of 48-h TFEB overexpression on SLCO4A1 protein levels in the indicated cell lines.</w:t>
      </w:r>
    </w:p>
    <w:p w14:paraId="7647C87D">
      <w:pPr>
        <w:spacing w:line="360" w:lineRule="auto"/>
        <w:rPr>
          <w:rFonts w:ascii="Arial" w:hAnsi="Arial" w:cs="Arial"/>
          <w:sz w:val="24"/>
          <w:szCs w:val="24"/>
        </w:rPr>
      </w:pPr>
      <w:r>
        <w:rPr>
          <w:rFonts w:ascii="Arial" w:hAnsi="Arial" w:cs="Arial"/>
          <w:sz w:val="24"/>
          <w:szCs w:val="24"/>
        </w:rPr>
        <w:t xml:space="preserve">(G–H) Effects of mTOR inhibition on TFE3 and SLCO4A1. (G) Immunofluorescence (IF) detection of TFE3 subcellular localization in HeLa cells treated with Torin 1 (250 nM) for 24 hours. (H) qPCR analysis of </w:t>
      </w:r>
      <w:r>
        <w:rPr>
          <w:rFonts w:ascii="Arial" w:hAnsi="Arial" w:cs="Arial"/>
          <w:i/>
          <w:iCs/>
          <w:sz w:val="24"/>
          <w:szCs w:val="24"/>
        </w:rPr>
        <w:t>SLCO4A1</w:t>
      </w:r>
      <w:r>
        <w:rPr>
          <w:rFonts w:ascii="Arial" w:hAnsi="Arial" w:cs="Arial"/>
          <w:sz w:val="24"/>
          <w:szCs w:val="24"/>
        </w:rPr>
        <w:t xml:space="preserve"> mRNA expression in HeLa cells following Torin 1 treatment.</w:t>
      </w:r>
    </w:p>
    <w:p w14:paraId="3AE35FB8">
      <w:pPr>
        <w:spacing w:line="360" w:lineRule="auto"/>
        <w:rPr>
          <w:rFonts w:ascii="Arial" w:hAnsi="Arial" w:cs="Arial"/>
          <w:sz w:val="24"/>
          <w:szCs w:val="24"/>
        </w:rPr>
      </w:pPr>
      <w:r>
        <w:rPr>
          <w:rFonts w:ascii="Arial" w:hAnsi="Arial" w:cs="Arial"/>
          <w:sz w:val="24"/>
          <w:szCs w:val="24"/>
        </w:rPr>
        <w:t>(I–</w:t>
      </w:r>
      <w:r>
        <w:rPr>
          <w:rFonts w:hint="eastAsia" w:ascii="Arial" w:hAnsi="Arial" w:cs="Arial"/>
          <w:sz w:val="24"/>
          <w:szCs w:val="24"/>
        </w:rPr>
        <w:t>K</w:t>
      </w:r>
      <w:r>
        <w:rPr>
          <w:rFonts w:ascii="Arial" w:hAnsi="Arial" w:cs="Arial"/>
          <w:sz w:val="24"/>
          <w:szCs w:val="24"/>
        </w:rPr>
        <w:t xml:space="preserve">) ChIP-qPCR analysis of TFE3 occupancy at the </w:t>
      </w:r>
      <w:r>
        <w:rPr>
          <w:rFonts w:ascii="Arial" w:hAnsi="Arial" w:cs="Arial"/>
          <w:i/>
          <w:iCs/>
          <w:sz w:val="24"/>
          <w:szCs w:val="24"/>
        </w:rPr>
        <w:t>SLCO4A1</w:t>
      </w:r>
      <w:r>
        <w:rPr>
          <w:rFonts w:ascii="Arial" w:hAnsi="Arial" w:cs="Arial"/>
          <w:sz w:val="24"/>
          <w:szCs w:val="24"/>
        </w:rPr>
        <w:t xml:space="preserve"> promoter. (I) Representative agarose gel images showing ChIP products for negative control</w:t>
      </w:r>
      <w:r>
        <w:rPr>
          <w:rFonts w:hint="eastAsia" w:ascii="Arial" w:hAnsi="Arial" w:cs="Arial"/>
          <w:sz w:val="24"/>
          <w:szCs w:val="24"/>
        </w:rPr>
        <w:t xml:space="preserve">, </w:t>
      </w:r>
      <w:r>
        <w:rPr>
          <w:rFonts w:ascii="Arial" w:hAnsi="Arial" w:cs="Arial"/>
          <w:sz w:val="24"/>
          <w:szCs w:val="24"/>
        </w:rPr>
        <w:t>IgG, positive control, and TFE3-binding sites under normoxia and hypoxia. (J–</w:t>
      </w:r>
      <w:r>
        <w:rPr>
          <w:rFonts w:hint="eastAsia" w:ascii="Arial" w:hAnsi="Arial" w:cs="Arial"/>
          <w:sz w:val="24"/>
          <w:szCs w:val="24"/>
        </w:rPr>
        <w:t>K</w:t>
      </w:r>
      <w:r>
        <w:rPr>
          <w:rFonts w:ascii="Arial" w:hAnsi="Arial" w:cs="Arial"/>
          <w:sz w:val="24"/>
          <w:szCs w:val="24"/>
        </w:rPr>
        <w:t xml:space="preserve">) Quantitative ChIP-qPCR results showing the relative enrichment of TFE3 at the </w:t>
      </w:r>
      <w:r>
        <w:rPr>
          <w:rFonts w:ascii="Arial" w:hAnsi="Arial" w:cs="Arial"/>
          <w:i/>
          <w:iCs/>
          <w:sz w:val="24"/>
          <w:szCs w:val="24"/>
        </w:rPr>
        <w:t>SLCO4A1</w:t>
      </w:r>
      <w:r>
        <w:rPr>
          <w:rFonts w:ascii="Arial" w:hAnsi="Arial" w:cs="Arial"/>
          <w:sz w:val="24"/>
          <w:szCs w:val="24"/>
        </w:rPr>
        <w:t xml:space="preserve"> promoter, presented as a fold change relative to the IgG control.</w:t>
      </w:r>
    </w:p>
    <w:p w14:paraId="3FDBD682">
      <w:pPr>
        <w:spacing w:line="360" w:lineRule="auto"/>
        <w:rPr>
          <w:rFonts w:ascii="Arial" w:hAnsi="Arial" w:cs="Arial"/>
          <w:sz w:val="24"/>
          <w:szCs w:val="24"/>
        </w:rPr>
      </w:pPr>
      <w:r>
        <w:rPr>
          <w:rFonts w:hint="eastAsia" w:ascii="Arial" w:hAnsi="Arial" w:cs="Arial"/>
          <w:sz w:val="24"/>
          <w:szCs w:val="24"/>
        </w:rPr>
        <w:t xml:space="preserve">All cultures were supplied with 10% dialyzed serum. </w:t>
      </w:r>
      <w:r>
        <w:rPr>
          <w:rFonts w:ascii="Arial" w:hAnsi="Arial" w:cs="Arial"/>
          <w:sz w:val="24"/>
          <w:szCs w:val="24"/>
        </w:rPr>
        <w:t>Values are presented as means ± SD from three independent experiments. *</w:t>
      </w:r>
      <w:r>
        <w:rPr>
          <w:rFonts w:ascii="Arial" w:hAnsi="Arial" w:cs="Arial"/>
          <w:i/>
          <w:iCs/>
          <w:sz w:val="24"/>
          <w:szCs w:val="24"/>
        </w:rPr>
        <w:t>p</w:t>
      </w:r>
      <w:r>
        <w:rPr>
          <w:rFonts w:ascii="Arial" w:hAnsi="Arial" w:cs="Arial"/>
          <w:sz w:val="24"/>
          <w:szCs w:val="24"/>
        </w:rPr>
        <w:t xml:space="preserve"> &lt; 0.0</w:t>
      </w:r>
      <w:r>
        <w:rPr>
          <w:rFonts w:hint="eastAsia" w:ascii="Arial" w:hAnsi="Arial" w:cs="Arial"/>
          <w:sz w:val="24"/>
          <w:szCs w:val="24"/>
        </w:rPr>
        <w:t>5</w:t>
      </w:r>
      <w:r>
        <w:rPr>
          <w:rFonts w:ascii="Arial" w:hAnsi="Arial" w:cs="Arial"/>
          <w:sz w:val="24"/>
          <w:szCs w:val="24"/>
        </w:rPr>
        <w:t xml:space="preserve"> (Student’s t-test).</w:t>
      </w:r>
    </w:p>
    <w:p w14:paraId="6FC109B2">
      <w:pPr>
        <w:spacing w:line="360" w:lineRule="auto"/>
      </w:pPr>
      <w:r>
        <w:rPr>
          <w:rFonts w:hint="eastAsia"/>
        </w:rPr>
        <w:br w:type="page"/>
      </w:r>
    </w:p>
    <w:p w14:paraId="5B9DF503">
      <w:pPr>
        <w:spacing w:line="360" w:lineRule="auto"/>
        <w:rPr>
          <w:rFonts w:ascii="Arial" w:hAnsi="Arial" w:cs="Arial"/>
          <w:b/>
          <w:bCs/>
          <w:sz w:val="24"/>
          <w:szCs w:val="24"/>
        </w:rPr>
      </w:pPr>
    </w:p>
    <w:p w14:paraId="55CD5DF6">
      <w:pPr>
        <w:spacing w:line="360" w:lineRule="auto"/>
        <w:rPr>
          <w:rFonts w:ascii="Arial" w:hAnsi="Arial" w:cs="Arial"/>
          <w:b/>
          <w:bCs/>
          <w:sz w:val="24"/>
          <w:szCs w:val="24"/>
        </w:rPr>
      </w:pPr>
      <w:r>
        <w:rPr>
          <w:rFonts w:hint="eastAsia" w:ascii="Arial" w:hAnsi="Arial" w:cs="Arial"/>
          <w:b/>
          <w:bCs/>
          <w:sz w:val="24"/>
          <w:szCs w:val="24"/>
        </w:rPr>
        <w:drawing>
          <wp:inline distT="0" distB="0" distL="114300" distR="114300">
            <wp:extent cx="5266690" cy="5852160"/>
            <wp:effectExtent l="0" t="0" r="6350" b="0"/>
            <wp:docPr id="4" name="图片 4" descr="Supplementary Figure2026020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ure20260201_04"/>
                    <pic:cNvPicPr>
                      <a:picLocks noChangeAspect="1"/>
                    </pic:cNvPicPr>
                  </pic:nvPicPr>
                  <pic:blipFill>
                    <a:blip r:embed="rId7"/>
                    <a:stretch>
                      <a:fillRect/>
                    </a:stretch>
                  </pic:blipFill>
                  <pic:spPr>
                    <a:xfrm>
                      <a:off x="0" y="0"/>
                      <a:ext cx="5266690" cy="5852160"/>
                    </a:xfrm>
                    <a:prstGeom prst="rect">
                      <a:avLst/>
                    </a:prstGeom>
                  </pic:spPr>
                </pic:pic>
              </a:graphicData>
            </a:graphic>
          </wp:inline>
        </w:drawing>
      </w:r>
    </w:p>
    <w:p w14:paraId="429A9975">
      <w:pPr>
        <w:spacing w:line="360" w:lineRule="auto"/>
        <w:rPr>
          <w:rFonts w:ascii="Arial" w:hAnsi="Arial" w:cs="Arial"/>
          <w:b/>
          <w:bCs/>
          <w:sz w:val="24"/>
          <w:szCs w:val="24"/>
        </w:rPr>
      </w:pPr>
    </w:p>
    <w:p w14:paraId="3FFDF758">
      <w:pPr>
        <w:spacing w:line="360" w:lineRule="auto"/>
        <w:rPr>
          <w:rFonts w:ascii="Arial" w:hAnsi="Arial" w:cs="Arial"/>
          <w:b/>
          <w:bCs/>
          <w:sz w:val="24"/>
          <w:szCs w:val="24"/>
        </w:rPr>
      </w:pPr>
    </w:p>
    <w:p w14:paraId="0D06BCA5">
      <w:pPr>
        <w:spacing w:line="360" w:lineRule="auto"/>
        <w:rPr>
          <w:rFonts w:ascii="Arial" w:hAnsi="Arial" w:cs="Arial"/>
          <w:b/>
          <w:bCs/>
          <w:sz w:val="24"/>
          <w:szCs w:val="24"/>
        </w:rPr>
      </w:pPr>
    </w:p>
    <w:p w14:paraId="567FB8F7">
      <w:pPr>
        <w:spacing w:line="360" w:lineRule="auto"/>
        <w:rPr>
          <w:rFonts w:ascii="Arial" w:hAnsi="Arial" w:cs="Arial"/>
          <w:b/>
          <w:bCs/>
          <w:sz w:val="24"/>
          <w:szCs w:val="24"/>
        </w:rPr>
      </w:pPr>
    </w:p>
    <w:p w14:paraId="7CE7D051">
      <w:pPr>
        <w:spacing w:line="360" w:lineRule="auto"/>
        <w:rPr>
          <w:rFonts w:ascii="Arial" w:hAnsi="Arial" w:cs="Arial"/>
          <w:b/>
          <w:bCs/>
          <w:sz w:val="24"/>
          <w:szCs w:val="24"/>
        </w:rPr>
      </w:pPr>
    </w:p>
    <w:p w14:paraId="642FA58A">
      <w:pPr>
        <w:spacing w:line="360" w:lineRule="auto"/>
        <w:rPr>
          <w:rFonts w:ascii="Arial" w:hAnsi="Arial" w:cs="Arial"/>
          <w:b/>
          <w:bCs/>
          <w:sz w:val="24"/>
          <w:szCs w:val="24"/>
        </w:rPr>
      </w:pPr>
    </w:p>
    <w:p w14:paraId="12EE918D">
      <w:pPr>
        <w:spacing w:line="360" w:lineRule="auto"/>
        <w:rPr>
          <w:rFonts w:ascii="Arial" w:hAnsi="Arial" w:cs="Arial"/>
          <w:b/>
          <w:bCs/>
          <w:sz w:val="24"/>
          <w:szCs w:val="24"/>
        </w:rPr>
      </w:pPr>
    </w:p>
    <w:p w14:paraId="65528FB5">
      <w:pPr>
        <w:spacing w:line="360" w:lineRule="auto"/>
        <w:rPr>
          <w:rFonts w:ascii="Arial" w:hAnsi="Arial" w:cs="Arial"/>
          <w:b/>
          <w:bCs/>
          <w:sz w:val="24"/>
          <w:szCs w:val="24"/>
        </w:rPr>
      </w:pPr>
    </w:p>
    <w:p w14:paraId="2B600984">
      <w:pPr>
        <w:spacing w:line="360" w:lineRule="auto"/>
        <w:rPr>
          <w:rFonts w:ascii="Arial" w:hAnsi="Arial" w:cs="Arial"/>
          <w:b/>
          <w:bCs/>
          <w:sz w:val="24"/>
          <w:szCs w:val="24"/>
        </w:rPr>
      </w:pPr>
    </w:p>
    <w:p w14:paraId="1E59E2F9">
      <w:pPr>
        <w:spacing w:line="360" w:lineRule="auto"/>
        <w:rPr>
          <w:rFonts w:ascii="Arial" w:hAnsi="Arial" w:cs="Arial"/>
          <w:b/>
          <w:bCs/>
          <w:sz w:val="24"/>
          <w:szCs w:val="24"/>
        </w:rPr>
      </w:pPr>
      <w:r>
        <w:rPr>
          <w:rFonts w:hint="eastAsia" w:ascii="Arial" w:hAnsi="Arial" w:cs="Arial"/>
          <w:b/>
          <w:bCs/>
          <w:sz w:val="24"/>
          <w:szCs w:val="24"/>
        </w:rPr>
        <w:drawing>
          <wp:inline distT="0" distB="0" distL="114300" distR="114300">
            <wp:extent cx="5266690" cy="5852160"/>
            <wp:effectExtent l="0" t="0" r="6350" b="0"/>
            <wp:docPr id="5" name="图片 5" descr="Supplementary Figure2026020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ure20260201_05"/>
                    <pic:cNvPicPr>
                      <a:picLocks noChangeAspect="1"/>
                    </pic:cNvPicPr>
                  </pic:nvPicPr>
                  <pic:blipFill>
                    <a:blip r:embed="rId8"/>
                    <a:stretch>
                      <a:fillRect/>
                    </a:stretch>
                  </pic:blipFill>
                  <pic:spPr>
                    <a:xfrm>
                      <a:off x="0" y="0"/>
                      <a:ext cx="5266690" cy="5852160"/>
                    </a:xfrm>
                    <a:prstGeom prst="rect">
                      <a:avLst/>
                    </a:prstGeom>
                  </pic:spPr>
                </pic:pic>
              </a:graphicData>
            </a:graphic>
          </wp:inline>
        </w:drawing>
      </w:r>
    </w:p>
    <w:p w14:paraId="79653203">
      <w:pPr>
        <w:spacing w:line="360" w:lineRule="auto"/>
        <w:rPr>
          <w:rFonts w:ascii="Arial" w:hAnsi="Arial" w:eastAsia="HelveticaNeue-Heavy" w:cs="Arial"/>
          <w:b/>
          <w:bCs/>
          <w:color w:val="AB4B4B"/>
          <w:sz w:val="24"/>
          <w:szCs w:val="24"/>
        </w:rPr>
      </w:pPr>
      <w:r>
        <w:rPr>
          <w:rFonts w:hint="eastAsia" w:ascii="Arial" w:hAnsi="Arial" w:eastAsia="HelveticaNeue-Heavy" w:cs="Arial"/>
          <w:b/>
          <w:bCs/>
          <w:color w:val="auto"/>
          <w:sz w:val="24"/>
          <w:szCs w:val="24"/>
        </w:rPr>
        <w:t xml:space="preserve">Figure </w:t>
      </w:r>
      <w:r>
        <w:rPr>
          <w:rFonts w:hint="eastAsia" w:ascii="Arial" w:hAnsi="Arial" w:eastAsia="宋体" w:cs="Arial"/>
          <w:b/>
          <w:bCs/>
          <w:color w:val="auto"/>
          <w:sz w:val="24"/>
          <w:szCs w:val="24"/>
        </w:rPr>
        <w:t>S</w:t>
      </w:r>
      <w:r>
        <w:rPr>
          <w:rFonts w:hint="eastAsia" w:ascii="Arial" w:hAnsi="Arial" w:eastAsia="HelveticaNeue-Heavy" w:cs="Arial"/>
          <w:b/>
          <w:bCs/>
          <w:color w:val="auto"/>
          <w:sz w:val="24"/>
          <w:szCs w:val="24"/>
        </w:rPr>
        <w:t xml:space="preserve">4 AMPK Activation Facilitates Nuclear Translocation of TFE3 and Upregulates SLCO4A1 Expression. </w:t>
      </w:r>
    </w:p>
    <w:p w14:paraId="3A3C88D6">
      <w:pPr>
        <w:numPr>
          <w:ilvl w:val="0"/>
          <w:numId w:val="3"/>
        </w:numPr>
        <w:spacing w:line="360" w:lineRule="auto"/>
        <w:rPr>
          <w:rFonts w:ascii="Arial" w:hAnsi="Arial" w:cs="Arial"/>
          <w:sz w:val="24"/>
          <w:szCs w:val="24"/>
        </w:rPr>
      </w:pPr>
      <w:r>
        <w:rPr>
          <w:rFonts w:ascii="Arial" w:hAnsi="Arial" w:cs="Arial"/>
          <w:sz w:val="24"/>
          <w:szCs w:val="24"/>
        </w:rPr>
        <w:t>KEGG pathway analysis of transcriptome sequencing data from HeLa cells cultured under normoxi</w:t>
      </w:r>
      <w:r>
        <w:rPr>
          <w:rFonts w:hint="eastAsia" w:ascii="Arial" w:hAnsi="Arial" w:cs="Arial"/>
          <w:sz w:val="24"/>
          <w:szCs w:val="24"/>
        </w:rPr>
        <w:t>a</w:t>
      </w:r>
      <w:r>
        <w:rPr>
          <w:rFonts w:ascii="Arial" w:hAnsi="Arial" w:cs="Arial"/>
          <w:sz w:val="24"/>
          <w:szCs w:val="24"/>
        </w:rPr>
        <w:t xml:space="preserve"> and hypoxi</w:t>
      </w:r>
      <w:r>
        <w:rPr>
          <w:rFonts w:hint="eastAsia" w:ascii="Arial" w:hAnsi="Arial" w:cs="Arial"/>
          <w:sz w:val="24"/>
          <w:szCs w:val="24"/>
        </w:rPr>
        <w:t>a</w:t>
      </w:r>
      <w:r>
        <w:rPr>
          <w:rFonts w:ascii="Arial" w:hAnsi="Arial" w:cs="Arial"/>
          <w:sz w:val="24"/>
          <w:szCs w:val="24"/>
        </w:rPr>
        <w:t xml:space="preserve"> for 8 hours, showing pathways enriched under hypoxia compared to normoxia.</w:t>
      </w:r>
      <w:r>
        <w:rPr>
          <w:rFonts w:hint="eastAsia" w:ascii="Arial" w:hAnsi="Arial" w:cs="Arial"/>
          <w:sz w:val="24"/>
          <w:szCs w:val="24"/>
        </w:rPr>
        <w:t xml:space="preserve"> </w:t>
      </w:r>
    </w:p>
    <w:p w14:paraId="3F5A5B60">
      <w:pPr>
        <w:numPr>
          <w:ilvl w:val="0"/>
          <w:numId w:val="3"/>
        </w:numPr>
        <w:spacing w:line="360" w:lineRule="auto"/>
        <w:rPr>
          <w:rFonts w:ascii="Arial" w:hAnsi="Arial" w:cs="Arial"/>
          <w:sz w:val="24"/>
          <w:szCs w:val="24"/>
        </w:rPr>
      </w:pPr>
      <w:r>
        <w:rPr>
          <w:rFonts w:ascii="Arial" w:hAnsi="Arial" w:cs="Arial"/>
          <w:sz w:val="24"/>
          <w:szCs w:val="24"/>
        </w:rPr>
        <w:t>KEGG pathway enrichment and Venn diagram analysis of transcriptome data from HeLa cells cultured for 8 hours under normoxia, hypoxia, or treated with Antimycin A</w:t>
      </w:r>
      <w:r>
        <w:rPr>
          <w:rFonts w:hint="eastAsia" w:ascii="Arial" w:hAnsi="Arial" w:cs="Arial"/>
          <w:sz w:val="24"/>
          <w:szCs w:val="24"/>
        </w:rPr>
        <w:t xml:space="preserve"> (Ant A)</w:t>
      </w:r>
      <w:r>
        <w:rPr>
          <w:rFonts w:ascii="Arial" w:hAnsi="Arial" w:cs="Arial"/>
          <w:sz w:val="24"/>
          <w:szCs w:val="24"/>
        </w:rPr>
        <w:t xml:space="preserve"> (1 μM), showing AMPK signaling among the top 10 enriched pathways under hypoxia and Antimycin A conditions.</w:t>
      </w:r>
      <w:r>
        <w:rPr>
          <w:rFonts w:hint="eastAsia" w:ascii="Arial" w:hAnsi="Arial" w:cs="Arial"/>
          <w:sz w:val="24"/>
          <w:szCs w:val="24"/>
        </w:rPr>
        <w:t xml:space="preserve"> </w:t>
      </w:r>
    </w:p>
    <w:p w14:paraId="08703F5B">
      <w:pPr>
        <w:spacing w:line="360" w:lineRule="auto"/>
        <w:rPr>
          <w:rFonts w:ascii="Arial" w:hAnsi="Arial" w:cs="Arial"/>
          <w:sz w:val="24"/>
          <w:szCs w:val="24"/>
        </w:rPr>
      </w:pPr>
      <w:r>
        <w:rPr>
          <w:rFonts w:hint="eastAsia" w:ascii="Arial" w:hAnsi="Arial" w:cs="Arial"/>
          <w:sz w:val="24"/>
          <w:szCs w:val="24"/>
        </w:rPr>
        <w:t>(</w:t>
      </w:r>
      <w:r>
        <w:rPr>
          <w:rFonts w:ascii="Arial" w:hAnsi="Arial" w:cs="Arial"/>
          <w:sz w:val="24"/>
          <w:szCs w:val="24"/>
        </w:rPr>
        <w:t>C</w:t>
      </w:r>
      <w:r>
        <w:rPr>
          <w:rFonts w:hint="eastAsia" w:ascii="Arial" w:hAnsi="Arial" w:cs="Arial"/>
          <w:sz w:val="24"/>
          <w:szCs w:val="24"/>
        </w:rPr>
        <w:t>-</w:t>
      </w:r>
      <w:r>
        <w:rPr>
          <w:rFonts w:ascii="Arial" w:hAnsi="Arial" w:cs="Arial"/>
          <w:sz w:val="24"/>
          <w:szCs w:val="24"/>
        </w:rPr>
        <w:t>D</w:t>
      </w:r>
      <w:r>
        <w:rPr>
          <w:rFonts w:hint="eastAsia" w:ascii="Arial" w:hAnsi="Arial" w:cs="Arial"/>
          <w:sz w:val="24"/>
          <w:szCs w:val="24"/>
        </w:rPr>
        <w:t>)</w:t>
      </w:r>
      <w:r>
        <w:rPr>
          <w:rFonts w:ascii="Arial" w:hAnsi="Arial" w:cs="Arial"/>
          <w:sz w:val="24"/>
          <w:szCs w:val="24"/>
        </w:rPr>
        <w:t xml:space="preserve"> TFE3 protein stability assays. HeLa cells were treated with or without the AMPK activator AICAR (</w:t>
      </w:r>
      <w:r>
        <w:rPr>
          <w:rFonts w:hint="eastAsia" w:ascii="Arial" w:hAnsi="Arial" w:cs="Arial"/>
          <w:sz w:val="24"/>
          <w:szCs w:val="24"/>
        </w:rPr>
        <w:t>1</w:t>
      </w:r>
      <w:r>
        <w:rPr>
          <w:rFonts w:ascii="Arial" w:hAnsi="Arial" w:cs="Arial"/>
          <w:sz w:val="24"/>
          <w:szCs w:val="24"/>
        </w:rPr>
        <w:t xml:space="preserve">mM) in the presence of cycloheximide (CHX, </w:t>
      </w:r>
      <w:r>
        <w:rPr>
          <w:rFonts w:hint="eastAsia" w:ascii="Arial" w:hAnsi="Arial" w:cs="Arial"/>
          <w:sz w:val="24"/>
          <w:szCs w:val="24"/>
        </w:rPr>
        <w:t>20</w:t>
      </w:r>
      <w:r>
        <w:rPr>
          <w:rFonts w:ascii="Arial" w:hAnsi="Arial" w:cs="Arial"/>
          <w:sz w:val="24"/>
          <w:szCs w:val="24"/>
        </w:rPr>
        <w:t>μg/mL) or MG132 (</w:t>
      </w:r>
      <w:r>
        <w:rPr>
          <w:rFonts w:hint="eastAsia" w:ascii="Arial" w:hAnsi="Arial" w:cs="Arial"/>
          <w:sz w:val="24"/>
          <w:szCs w:val="24"/>
        </w:rPr>
        <w:t>20</w:t>
      </w:r>
      <w:r>
        <w:rPr>
          <w:rFonts w:ascii="Arial" w:hAnsi="Arial" w:cs="Arial"/>
          <w:sz w:val="24"/>
          <w:szCs w:val="24"/>
        </w:rPr>
        <w:t>μ</w:t>
      </w:r>
      <w:r>
        <w:rPr>
          <w:rFonts w:hint="eastAsia" w:ascii="Arial" w:hAnsi="Arial" w:cs="Arial"/>
          <w:sz w:val="24"/>
          <w:szCs w:val="24"/>
        </w:rPr>
        <w:t>M</w:t>
      </w:r>
      <w:r>
        <w:rPr>
          <w:rFonts w:ascii="Arial" w:hAnsi="Arial" w:cs="Arial"/>
          <w:sz w:val="24"/>
          <w:szCs w:val="24"/>
        </w:rPr>
        <w:t>) for the indicated time points. TFE3 expression was analyzed by Western blot to assess its degradation rate and proteasomal involvement.</w:t>
      </w:r>
    </w:p>
    <w:p w14:paraId="553B327D">
      <w:pPr>
        <w:spacing w:line="360" w:lineRule="auto"/>
        <w:rPr>
          <w:rFonts w:ascii="Arial" w:hAnsi="Arial" w:cs="Arial"/>
          <w:sz w:val="24"/>
          <w:szCs w:val="24"/>
        </w:rPr>
      </w:pPr>
      <w:r>
        <w:rPr>
          <w:rFonts w:hint="eastAsia" w:ascii="Arial" w:hAnsi="Arial" w:cs="Arial"/>
          <w:sz w:val="24"/>
          <w:szCs w:val="24"/>
        </w:rPr>
        <w:t xml:space="preserve">(E-J) </w:t>
      </w:r>
      <w:r>
        <w:rPr>
          <w:rFonts w:ascii="Arial" w:hAnsi="Arial" w:cs="Arial"/>
          <w:sz w:val="24"/>
          <w:szCs w:val="24"/>
        </w:rPr>
        <w:t>HeLa</w:t>
      </w:r>
      <w:r>
        <w:rPr>
          <w:rFonts w:hint="eastAsia" w:ascii="Arial" w:hAnsi="Arial" w:cs="Arial"/>
          <w:sz w:val="24"/>
          <w:szCs w:val="24"/>
        </w:rPr>
        <w:t xml:space="preserve">, </w:t>
      </w:r>
      <w:r>
        <w:rPr>
          <w:rFonts w:ascii="Arial" w:hAnsi="Arial" w:cs="Arial"/>
          <w:sz w:val="24"/>
          <w:szCs w:val="24"/>
        </w:rPr>
        <w:t xml:space="preserve">MCF-7 </w:t>
      </w:r>
      <w:r>
        <w:rPr>
          <w:rFonts w:hint="eastAsia" w:ascii="Arial" w:hAnsi="Arial" w:cs="Arial"/>
          <w:sz w:val="24"/>
          <w:szCs w:val="24"/>
        </w:rPr>
        <w:t xml:space="preserve">and </w:t>
      </w:r>
      <w:r>
        <w:rPr>
          <w:rFonts w:ascii="Arial" w:hAnsi="Arial" w:cs="Arial"/>
          <w:sz w:val="24"/>
          <w:szCs w:val="24"/>
        </w:rPr>
        <w:t xml:space="preserve">HCC-LM3 cells transiently transfected with TFE3 (FLAG) </w:t>
      </w:r>
      <w:r>
        <w:rPr>
          <w:rFonts w:hint="eastAsia" w:ascii="Arial" w:hAnsi="Arial" w:cs="Arial"/>
          <w:sz w:val="24"/>
          <w:szCs w:val="24"/>
        </w:rPr>
        <w:t xml:space="preserve">for 36h </w:t>
      </w:r>
      <w:r>
        <w:rPr>
          <w:rFonts w:ascii="Arial" w:hAnsi="Arial" w:cs="Arial"/>
          <w:sz w:val="24"/>
          <w:szCs w:val="24"/>
        </w:rPr>
        <w:t>and treated with AMPK activator AICAR (</w:t>
      </w:r>
      <w:r>
        <w:rPr>
          <w:rFonts w:hint="eastAsia" w:ascii="Arial" w:hAnsi="Arial" w:cs="Arial"/>
          <w:sz w:val="24"/>
          <w:szCs w:val="24"/>
        </w:rPr>
        <w:t>1</w:t>
      </w:r>
      <w:r>
        <w:rPr>
          <w:rFonts w:ascii="Arial" w:hAnsi="Arial" w:cs="Arial"/>
          <w:sz w:val="24"/>
          <w:szCs w:val="24"/>
        </w:rPr>
        <w:t>mM) or inhibitor Compound C</w:t>
      </w:r>
      <w:r>
        <w:t xml:space="preserve"> </w:t>
      </w:r>
      <w:r>
        <w:rPr>
          <w:rFonts w:ascii="Arial" w:hAnsi="Arial" w:cs="Arial"/>
          <w:sz w:val="24"/>
          <w:szCs w:val="24"/>
        </w:rPr>
        <w:t>(</w:t>
      </w:r>
      <w:r>
        <w:rPr>
          <w:rFonts w:hint="eastAsia" w:ascii="Arial" w:hAnsi="Arial" w:cs="Arial"/>
          <w:sz w:val="24"/>
          <w:szCs w:val="24"/>
        </w:rPr>
        <w:t xml:space="preserve">25 </w:t>
      </w:r>
      <w:r>
        <w:rPr>
          <w:rFonts w:ascii="Arial" w:hAnsi="Arial" w:cs="Arial"/>
          <w:sz w:val="24"/>
          <w:szCs w:val="24"/>
        </w:rPr>
        <w:t>μ</w:t>
      </w:r>
      <w:r>
        <w:rPr>
          <w:rFonts w:hint="eastAsia" w:ascii="Arial" w:hAnsi="Arial" w:cs="Arial"/>
          <w:sz w:val="24"/>
          <w:szCs w:val="24"/>
        </w:rPr>
        <w:t>M</w:t>
      </w:r>
      <w:r>
        <w:rPr>
          <w:rFonts w:ascii="Arial" w:hAnsi="Arial" w:cs="Arial"/>
          <w:sz w:val="24"/>
          <w:szCs w:val="24"/>
        </w:rPr>
        <w:t>)</w:t>
      </w:r>
      <w:r>
        <w:rPr>
          <w:rFonts w:hint="eastAsia" w:ascii="Arial" w:hAnsi="Arial" w:cs="Arial"/>
          <w:sz w:val="24"/>
          <w:szCs w:val="24"/>
        </w:rPr>
        <w:t xml:space="preserve"> for 24h</w:t>
      </w:r>
      <w:r>
        <w:rPr>
          <w:rFonts w:ascii="Arial" w:hAnsi="Arial" w:cs="Arial"/>
          <w:sz w:val="24"/>
          <w:szCs w:val="24"/>
        </w:rPr>
        <w:t xml:space="preserve">. </w:t>
      </w:r>
      <w:r>
        <w:rPr>
          <w:rFonts w:hint="eastAsia" w:ascii="Arial" w:hAnsi="Arial" w:cs="Arial"/>
          <w:sz w:val="24"/>
          <w:szCs w:val="24"/>
        </w:rPr>
        <w:t>IF</w:t>
      </w:r>
      <w:r>
        <w:rPr>
          <w:rFonts w:ascii="Arial" w:hAnsi="Arial" w:cs="Arial"/>
          <w:sz w:val="24"/>
          <w:szCs w:val="24"/>
        </w:rPr>
        <w:t xml:space="preserve"> confocal microscopy analysis of TFE3 subcellular localization</w:t>
      </w:r>
      <w:r>
        <w:rPr>
          <w:rFonts w:hint="eastAsia" w:ascii="Arial" w:hAnsi="Arial" w:cs="Arial"/>
          <w:sz w:val="24"/>
          <w:szCs w:val="24"/>
        </w:rPr>
        <w:t>(E-G);</w:t>
      </w:r>
      <w:r>
        <w:rPr>
          <w:rFonts w:ascii="Arial" w:hAnsi="Arial" w:cs="Arial"/>
          <w:sz w:val="24"/>
          <w:szCs w:val="24"/>
        </w:rPr>
        <w:t xml:space="preserve"> Nucleocytoplasmic fractionation and Western blot analysis</w:t>
      </w:r>
      <w:r>
        <w:rPr>
          <w:rFonts w:hint="eastAsia" w:ascii="Arial" w:hAnsi="Arial" w:cs="Arial"/>
          <w:sz w:val="24"/>
          <w:szCs w:val="24"/>
        </w:rPr>
        <w:t>(H-J)</w:t>
      </w:r>
      <w:r>
        <w:rPr>
          <w:rFonts w:ascii="Arial" w:hAnsi="Arial" w:cs="Arial"/>
          <w:sz w:val="24"/>
          <w:szCs w:val="24"/>
        </w:rPr>
        <w:t>.</w:t>
      </w:r>
      <w:r>
        <w:rPr>
          <w:rFonts w:hint="eastAsia" w:ascii="Arial" w:hAnsi="Arial" w:cs="Arial"/>
          <w:sz w:val="24"/>
          <w:szCs w:val="24"/>
        </w:rPr>
        <w:t xml:space="preserve"> </w:t>
      </w:r>
    </w:p>
    <w:p w14:paraId="5B0CDA99">
      <w:pPr>
        <w:spacing w:line="360" w:lineRule="auto"/>
        <w:rPr>
          <w:rFonts w:ascii="Arial" w:hAnsi="Arial" w:cs="Arial"/>
          <w:sz w:val="24"/>
          <w:szCs w:val="24"/>
        </w:rPr>
      </w:pPr>
      <w:r>
        <w:rPr>
          <w:rFonts w:ascii="Arial" w:hAnsi="Arial" w:cs="Arial"/>
          <w:sz w:val="24"/>
          <w:szCs w:val="24"/>
        </w:rPr>
        <w:t>(K–M) HeLa cells were treated with AntA (</w:t>
      </w:r>
      <w:r>
        <w:rPr>
          <w:rFonts w:hint="eastAsia" w:ascii="Arial" w:hAnsi="Arial" w:cs="Arial"/>
          <w:sz w:val="24"/>
          <w:szCs w:val="24"/>
        </w:rPr>
        <w:t>1</w:t>
      </w:r>
      <w:r>
        <w:rPr>
          <w:rFonts w:ascii="Arial" w:hAnsi="Arial" w:cs="Arial"/>
          <w:sz w:val="24"/>
          <w:szCs w:val="24"/>
        </w:rPr>
        <w:t>μ</w:t>
      </w:r>
      <w:r>
        <w:rPr>
          <w:rFonts w:hint="eastAsia" w:ascii="Arial" w:hAnsi="Arial" w:cs="Arial"/>
          <w:sz w:val="24"/>
          <w:szCs w:val="24"/>
        </w:rPr>
        <w:t>M</w:t>
      </w:r>
      <w:r>
        <w:rPr>
          <w:rFonts w:ascii="Arial" w:hAnsi="Arial" w:cs="Arial"/>
          <w:sz w:val="24"/>
          <w:szCs w:val="24"/>
        </w:rPr>
        <w:t xml:space="preserve">) for 8 h. (K) IF detection of TFE3 localization. (L) Western blot analysis of AMPK pathway activation (p-AMPK/AMPK). (M) qPCR analysis of </w:t>
      </w:r>
      <w:r>
        <w:rPr>
          <w:rFonts w:ascii="Arial" w:hAnsi="Arial" w:cs="Arial"/>
          <w:i/>
          <w:iCs/>
          <w:sz w:val="24"/>
          <w:szCs w:val="24"/>
        </w:rPr>
        <w:t>SLCO4A1</w:t>
      </w:r>
      <w:r>
        <w:rPr>
          <w:rFonts w:ascii="Arial" w:hAnsi="Arial" w:cs="Arial"/>
          <w:sz w:val="24"/>
          <w:szCs w:val="24"/>
        </w:rPr>
        <w:t xml:space="preserve"> mRNA levels.</w:t>
      </w:r>
    </w:p>
    <w:p w14:paraId="172AFCB9">
      <w:pPr>
        <w:spacing w:line="360" w:lineRule="auto"/>
        <w:rPr>
          <w:rFonts w:ascii="Arial" w:hAnsi="Arial" w:cs="Arial"/>
          <w:sz w:val="24"/>
          <w:szCs w:val="24"/>
        </w:rPr>
      </w:pPr>
      <w:r>
        <w:rPr>
          <w:rFonts w:ascii="Arial" w:hAnsi="Arial" w:cs="Arial"/>
          <w:sz w:val="24"/>
          <w:szCs w:val="24"/>
        </w:rPr>
        <w:t xml:space="preserve">(N–O) Validation in CAL-62 cells. (N) Western blot detection of TFE3 and AMPK activation in CAL-62 cells under normoxia or hypoxia. (O) qPCR analysis of </w:t>
      </w:r>
      <w:r>
        <w:rPr>
          <w:rFonts w:ascii="Arial" w:hAnsi="Arial" w:cs="Arial"/>
          <w:i/>
          <w:iCs/>
          <w:sz w:val="24"/>
          <w:szCs w:val="24"/>
        </w:rPr>
        <w:t>SLCO4A1</w:t>
      </w:r>
      <w:r>
        <w:rPr>
          <w:rFonts w:ascii="Arial" w:hAnsi="Arial" w:cs="Arial"/>
          <w:sz w:val="24"/>
          <w:szCs w:val="24"/>
        </w:rPr>
        <w:t xml:space="preserve"> mRNA expression.</w:t>
      </w:r>
    </w:p>
    <w:p w14:paraId="672DF037">
      <w:pPr>
        <w:spacing w:line="360" w:lineRule="auto"/>
        <w:rPr>
          <w:rFonts w:ascii="Arial" w:hAnsi="Arial" w:cs="Arial"/>
          <w:sz w:val="24"/>
          <w:szCs w:val="24"/>
        </w:rPr>
      </w:pPr>
      <w:r>
        <w:rPr>
          <w:rFonts w:ascii="Arial" w:hAnsi="Arial" w:cs="Arial"/>
          <w:sz w:val="24"/>
          <w:szCs w:val="24"/>
        </w:rPr>
        <w:t>All cultures were supplemented with 10% dialyzed fetal bovine serum.</w:t>
      </w:r>
      <w:r>
        <w:rPr>
          <w:rFonts w:hint="eastAsia" w:ascii="Arial" w:hAnsi="Arial" w:cs="Arial"/>
          <w:sz w:val="24"/>
          <w:szCs w:val="24"/>
        </w:rPr>
        <w:t xml:space="preserve"> </w:t>
      </w:r>
      <w:r>
        <w:rPr>
          <w:rFonts w:ascii="Arial" w:hAnsi="Arial" w:cs="Arial"/>
          <w:sz w:val="24"/>
          <w:szCs w:val="24"/>
        </w:rPr>
        <w:t>Values</w:t>
      </w:r>
      <w:r>
        <w:rPr>
          <w:rFonts w:hint="eastAsia" w:ascii="Arial" w:hAnsi="Arial" w:cs="Arial"/>
          <w:sz w:val="24"/>
          <w:szCs w:val="24"/>
        </w:rPr>
        <w:t xml:space="preserve"> </w:t>
      </w:r>
      <w:r>
        <w:rPr>
          <w:rFonts w:ascii="Arial" w:hAnsi="Arial" w:cs="Arial"/>
          <w:sz w:val="24"/>
          <w:szCs w:val="24"/>
        </w:rPr>
        <w:t>are presented as means ± SD from three independent experiments. **</w:t>
      </w:r>
      <w:r>
        <w:rPr>
          <w:rFonts w:ascii="Arial" w:hAnsi="Arial" w:cs="Arial"/>
          <w:i/>
          <w:iCs/>
          <w:sz w:val="24"/>
          <w:szCs w:val="24"/>
        </w:rPr>
        <w:t>p</w:t>
      </w:r>
      <w:r>
        <w:rPr>
          <w:rFonts w:ascii="Arial" w:hAnsi="Arial" w:cs="Arial"/>
          <w:sz w:val="24"/>
          <w:szCs w:val="24"/>
        </w:rPr>
        <w:t xml:space="preserve"> &lt; 0.01 (Student’s t-test). </w:t>
      </w:r>
    </w:p>
    <w:p w14:paraId="686551DC">
      <w:pPr>
        <w:spacing w:line="360" w:lineRule="auto"/>
        <w:rPr>
          <w:rFonts w:ascii="Arial" w:hAnsi="Arial" w:cs="Arial"/>
          <w:sz w:val="24"/>
          <w:szCs w:val="24"/>
        </w:rPr>
      </w:pPr>
    </w:p>
    <w:p w14:paraId="120243A2">
      <w:pPr>
        <w:spacing w:line="360" w:lineRule="auto"/>
        <w:rPr>
          <w:rFonts w:ascii="Arial" w:hAnsi="Arial" w:cs="Arial"/>
          <w:color w:val="4874CB" w:themeColor="accent1"/>
          <w:sz w:val="24"/>
          <w:szCs w:val="24"/>
          <w14:textFill>
            <w14:solidFill>
              <w14:schemeClr w14:val="accent1"/>
            </w14:solidFill>
          </w14:textFill>
        </w:rPr>
      </w:pPr>
    </w:p>
    <w:p w14:paraId="7BE9681A">
      <w:pPr>
        <w:spacing w:line="360" w:lineRule="auto"/>
        <w:rPr>
          <w:rFonts w:ascii="Arial" w:hAnsi="Arial" w:cs="Arial"/>
          <w:color w:val="4874CB" w:themeColor="accent1"/>
          <w:sz w:val="24"/>
          <w:szCs w:val="24"/>
          <w14:textFill>
            <w14:solidFill>
              <w14:schemeClr w14:val="accent1"/>
            </w14:solidFill>
          </w14:textFill>
        </w:rPr>
      </w:pPr>
    </w:p>
    <w:p w14:paraId="444BADDF">
      <w:pPr>
        <w:spacing w:line="360" w:lineRule="auto"/>
        <w:rPr>
          <w:rFonts w:ascii="Arial" w:hAnsi="Arial" w:cs="Arial"/>
          <w:color w:val="4874CB" w:themeColor="accent1"/>
          <w:sz w:val="24"/>
          <w:szCs w:val="24"/>
          <w14:textFill>
            <w14:solidFill>
              <w14:schemeClr w14:val="accent1"/>
            </w14:solidFill>
          </w14:textFill>
        </w:rPr>
      </w:pPr>
    </w:p>
    <w:p w14:paraId="265A2ABE">
      <w:pPr>
        <w:spacing w:line="360" w:lineRule="auto"/>
        <w:rPr>
          <w:rFonts w:ascii="Arial" w:hAnsi="Arial" w:cs="Arial"/>
          <w:color w:val="4874CB" w:themeColor="accent1"/>
          <w:sz w:val="24"/>
          <w:szCs w:val="24"/>
          <w14:textFill>
            <w14:solidFill>
              <w14:schemeClr w14:val="accent1"/>
            </w14:solidFill>
          </w14:textFill>
        </w:rPr>
      </w:pPr>
    </w:p>
    <w:p w14:paraId="6C266F9F">
      <w:pPr>
        <w:spacing w:line="360" w:lineRule="auto"/>
        <w:rPr>
          <w:rFonts w:ascii="Arial" w:hAnsi="Arial" w:cs="Arial"/>
          <w:color w:val="4874CB" w:themeColor="accent1"/>
          <w:sz w:val="24"/>
          <w:szCs w:val="24"/>
          <w14:textFill>
            <w14:solidFill>
              <w14:schemeClr w14:val="accent1"/>
            </w14:solidFill>
          </w14:textFill>
        </w:rPr>
      </w:pPr>
    </w:p>
    <w:p w14:paraId="1995143C">
      <w:pPr>
        <w:spacing w:line="360" w:lineRule="auto"/>
        <w:rPr>
          <w:rFonts w:ascii="Arial" w:hAnsi="Arial" w:cs="Arial"/>
          <w:color w:val="4874CB" w:themeColor="accent1"/>
          <w:sz w:val="24"/>
          <w:szCs w:val="24"/>
          <w14:textFill>
            <w14:solidFill>
              <w14:schemeClr w14:val="accent1"/>
            </w14:solidFill>
          </w14:textFill>
        </w:rPr>
      </w:pPr>
    </w:p>
    <w:p w14:paraId="073603D0">
      <w:pPr>
        <w:spacing w:line="360" w:lineRule="auto"/>
        <w:rPr>
          <w:rFonts w:ascii="Arial" w:hAnsi="Arial" w:cs="Arial"/>
          <w:color w:val="4874CB" w:themeColor="accent1"/>
          <w:sz w:val="24"/>
          <w:szCs w:val="24"/>
          <w14:textFill>
            <w14:solidFill>
              <w14:schemeClr w14:val="accent1"/>
            </w14:solidFill>
          </w14:textFill>
        </w:rPr>
      </w:pPr>
    </w:p>
    <w:p w14:paraId="3E3CF703">
      <w:pPr>
        <w:spacing w:line="360" w:lineRule="auto"/>
        <w:rPr>
          <w:rFonts w:ascii="Arial" w:hAnsi="Arial" w:cs="Arial"/>
          <w:color w:val="4874CB" w:themeColor="accent1"/>
          <w:sz w:val="24"/>
          <w:szCs w:val="24"/>
          <w14:textFill>
            <w14:solidFill>
              <w14:schemeClr w14:val="accent1"/>
            </w14:solidFill>
          </w14:textFill>
        </w:rPr>
      </w:pPr>
    </w:p>
    <w:p w14:paraId="43DD0DA0">
      <w:pPr>
        <w:spacing w:line="360" w:lineRule="auto"/>
        <w:rPr>
          <w:rFonts w:ascii="Arial" w:hAnsi="Arial" w:cs="Arial"/>
          <w:color w:val="4874CB" w:themeColor="accent1"/>
          <w:sz w:val="24"/>
          <w:szCs w:val="24"/>
          <w14:textFill>
            <w14:solidFill>
              <w14:schemeClr w14:val="accent1"/>
            </w14:solidFill>
          </w14:textFill>
        </w:rPr>
      </w:pPr>
    </w:p>
    <w:p w14:paraId="12607D4F">
      <w:pPr>
        <w:spacing w:line="360" w:lineRule="auto"/>
        <w:rPr>
          <w:rFonts w:ascii="Arial" w:hAnsi="Arial" w:cs="Arial"/>
          <w:color w:val="4874CB" w:themeColor="accent1"/>
          <w:sz w:val="24"/>
          <w:szCs w:val="24"/>
          <w14:textFill>
            <w14:solidFill>
              <w14:schemeClr w14:val="accent1"/>
            </w14:solidFill>
          </w14:textFill>
        </w:rPr>
      </w:pPr>
    </w:p>
    <w:p w14:paraId="1AB3EC6F">
      <w:pPr>
        <w:spacing w:line="360" w:lineRule="auto"/>
        <w:rPr>
          <w:rFonts w:ascii="Arial" w:hAnsi="Arial" w:cs="Arial"/>
          <w:color w:val="4874CB" w:themeColor="accent1"/>
          <w:sz w:val="24"/>
          <w:szCs w:val="24"/>
          <w14:textFill>
            <w14:solidFill>
              <w14:schemeClr w14:val="accent1"/>
            </w14:solidFill>
          </w14:textFill>
        </w:rPr>
      </w:pPr>
    </w:p>
    <w:p w14:paraId="038222AA">
      <w:pPr>
        <w:spacing w:line="360" w:lineRule="auto"/>
        <w:rPr>
          <w:rFonts w:ascii="Arial" w:hAnsi="Arial" w:cs="Arial"/>
          <w:color w:val="4874CB" w:themeColor="accent1"/>
          <w:sz w:val="24"/>
          <w:szCs w:val="24"/>
          <w14:textFill>
            <w14:solidFill>
              <w14:schemeClr w14:val="accent1"/>
            </w14:solidFill>
          </w14:textFill>
        </w:rPr>
      </w:pPr>
      <w:r>
        <w:rPr>
          <w:rFonts w:hint="eastAsia" w:ascii="Arial" w:hAnsi="Arial" w:cs="Arial"/>
          <w:color w:val="4874CB" w:themeColor="accent1"/>
          <w:sz w:val="24"/>
          <w:szCs w:val="24"/>
          <w14:textFill>
            <w14:solidFill>
              <w14:schemeClr w14:val="accent1"/>
            </w14:solidFill>
          </w14:textFill>
        </w:rPr>
        <w:drawing>
          <wp:inline distT="0" distB="0" distL="114300" distR="114300">
            <wp:extent cx="5266690" cy="3972560"/>
            <wp:effectExtent l="0" t="0" r="0" b="0"/>
            <wp:docPr id="6" name="图片 6" descr="Supplementary Figure202602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upplementary Figure20260201_06"/>
                    <pic:cNvPicPr>
                      <a:picLocks noChangeAspect="1"/>
                    </pic:cNvPicPr>
                  </pic:nvPicPr>
                  <pic:blipFill>
                    <a:blip r:embed="rId9"/>
                    <a:srcRect b="32118"/>
                    <a:stretch>
                      <a:fillRect/>
                    </a:stretch>
                  </pic:blipFill>
                  <pic:spPr>
                    <a:xfrm>
                      <a:off x="0" y="0"/>
                      <a:ext cx="5266690" cy="3972560"/>
                    </a:xfrm>
                    <a:prstGeom prst="rect">
                      <a:avLst/>
                    </a:prstGeom>
                  </pic:spPr>
                </pic:pic>
              </a:graphicData>
            </a:graphic>
          </wp:inline>
        </w:drawing>
      </w:r>
    </w:p>
    <w:p w14:paraId="32787A0C">
      <w:pPr>
        <w:spacing w:line="360" w:lineRule="auto"/>
        <w:rPr>
          <w:rFonts w:ascii="Arial" w:hAnsi="Arial" w:cs="Arial"/>
          <w:b/>
          <w:bCs/>
          <w:color w:val="auto"/>
          <w:sz w:val="24"/>
          <w:szCs w:val="24"/>
        </w:rPr>
      </w:pPr>
      <w:r>
        <w:rPr>
          <w:rFonts w:hint="eastAsia" w:ascii="Arial" w:hAnsi="Arial" w:eastAsia="HelveticaNeue-Heavy" w:cs="Arial"/>
          <w:b/>
          <w:bCs/>
          <w:color w:val="auto"/>
          <w:sz w:val="24"/>
          <w:szCs w:val="24"/>
        </w:rPr>
        <w:t xml:space="preserve">Figure </w:t>
      </w:r>
      <w:r>
        <w:rPr>
          <w:rFonts w:hint="eastAsia" w:ascii="Arial" w:hAnsi="Arial" w:eastAsia="宋体" w:cs="Arial"/>
          <w:b/>
          <w:bCs/>
          <w:color w:val="auto"/>
          <w:sz w:val="24"/>
          <w:szCs w:val="24"/>
        </w:rPr>
        <w:t>S</w:t>
      </w:r>
      <w:r>
        <w:rPr>
          <w:rFonts w:hint="eastAsia" w:ascii="Arial" w:hAnsi="Arial" w:cs="Arial"/>
          <w:b/>
          <w:bCs/>
          <w:color w:val="auto"/>
          <w:sz w:val="24"/>
          <w:szCs w:val="24"/>
        </w:rPr>
        <w:t>5</w:t>
      </w:r>
      <w:r>
        <w:rPr>
          <w:rFonts w:hint="eastAsia" w:ascii="Arial" w:hAnsi="Arial" w:eastAsia="HelveticaNeue-Heavy" w:cs="Arial"/>
          <w:b/>
          <w:bCs/>
          <w:color w:val="auto"/>
          <w:sz w:val="24"/>
          <w:szCs w:val="24"/>
        </w:rPr>
        <w:t xml:space="preserve"> </w:t>
      </w:r>
      <w:r>
        <w:rPr>
          <w:rFonts w:ascii="Arial" w:hAnsi="Arial" w:eastAsia="HelveticaNeue-Heavy" w:cs="Arial"/>
          <w:b/>
          <w:bCs/>
          <w:color w:val="auto"/>
          <w:sz w:val="24"/>
          <w:szCs w:val="24"/>
        </w:rPr>
        <w:t xml:space="preserve">Hypoxia Activates AMPK to Promote Nuclear Translocation of TFE3 and Upregulate SLCO4A1 Expression. </w:t>
      </w:r>
    </w:p>
    <w:p w14:paraId="52EEF13B">
      <w:pPr>
        <w:spacing w:line="360" w:lineRule="auto"/>
        <w:rPr>
          <w:rFonts w:ascii="Arial" w:hAnsi="Arial" w:cs="Arial"/>
          <w:sz w:val="24"/>
          <w:szCs w:val="24"/>
        </w:rPr>
      </w:pPr>
      <w:r>
        <w:rPr>
          <w:rFonts w:ascii="Arial" w:hAnsi="Arial" w:cs="Arial"/>
          <w:sz w:val="24"/>
          <w:szCs w:val="24"/>
        </w:rPr>
        <w:t xml:space="preserve">(A) qRT-PCR analysis of </w:t>
      </w:r>
      <w:r>
        <w:rPr>
          <w:rFonts w:ascii="Arial" w:hAnsi="Arial" w:cs="Arial"/>
          <w:i/>
          <w:iCs/>
          <w:sz w:val="24"/>
          <w:szCs w:val="24"/>
        </w:rPr>
        <w:t>MCOLN1</w:t>
      </w:r>
      <w:r>
        <w:rPr>
          <w:rFonts w:ascii="Arial" w:hAnsi="Arial" w:cs="Arial"/>
          <w:sz w:val="24"/>
          <w:szCs w:val="24"/>
        </w:rPr>
        <w:t xml:space="preserve"> mRNA expression levels in HeLa cells transfected with FLAG-TFE3 for 48 h to validate TFE3 transcriptional activity.</w:t>
      </w:r>
    </w:p>
    <w:p w14:paraId="33A93A3A">
      <w:pPr>
        <w:spacing w:line="360" w:lineRule="auto"/>
        <w:rPr>
          <w:rFonts w:ascii="Arial" w:hAnsi="Arial" w:cs="Arial"/>
          <w:sz w:val="24"/>
          <w:szCs w:val="24"/>
        </w:rPr>
      </w:pPr>
      <w:r>
        <w:rPr>
          <w:rFonts w:ascii="Arial" w:hAnsi="Arial" w:cs="Arial"/>
          <w:sz w:val="24"/>
          <w:szCs w:val="24"/>
        </w:rPr>
        <w:t xml:space="preserve">(B) qRT-PCR analysis of </w:t>
      </w:r>
      <w:r>
        <w:rPr>
          <w:rFonts w:ascii="Arial" w:hAnsi="Arial" w:cs="Arial"/>
          <w:i/>
          <w:iCs/>
          <w:sz w:val="24"/>
          <w:szCs w:val="24"/>
        </w:rPr>
        <w:t>MCOLN1</w:t>
      </w:r>
      <w:r>
        <w:rPr>
          <w:rFonts w:ascii="Arial" w:hAnsi="Arial" w:cs="Arial"/>
          <w:sz w:val="24"/>
          <w:szCs w:val="24"/>
        </w:rPr>
        <w:t xml:space="preserve"> mRNA expression levels in HeLa cells cultured under normoxi</w:t>
      </w:r>
      <w:r>
        <w:rPr>
          <w:rFonts w:hint="eastAsia" w:ascii="Arial" w:hAnsi="Arial" w:cs="Arial"/>
          <w:sz w:val="24"/>
          <w:szCs w:val="24"/>
        </w:rPr>
        <w:t>a</w:t>
      </w:r>
      <w:r>
        <w:rPr>
          <w:rFonts w:ascii="Arial" w:hAnsi="Arial" w:cs="Arial"/>
          <w:sz w:val="24"/>
          <w:szCs w:val="24"/>
        </w:rPr>
        <w:t xml:space="preserve"> or hypoxi</w:t>
      </w:r>
      <w:r>
        <w:rPr>
          <w:rFonts w:hint="eastAsia" w:ascii="Arial" w:hAnsi="Arial" w:cs="Arial"/>
          <w:sz w:val="24"/>
          <w:szCs w:val="24"/>
        </w:rPr>
        <w:t>a</w:t>
      </w:r>
      <w:r>
        <w:rPr>
          <w:rFonts w:ascii="Arial" w:hAnsi="Arial" w:cs="Arial"/>
          <w:sz w:val="24"/>
          <w:szCs w:val="24"/>
        </w:rPr>
        <w:t xml:space="preserve"> (</w:t>
      </w:r>
      <w:r>
        <w:rPr>
          <w:rFonts w:hint="eastAsia" w:ascii="Arial" w:hAnsi="Arial" w:cs="Arial"/>
          <w:sz w:val="24"/>
          <w:szCs w:val="24"/>
        </w:rPr>
        <w:t>1% O</w:t>
      </w:r>
      <w:r>
        <w:rPr>
          <w:rFonts w:hint="eastAsia" w:ascii="Arial" w:hAnsi="Arial" w:cs="Arial"/>
          <w:sz w:val="24"/>
          <w:szCs w:val="24"/>
          <w:vertAlign w:val="subscript"/>
        </w:rPr>
        <w:t>2</w:t>
      </w:r>
      <w:r>
        <w:rPr>
          <w:rFonts w:ascii="Arial" w:hAnsi="Arial" w:cs="Arial"/>
          <w:sz w:val="24"/>
          <w:szCs w:val="24"/>
        </w:rPr>
        <w:t>) for 24 h.</w:t>
      </w:r>
    </w:p>
    <w:p w14:paraId="7E2B9C15">
      <w:pPr>
        <w:spacing w:line="360" w:lineRule="auto"/>
        <w:rPr>
          <w:rFonts w:ascii="Arial" w:hAnsi="Arial" w:cs="Arial"/>
          <w:sz w:val="24"/>
          <w:szCs w:val="24"/>
        </w:rPr>
      </w:pPr>
      <w:r>
        <w:rPr>
          <w:rFonts w:ascii="Arial" w:hAnsi="Arial" w:cs="Arial"/>
          <w:sz w:val="24"/>
          <w:szCs w:val="24"/>
        </w:rPr>
        <w:t>(C–D) HeLa and MCF-7 cells were transiently transfected with FLAG-TFE3 for 36 h, followed by treatment with or without the AMPK inhibitor Compound C (</w:t>
      </w:r>
      <w:r>
        <w:rPr>
          <w:rFonts w:hint="eastAsia" w:ascii="Arial" w:hAnsi="Arial" w:cs="Arial"/>
          <w:sz w:val="24"/>
          <w:szCs w:val="24"/>
        </w:rPr>
        <w:t xml:space="preserve">25 </w:t>
      </w:r>
      <w:r>
        <w:rPr>
          <w:rFonts w:ascii="Arial" w:hAnsi="Arial" w:cs="Arial"/>
          <w:sz w:val="24"/>
          <w:szCs w:val="24"/>
        </w:rPr>
        <w:t>μM) under normoxi</w:t>
      </w:r>
      <w:r>
        <w:rPr>
          <w:rFonts w:hint="eastAsia" w:ascii="Arial" w:hAnsi="Arial" w:cs="Arial"/>
          <w:sz w:val="24"/>
          <w:szCs w:val="24"/>
        </w:rPr>
        <w:t>a</w:t>
      </w:r>
      <w:r>
        <w:rPr>
          <w:rFonts w:ascii="Arial" w:hAnsi="Arial" w:cs="Arial"/>
          <w:sz w:val="24"/>
          <w:szCs w:val="24"/>
        </w:rPr>
        <w:t xml:space="preserve"> or hypoxi</w:t>
      </w:r>
      <w:r>
        <w:rPr>
          <w:rFonts w:hint="eastAsia" w:ascii="Arial" w:hAnsi="Arial" w:cs="Arial"/>
          <w:sz w:val="24"/>
          <w:szCs w:val="24"/>
        </w:rPr>
        <w:t>a</w:t>
      </w:r>
      <w:r>
        <w:rPr>
          <w:rFonts w:ascii="Arial" w:hAnsi="Arial" w:cs="Arial"/>
          <w:sz w:val="24"/>
          <w:szCs w:val="24"/>
        </w:rPr>
        <w:t xml:space="preserve"> for an additional 24 h. Subcellular localization of TFE3 was evaluated by IF staining and confocal microscopy.</w:t>
      </w:r>
    </w:p>
    <w:p w14:paraId="6A0FC9BD">
      <w:pPr>
        <w:spacing w:line="360" w:lineRule="auto"/>
        <w:rPr>
          <w:rFonts w:ascii="Arial" w:hAnsi="Arial" w:cs="Arial"/>
          <w:sz w:val="24"/>
          <w:szCs w:val="24"/>
        </w:rPr>
      </w:pPr>
      <w:r>
        <w:rPr>
          <w:rFonts w:ascii="Arial" w:hAnsi="Arial" w:cs="Arial"/>
          <w:sz w:val="24"/>
          <w:szCs w:val="24"/>
        </w:rPr>
        <w:t xml:space="preserve">(E) Transcriptomic analysis of </w:t>
      </w:r>
      <w:r>
        <w:rPr>
          <w:rFonts w:ascii="Arial" w:hAnsi="Arial" w:cs="Arial"/>
          <w:i/>
          <w:iCs/>
          <w:sz w:val="24"/>
          <w:szCs w:val="24"/>
        </w:rPr>
        <w:t>FLCN</w:t>
      </w:r>
      <w:r>
        <w:rPr>
          <w:rFonts w:ascii="Arial" w:hAnsi="Arial" w:cs="Arial"/>
          <w:sz w:val="24"/>
          <w:szCs w:val="24"/>
        </w:rPr>
        <w:t xml:space="preserve"> mRNA expression levels in HeLa cells cultured under normoxi</w:t>
      </w:r>
      <w:r>
        <w:rPr>
          <w:rFonts w:hint="eastAsia" w:ascii="Arial" w:hAnsi="Arial" w:cs="Arial"/>
          <w:sz w:val="24"/>
          <w:szCs w:val="24"/>
        </w:rPr>
        <w:t>a</w:t>
      </w:r>
      <w:r>
        <w:rPr>
          <w:rFonts w:ascii="Arial" w:hAnsi="Arial" w:cs="Arial"/>
          <w:sz w:val="24"/>
          <w:szCs w:val="24"/>
        </w:rPr>
        <w:t xml:space="preserve"> or hypoxi</w:t>
      </w:r>
      <w:r>
        <w:rPr>
          <w:rFonts w:hint="eastAsia" w:ascii="Arial" w:hAnsi="Arial" w:cs="Arial"/>
          <w:sz w:val="24"/>
          <w:szCs w:val="24"/>
        </w:rPr>
        <w:t>a</w:t>
      </w:r>
      <w:r>
        <w:rPr>
          <w:rFonts w:ascii="Arial" w:hAnsi="Arial" w:cs="Arial"/>
          <w:sz w:val="24"/>
          <w:szCs w:val="24"/>
        </w:rPr>
        <w:t xml:space="preserve"> for 8 h.</w:t>
      </w:r>
    </w:p>
    <w:p w14:paraId="7ABB3817">
      <w:pPr>
        <w:spacing w:line="360" w:lineRule="auto"/>
        <w:rPr>
          <w:rFonts w:ascii="Arial" w:hAnsi="Arial" w:cs="Arial"/>
          <w:sz w:val="24"/>
          <w:szCs w:val="24"/>
        </w:rPr>
      </w:pPr>
      <w:r>
        <w:rPr>
          <w:rFonts w:ascii="Arial" w:hAnsi="Arial" w:cs="Arial"/>
          <w:sz w:val="24"/>
          <w:szCs w:val="24"/>
        </w:rPr>
        <w:t>All cultures were supplemented with 10% dialyzed fetal bovine serum.</w:t>
      </w:r>
      <w:r>
        <w:rPr>
          <w:rFonts w:hint="eastAsia" w:ascii="Arial" w:hAnsi="Arial" w:cs="Arial"/>
          <w:sz w:val="24"/>
          <w:szCs w:val="24"/>
        </w:rPr>
        <w:t xml:space="preserve"> </w:t>
      </w:r>
      <w:r>
        <w:rPr>
          <w:rFonts w:ascii="Arial" w:hAnsi="Arial" w:cs="Arial"/>
          <w:sz w:val="24"/>
          <w:szCs w:val="24"/>
        </w:rPr>
        <w:t>Values are presented as means ± SD from three independent experiments. **</w:t>
      </w:r>
      <w:r>
        <w:rPr>
          <w:rFonts w:ascii="Arial" w:hAnsi="Arial" w:cs="Arial"/>
          <w:i/>
          <w:iCs/>
          <w:sz w:val="24"/>
          <w:szCs w:val="24"/>
        </w:rPr>
        <w:t>p</w:t>
      </w:r>
      <w:r>
        <w:rPr>
          <w:rFonts w:ascii="Arial" w:hAnsi="Arial" w:cs="Arial"/>
          <w:sz w:val="24"/>
          <w:szCs w:val="24"/>
        </w:rPr>
        <w:t xml:space="preserve"> &lt; 0.01 (Student’s t-test). </w:t>
      </w:r>
    </w:p>
    <w:p w14:paraId="7B63C1CA">
      <w:pPr>
        <w:spacing w:line="360" w:lineRule="auto"/>
        <w:rPr>
          <w:rFonts w:ascii="Arial" w:hAnsi="Arial" w:cs="Arial"/>
          <w:b/>
          <w:bCs/>
          <w:sz w:val="24"/>
          <w:szCs w:val="24"/>
        </w:rPr>
      </w:pPr>
    </w:p>
    <w:p w14:paraId="3D0E50E7">
      <w:pPr>
        <w:spacing w:line="360" w:lineRule="auto"/>
        <w:rPr>
          <w:rFonts w:ascii="Arial" w:hAnsi="Arial" w:eastAsia="宋体" w:cs="Arial"/>
          <w:b/>
          <w:bCs/>
          <w:color w:val="AB4B4B"/>
          <w:sz w:val="24"/>
          <w:szCs w:val="24"/>
        </w:rPr>
      </w:pPr>
      <w:r>
        <w:rPr>
          <w:rFonts w:hint="eastAsia" w:ascii="Arial" w:hAnsi="Arial" w:eastAsia="宋体" w:cs="Arial"/>
          <w:b/>
          <w:bCs/>
          <w:color w:val="AB4B4B"/>
          <w:sz w:val="24"/>
          <w:szCs w:val="24"/>
        </w:rPr>
        <w:drawing>
          <wp:inline distT="0" distB="0" distL="114300" distR="114300">
            <wp:extent cx="5266690" cy="5852160"/>
            <wp:effectExtent l="0" t="0" r="6350" b="0"/>
            <wp:docPr id="7" name="图片 7" descr="Supplementary Figure202602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pplementary Figure20260201_07"/>
                    <pic:cNvPicPr>
                      <a:picLocks noChangeAspect="1"/>
                    </pic:cNvPicPr>
                  </pic:nvPicPr>
                  <pic:blipFill>
                    <a:blip r:embed="rId10"/>
                    <a:stretch>
                      <a:fillRect/>
                    </a:stretch>
                  </pic:blipFill>
                  <pic:spPr>
                    <a:xfrm>
                      <a:off x="0" y="0"/>
                      <a:ext cx="5266690" cy="5852160"/>
                    </a:xfrm>
                    <a:prstGeom prst="rect">
                      <a:avLst/>
                    </a:prstGeom>
                  </pic:spPr>
                </pic:pic>
              </a:graphicData>
            </a:graphic>
          </wp:inline>
        </w:drawing>
      </w:r>
    </w:p>
    <w:p w14:paraId="694284C2">
      <w:pPr>
        <w:spacing w:line="360" w:lineRule="auto"/>
        <w:rPr>
          <w:rFonts w:ascii="Arial" w:hAnsi="Arial" w:eastAsia="HelveticaNeue-Heavy" w:cs="Arial"/>
          <w:b/>
          <w:bCs/>
          <w:color w:val="auto"/>
          <w:sz w:val="24"/>
          <w:szCs w:val="24"/>
        </w:rPr>
      </w:pPr>
      <w:r>
        <w:rPr>
          <w:rFonts w:hint="eastAsia" w:ascii="Arial" w:hAnsi="Arial" w:eastAsia="HelveticaNeue-Heavy" w:cs="Arial"/>
          <w:b/>
          <w:bCs/>
          <w:color w:val="auto"/>
          <w:sz w:val="24"/>
          <w:szCs w:val="24"/>
        </w:rPr>
        <w:t xml:space="preserve">Figure </w:t>
      </w:r>
      <w:r>
        <w:rPr>
          <w:rFonts w:hint="eastAsia" w:ascii="Arial" w:hAnsi="Arial" w:eastAsia="宋体" w:cs="Arial"/>
          <w:b/>
          <w:bCs/>
          <w:color w:val="auto"/>
          <w:sz w:val="24"/>
          <w:szCs w:val="24"/>
        </w:rPr>
        <w:t>S</w:t>
      </w:r>
      <w:r>
        <w:rPr>
          <w:rFonts w:hint="eastAsia" w:ascii="Arial" w:hAnsi="Arial" w:cs="Arial"/>
          <w:b/>
          <w:bCs/>
          <w:color w:val="auto"/>
          <w:sz w:val="24"/>
          <w:szCs w:val="24"/>
        </w:rPr>
        <w:t>6</w:t>
      </w:r>
      <w:r>
        <w:rPr>
          <w:rFonts w:hint="eastAsia" w:ascii="Arial" w:hAnsi="Arial" w:eastAsia="HelveticaNeue-Heavy" w:cs="Arial"/>
          <w:b/>
          <w:bCs/>
          <w:color w:val="auto"/>
          <w:sz w:val="24"/>
          <w:szCs w:val="24"/>
        </w:rPr>
        <w:t xml:space="preserve"> TFE3 Facilitates Membrane Localization of SLCO4A1 Under Hypoxia. </w:t>
      </w:r>
    </w:p>
    <w:p w14:paraId="37EBF452">
      <w:pPr>
        <w:numPr>
          <w:ilvl w:val="0"/>
          <w:numId w:val="4"/>
        </w:numPr>
        <w:spacing w:line="360" w:lineRule="auto"/>
        <w:rPr>
          <w:rFonts w:ascii="Arial" w:hAnsi="Arial" w:cs="Arial"/>
          <w:sz w:val="24"/>
          <w:szCs w:val="24"/>
        </w:rPr>
      </w:pPr>
      <w:r>
        <w:rPr>
          <w:rFonts w:hint="eastAsia" w:ascii="Arial" w:hAnsi="Arial" w:cs="Arial"/>
          <w:sz w:val="24"/>
          <w:szCs w:val="24"/>
        </w:rPr>
        <w:t xml:space="preserve">Representative immunofluorescence images showing SLCO4A1 localization in HeLa cells cultured for 48 hours under normoxia or hypoxia. </w:t>
      </w:r>
    </w:p>
    <w:p w14:paraId="7208D291">
      <w:pPr>
        <w:spacing w:line="360" w:lineRule="auto"/>
        <w:rPr>
          <w:rFonts w:ascii="Arial" w:hAnsi="Arial" w:cs="Arial"/>
          <w:sz w:val="24"/>
          <w:szCs w:val="24"/>
        </w:rPr>
      </w:pPr>
      <w:r>
        <w:rPr>
          <w:rFonts w:hint="eastAsia" w:ascii="Arial" w:hAnsi="Arial" w:cs="Arial"/>
          <w:sz w:val="24"/>
          <w:szCs w:val="24"/>
        </w:rPr>
        <w:t xml:space="preserve">(B) Immunofluorescence detection of SLCO4A1 localization in HCC-LM3 and MCF-7 cells cultured for 48 hours under normoxia or hypoxia. </w:t>
      </w:r>
    </w:p>
    <w:p w14:paraId="5782EA47">
      <w:pPr>
        <w:spacing w:line="360" w:lineRule="auto"/>
        <w:rPr>
          <w:rFonts w:ascii="Arial" w:hAnsi="Arial" w:cs="Arial"/>
          <w:sz w:val="24"/>
          <w:szCs w:val="24"/>
        </w:rPr>
      </w:pPr>
      <w:r>
        <w:rPr>
          <w:rFonts w:hint="eastAsia" w:ascii="Arial" w:hAnsi="Arial" w:cs="Arial"/>
          <w:sz w:val="24"/>
          <w:szCs w:val="24"/>
        </w:rPr>
        <w:t xml:space="preserve">(C) </w:t>
      </w:r>
      <w:r>
        <w:rPr>
          <w:rFonts w:ascii="Arial" w:hAnsi="Arial" w:cs="Arial"/>
          <w:sz w:val="24"/>
          <w:szCs w:val="24"/>
        </w:rPr>
        <w:t>TFE3 is required for hypoxia-induced SLCO4A1 membrane localization. HeLa cells transfected with control s</w:t>
      </w:r>
      <w:r>
        <w:rPr>
          <w:rFonts w:hint="eastAsia" w:ascii="Arial" w:hAnsi="Arial" w:cs="Arial"/>
          <w:sz w:val="24"/>
          <w:szCs w:val="24"/>
        </w:rPr>
        <w:t>h</w:t>
      </w:r>
      <w:r>
        <w:rPr>
          <w:rFonts w:ascii="Arial" w:hAnsi="Arial" w:cs="Arial"/>
          <w:sz w:val="24"/>
          <w:szCs w:val="24"/>
        </w:rPr>
        <w:t>RNA (</w:t>
      </w:r>
      <w:r>
        <w:rPr>
          <w:rFonts w:hint="eastAsia" w:ascii="Arial" w:hAnsi="Arial" w:cs="Arial"/>
          <w:sz w:val="24"/>
          <w:szCs w:val="24"/>
        </w:rPr>
        <w:t>Scr</w:t>
      </w:r>
      <w:r>
        <w:rPr>
          <w:rFonts w:ascii="Arial" w:hAnsi="Arial" w:cs="Arial"/>
          <w:sz w:val="24"/>
          <w:szCs w:val="24"/>
        </w:rPr>
        <w:t xml:space="preserve">) or </w:t>
      </w:r>
      <w:r>
        <w:rPr>
          <w:rFonts w:hint="eastAsia" w:ascii="Arial" w:hAnsi="Arial" w:cs="Arial"/>
          <w:sz w:val="24"/>
          <w:szCs w:val="24"/>
        </w:rPr>
        <w:t>sh</w:t>
      </w:r>
      <w:r>
        <w:rPr>
          <w:rFonts w:ascii="Arial" w:hAnsi="Arial" w:cs="Arial"/>
          <w:sz w:val="24"/>
          <w:szCs w:val="24"/>
        </w:rPr>
        <w:t>TFE3</w:t>
      </w:r>
      <w:r>
        <w:rPr>
          <w:rFonts w:hint="eastAsia" w:ascii="Arial" w:hAnsi="Arial" w:cs="Arial"/>
          <w:sz w:val="24"/>
          <w:szCs w:val="24"/>
        </w:rPr>
        <w:t xml:space="preserve">-1 </w:t>
      </w:r>
      <w:r>
        <w:rPr>
          <w:rFonts w:ascii="Arial" w:hAnsi="Arial" w:cs="Arial"/>
          <w:sz w:val="24"/>
          <w:szCs w:val="24"/>
        </w:rPr>
        <w:t>were cultured under hypoxia for 48 h, followed by IF staining to assess SLCO4A1 distribution.</w:t>
      </w:r>
    </w:p>
    <w:p w14:paraId="54628B52">
      <w:pPr>
        <w:spacing w:line="360" w:lineRule="auto"/>
        <w:rPr>
          <w:rFonts w:ascii="Arial" w:hAnsi="Arial" w:cs="Arial"/>
          <w:sz w:val="24"/>
          <w:szCs w:val="24"/>
        </w:rPr>
      </w:pPr>
      <w:r>
        <w:rPr>
          <w:rFonts w:hint="eastAsia" w:ascii="Arial" w:hAnsi="Arial" w:cs="Arial"/>
          <w:sz w:val="24"/>
          <w:szCs w:val="24"/>
        </w:rPr>
        <w:t>(D)</w:t>
      </w:r>
      <w:r>
        <w:rPr>
          <w:rFonts w:ascii="Arial" w:hAnsi="Arial" w:cs="Arial"/>
          <w:sz w:val="24"/>
          <w:szCs w:val="24"/>
        </w:rPr>
        <w:t>Transcriptomic analysis of</w:t>
      </w:r>
      <w:r>
        <w:rPr>
          <w:rFonts w:hint="eastAsia" w:ascii="Arial" w:hAnsi="Arial" w:cs="Arial"/>
          <w:sz w:val="24"/>
          <w:szCs w:val="24"/>
        </w:rPr>
        <w:t xml:space="preserve"> </w:t>
      </w:r>
      <w:r>
        <w:rPr>
          <w:rFonts w:hint="eastAsia" w:ascii="Arial" w:hAnsi="Arial" w:cs="Arial"/>
          <w:i/>
          <w:iCs/>
          <w:sz w:val="24"/>
          <w:szCs w:val="24"/>
        </w:rPr>
        <w:t>RAB8A, RAB8B and RAB14</w:t>
      </w:r>
      <w:r>
        <w:rPr>
          <w:rFonts w:ascii="Arial" w:hAnsi="Arial" w:cs="Arial"/>
          <w:sz w:val="24"/>
          <w:szCs w:val="24"/>
        </w:rPr>
        <w:t xml:space="preserve"> mRNA expression levels in HeLa cells cultured under normoxi</w:t>
      </w:r>
      <w:r>
        <w:rPr>
          <w:rFonts w:hint="eastAsia" w:ascii="Arial" w:hAnsi="Arial" w:cs="Arial"/>
          <w:sz w:val="24"/>
          <w:szCs w:val="24"/>
        </w:rPr>
        <w:t>a</w:t>
      </w:r>
      <w:r>
        <w:rPr>
          <w:rFonts w:ascii="Arial" w:hAnsi="Arial" w:cs="Arial"/>
          <w:sz w:val="24"/>
          <w:szCs w:val="24"/>
        </w:rPr>
        <w:t xml:space="preserve"> or hypoxi</w:t>
      </w:r>
      <w:r>
        <w:rPr>
          <w:rFonts w:hint="eastAsia" w:ascii="Arial" w:hAnsi="Arial" w:cs="Arial"/>
          <w:sz w:val="24"/>
          <w:szCs w:val="24"/>
        </w:rPr>
        <w:t>a</w:t>
      </w:r>
      <w:r>
        <w:rPr>
          <w:rFonts w:ascii="Arial" w:hAnsi="Arial" w:cs="Arial"/>
          <w:sz w:val="24"/>
          <w:szCs w:val="24"/>
        </w:rPr>
        <w:t xml:space="preserve"> for 8 h.</w:t>
      </w:r>
      <w:r>
        <w:rPr>
          <w:rFonts w:hint="eastAsia" w:ascii="Arial" w:hAnsi="Arial" w:cs="Arial"/>
          <w:sz w:val="24"/>
          <w:szCs w:val="24"/>
        </w:rPr>
        <w:t xml:space="preserve"> </w:t>
      </w:r>
    </w:p>
    <w:p w14:paraId="6387A759">
      <w:pPr>
        <w:spacing w:line="360" w:lineRule="auto"/>
        <w:rPr>
          <w:rFonts w:ascii="Arial" w:hAnsi="Arial" w:cs="Arial"/>
          <w:sz w:val="24"/>
          <w:szCs w:val="24"/>
        </w:rPr>
      </w:pPr>
      <w:r>
        <w:rPr>
          <w:rFonts w:hint="eastAsia" w:ascii="Arial" w:hAnsi="Arial" w:cs="Arial"/>
          <w:sz w:val="24"/>
          <w:szCs w:val="24"/>
        </w:rPr>
        <w:t>All cultures were supplied with 10% dialyzed serum</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 xml:space="preserve">Values are presented as means ± SD from three independent experiments. </w:t>
      </w:r>
    </w:p>
    <w:p w14:paraId="662BE403">
      <w:pPr>
        <w:spacing w:line="360" w:lineRule="auto"/>
        <w:rPr>
          <w:rFonts w:ascii="Arial" w:hAnsi="Arial" w:cs="Arial"/>
          <w:color w:val="4874CB" w:themeColor="accent1"/>
          <w:sz w:val="24"/>
          <w:szCs w:val="24"/>
          <w14:textFill>
            <w14:solidFill>
              <w14:schemeClr w14:val="accent1"/>
            </w14:solidFill>
          </w14:textFill>
        </w:rPr>
      </w:pPr>
    </w:p>
    <w:p w14:paraId="3CD72965">
      <w:pPr>
        <w:spacing w:line="360" w:lineRule="auto"/>
        <w:rPr>
          <w:rFonts w:ascii="Arial" w:hAnsi="Arial" w:cs="Arial"/>
          <w:sz w:val="24"/>
          <w:szCs w:val="24"/>
        </w:rPr>
      </w:pPr>
    </w:p>
    <w:p w14:paraId="255BED85">
      <w:pPr>
        <w:spacing w:line="360" w:lineRule="auto"/>
        <w:rPr>
          <w:rFonts w:ascii="Arial" w:hAnsi="Arial" w:cs="Arial"/>
          <w:sz w:val="24"/>
          <w:szCs w:val="24"/>
        </w:rPr>
      </w:pPr>
    </w:p>
    <w:p w14:paraId="52B3DB63">
      <w:r>
        <w:rPr>
          <w:rFonts w:hint="eastAsia"/>
        </w:rPr>
        <w:br w:type="page"/>
      </w:r>
    </w:p>
    <w:p w14:paraId="58F43729">
      <w:pPr>
        <w:spacing w:line="360" w:lineRule="auto"/>
        <w:rPr>
          <w:rFonts w:ascii="Arial" w:hAnsi="Arial" w:cs="Arial"/>
          <w:b/>
          <w:bCs/>
          <w:sz w:val="24"/>
          <w:szCs w:val="24"/>
        </w:rPr>
      </w:pPr>
      <w:r>
        <w:rPr>
          <w:rFonts w:hint="eastAsia" w:ascii="Arial" w:hAnsi="Arial" w:cs="Arial"/>
          <w:b/>
          <w:bCs/>
          <w:sz w:val="24"/>
          <w:szCs w:val="24"/>
        </w:rPr>
        <w:drawing>
          <wp:inline distT="0" distB="0" distL="114300" distR="114300">
            <wp:extent cx="5266690" cy="5852160"/>
            <wp:effectExtent l="0" t="0" r="6350" b="0"/>
            <wp:docPr id="8" name="图片 8" descr="Supplementary Figure2026020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pplementary Figure20260201_08"/>
                    <pic:cNvPicPr>
                      <a:picLocks noChangeAspect="1"/>
                    </pic:cNvPicPr>
                  </pic:nvPicPr>
                  <pic:blipFill>
                    <a:blip r:embed="rId11"/>
                    <a:stretch>
                      <a:fillRect/>
                    </a:stretch>
                  </pic:blipFill>
                  <pic:spPr>
                    <a:xfrm>
                      <a:off x="0" y="0"/>
                      <a:ext cx="5266690" cy="5852160"/>
                    </a:xfrm>
                    <a:prstGeom prst="rect">
                      <a:avLst/>
                    </a:prstGeom>
                  </pic:spPr>
                </pic:pic>
              </a:graphicData>
            </a:graphic>
          </wp:inline>
        </w:drawing>
      </w:r>
    </w:p>
    <w:p w14:paraId="2BF503B3">
      <w:pPr>
        <w:spacing w:line="360" w:lineRule="auto"/>
        <w:rPr>
          <w:rFonts w:ascii="Arial" w:hAnsi="Arial" w:eastAsia="HelveticaNeue-Heavy" w:cs="Arial"/>
          <w:b/>
          <w:bCs/>
          <w:color w:val="auto"/>
          <w:sz w:val="24"/>
          <w:szCs w:val="24"/>
        </w:rPr>
      </w:pPr>
      <w:r>
        <w:rPr>
          <w:rFonts w:hint="eastAsia" w:ascii="Arial" w:hAnsi="Arial" w:eastAsia="HelveticaNeue-Heavy" w:cs="Arial"/>
          <w:b/>
          <w:bCs/>
          <w:color w:val="auto"/>
          <w:sz w:val="24"/>
          <w:szCs w:val="24"/>
        </w:rPr>
        <w:t xml:space="preserve">Figure S7 The Oncogenic Role of TFE3 Under Hypoxia Depends on Its Regulation of SLCO4A1. </w:t>
      </w:r>
    </w:p>
    <w:p w14:paraId="719BC1C4">
      <w:pPr>
        <w:numPr>
          <w:ilvl w:val="0"/>
          <w:numId w:val="5"/>
        </w:numPr>
        <w:spacing w:line="360" w:lineRule="auto"/>
        <w:rPr>
          <w:rFonts w:ascii="Arial" w:hAnsi="Arial" w:cs="Arial"/>
          <w:sz w:val="24"/>
          <w:szCs w:val="24"/>
        </w:rPr>
      </w:pPr>
      <w:r>
        <w:rPr>
          <w:rFonts w:hint="eastAsia" w:ascii="Arial" w:hAnsi="Arial" w:cs="Arial"/>
          <w:sz w:val="24"/>
          <w:szCs w:val="24"/>
        </w:rPr>
        <w:t xml:space="preserve">Flow cytometry analysis of EdU-positive cells after culturing Scr, shTFE3, and shTFE3 + SLCO4A1 cell lines under hypoxia for 96 hours. </w:t>
      </w:r>
    </w:p>
    <w:p w14:paraId="7F6570F0">
      <w:pPr>
        <w:spacing w:line="360" w:lineRule="auto"/>
        <w:rPr>
          <w:rFonts w:ascii="Arial" w:hAnsi="Arial" w:cs="Arial"/>
          <w:sz w:val="24"/>
          <w:szCs w:val="24"/>
        </w:rPr>
      </w:pPr>
      <w:r>
        <w:rPr>
          <w:rFonts w:hint="eastAsia" w:ascii="Arial" w:hAnsi="Arial" w:cs="Arial"/>
          <w:sz w:val="24"/>
          <w:szCs w:val="24"/>
        </w:rPr>
        <w:t>(B-C) Prognostic analysis of TFE3 and PRKAA1 (AMP</w:t>
      </w:r>
      <w:r>
        <w:rPr>
          <w:rFonts w:ascii="Arial" w:hAnsi="Arial" w:cs="Arial"/>
          <w:sz w:val="24"/>
          <w:szCs w:val="24"/>
        </w:rPr>
        <w:t>Kα</w:t>
      </w:r>
      <w:r>
        <w:rPr>
          <w:rFonts w:hint="eastAsia" w:ascii="Arial" w:hAnsi="Arial" w:cs="Arial"/>
          <w:sz w:val="24"/>
          <w:szCs w:val="24"/>
        </w:rPr>
        <w:t>) expression in breast, liver, and cervical cancer patients using https://www.kmplot.com/, including overall survival (OS) and relapse-free survival (RFS).</w:t>
      </w:r>
      <w:r>
        <w:rPr>
          <w:rFonts w:ascii="Arial" w:hAnsi="Arial" w:cs="Arial"/>
          <w:sz w:val="24"/>
          <w:szCs w:val="24"/>
        </w:rPr>
        <w:t xml:space="preserve"> </w:t>
      </w:r>
    </w:p>
    <w:p w14:paraId="71AAA763">
      <w:pPr>
        <w:spacing w:line="360" w:lineRule="auto"/>
        <w:rPr>
          <w:rFonts w:ascii="Arial" w:hAnsi="Arial" w:cs="Arial"/>
          <w:sz w:val="24"/>
          <w:szCs w:val="24"/>
        </w:rPr>
      </w:pPr>
      <w:r>
        <w:rPr>
          <w:rFonts w:hint="eastAsia" w:ascii="Arial" w:hAnsi="Arial" w:cs="Arial"/>
          <w:sz w:val="24"/>
          <w:szCs w:val="24"/>
        </w:rPr>
        <w:t xml:space="preserve">All cultures were supplied with 10% dialyzed serum. </w:t>
      </w:r>
      <w:r>
        <w:rPr>
          <w:rFonts w:ascii="Arial" w:hAnsi="Arial" w:cs="Arial"/>
          <w:sz w:val="24"/>
          <w:szCs w:val="24"/>
        </w:rPr>
        <w:t>Values are presented as means ± SD from three independent experiments. **</w:t>
      </w:r>
      <w:r>
        <w:rPr>
          <w:rFonts w:ascii="Arial" w:hAnsi="Arial" w:cs="Arial"/>
          <w:i/>
          <w:iCs/>
          <w:sz w:val="24"/>
          <w:szCs w:val="24"/>
        </w:rPr>
        <w:t>p</w:t>
      </w:r>
      <w:r>
        <w:rPr>
          <w:rFonts w:ascii="Arial" w:hAnsi="Arial" w:cs="Arial"/>
          <w:sz w:val="24"/>
          <w:szCs w:val="24"/>
        </w:rPr>
        <w:t xml:space="preserve"> &lt; 0.01</w:t>
      </w:r>
      <w:r>
        <w:rPr>
          <w:rFonts w:hint="eastAsia" w:ascii="Arial" w:hAnsi="Arial" w:cs="Arial"/>
          <w:sz w:val="24"/>
          <w:szCs w:val="24"/>
        </w:rPr>
        <w:t>; *</w:t>
      </w:r>
      <w:r>
        <w:rPr>
          <w:rFonts w:ascii="Arial" w:hAnsi="Arial" w:cs="Arial"/>
          <w:sz w:val="24"/>
          <w:szCs w:val="24"/>
        </w:rPr>
        <w:t>**</w:t>
      </w:r>
      <w:r>
        <w:rPr>
          <w:rFonts w:ascii="Arial" w:hAnsi="Arial" w:cs="Arial"/>
          <w:i/>
          <w:iCs/>
          <w:sz w:val="24"/>
          <w:szCs w:val="24"/>
        </w:rPr>
        <w:t>p</w:t>
      </w:r>
      <w:r>
        <w:rPr>
          <w:rFonts w:ascii="Arial" w:hAnsi="Arial" w:cs="Arial"/>
          <w:sz w:val="24"/>
          <w:szCs w:val="24"/>
        </w:rPr>
        <w:t xml:space="preserve"> &lt; 0.0</w:t>
      </w:r>
      <w:r>
        <w:rPr>
          <w:rFonts w:hint="eastAsia" w:ascii="Arial" w:hAnsi="Arial" w:cs="Arial"/>
          <w:sz w:val="24"/>
          <w:szCs w:val="24"/>
        </w:rPr>
        <w:t>0</w:t>
      </w:r>
      <w:r>
        <w:rPr>
          <w:rFonts w:ascii="Arial" w:hAnsi="Arial" w:cs="Arial"/>
          <w:sz w:val="24"/>
          <w:szCs w:val="24"/>
        </w:rPr>
        <w:t>1 (</w:t>
      </w:r>
      <w:r>
        <w:rPr>
          <w:rFonts w:hint="eastAsia" w:ascii="Arial" w:hAnsi="Arial" w:cs="Arial"/>
          <w:sz w:val="24"/>
          <w:szCs w:val="24"/>
        </w:rPr>
        <w:t>one-way ANOVA</w:t>
      </w:r>
      <w:r>
        <w:rPr>
          <w:rFonts w:ascii="Arial" w:hAnsi="Arial" w:cs="Arial"/>
          <w:sz w:val="24"/>
          <w:szCs w:val="24"/>
        </w:rPr>
        <w:t>).</w:t>
      </w:r>
    </w:p>
    <w:p w14:paraId="3AE47913">
      <w:pPr>
        <w:rPr>
          <w:rFonts w:ascii="Arial" w:hAnsi="Arial" w:eastAsia="宋体" w:cs="Arial"/>
          <w:b/>
          <w:bCs/>
          <w:color w:val="AB4B4B"/>
          <w:sz w:val="24"/>
          <w:szCs w:val="24"/>
        </w:rPr>
      </w:pPr>
      <w:r>
        <w:rPr>
          <w:rFonts w:hint="eastAsia" w:ascii="Arial" w:hAnsi="Arial" w:eastAsia="宋体" w:cs="Arial"/>
          <w:b/>
          <w:bCs/>
          <w:color w:val="AB4B4B"/>
          <w:sz w:val="24"/>
          <w:szCs w:val="24"/>
        </w:rPr>
        <w:drawing>
          <wp:inline distT="0" distB="0" distL="114300" distR="114300">
            <wp:extent cx="5266690" cy="5852160"/>
            <wp:effectExtent l="0" t="0" r="6350" b="0"/>
            <wp:docPr id="9" name="图片 9" descr="Supplementary Figure2026020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pplementary Figure20260201_09"/>
                    <pic:cNvPicPr>
                      <a:picLocks noChangeAspect="1"/>
                    </pic:cNvPicPr>
                  </pic:nvPicPr>
                  <pic:blipFill>
                    <a:blip r:embed="rId12"/>
                    <a:stretch>
                      <a:fillRect/>
                    </a:stretch>
                  </pic:blipFill>
                  <pic:spPr>
                    <a:xfrm>
                      <a:off x="0" y="0"/>
                      <a:ext cx="5266690" cy="5852160"/>
                    </a:xfrm>
                    <a:prstGeom prst="rect">
                      <a:avLst/>
                    </a:prstGeom>
                  </pic:spPr>
                </pic:pic>
              </a:graphicData>
            </a:graphic>
          </wp:inline>
        </w:drawing>
      </w:r>
    </w:p>
    <w:p w14:paraId="6A05AE55">
      <w:pPr>
        <w:spacing w:line="360" w:lineRule="auto"/>
        <w:rPr>
          <w:rFonts w:ascii="Arial" w:hAnsi="Arial" w:eastAsia="HelveticaNeue-Heavy" w:cs="Arial"/>
          <w:b/>
          <w:bCs/>
          <w:color w:val="auto"/>
          <w:sz w:val="24"/>
          <w:szCs w:val="24"/>
        </w:rPr>
      </w:pPr>
      <w:r>
        <w:rPr>
          <w:rFonts w:hint="eastAsia" w:ascii="Arial" w:hAnsi="Arial" w:eastAsia="HelveticaNeue-Heavy" w:cs="Arial"/>
          <w:b/>
          <w:bCs/>
          <w:color w:val="auto"/>
          <w:sz w:val="24"/>
          <w:szCs w:val="24"/>
        </w:rPr>
        <w:t xml:space="preserve">Figure S8 Under Hypoxia, SLCO4A1 Regulates the Uptake and Secretion of Diverse Metabolites. </w:t>
      </w:r>
    </w:p>
    <w:p w14:paraId="76FDEA50">
      <w:pPr>
        <w:numPr>
          <w:ilvl w:val="0"/>
          <w:numId w:val="6"/>
        </w:numPr>
        <w:spacing w:line="360" w:lineRule="auto"/>
        <w:rPr>
          <w:rFonts w:ascii="Arial" w:hAnsi="Arial" w:cs="Arial"/>
          <w:sz w:val="24"/>
          <w:szCs w:val="24"/>
        </w:rPr>
      </w:pPr>
      <w:r>
        <w:rPr>
          <w:rFonts w:hint="eastAsia" w:ascii="Arial" w:hAnsi="Arial" w:cs="Arial"/>
          <w:sz w:val="24"/>
          <w:szCs w:val="24"/>
        </w:rPr>
        <w:t xml:space="preserve">B) VIP analysis of intracellular metabolites in HeLa/Scr and HeLa/shSLCO4A1-1 cells under normoxia and hypoxia. </w:t>
      </w:r>
    </w:p>
    <w:p w14:paraId="0612ED70">
      <w:pPr>
        <w:spacing w:line="360" w:lineRule="auto"/>
        <w:rPr>
          <w:rFonts w:ascii="Arial" w:hAnsi="Arial" w:cs="Arial"/>
          <w:sz w:val="24"/>
          <w:szCs w:val="24"/>
        </w:rPr>
      </w:pPr>
      <w:r>
        <w:rPr>
          <w:rFonts w:hint="eastAsia" w:ascii="Arial" w:hAnsi="Arial" w:cs="Arial"/>
          <w:sz w:val="24"/>
          <w:szCs w:val="24"/>
        </w:rPr>
        <w:t xml:space="preserve">(C-D) VIP analysis of extracellular metabolites in conditioned media from HeLa/Scr and HeLa/shSLCO4A1-1 cells under normoxic and hypoxic conditions. </w:t>
      </w:r>
    </w:p>
    <w:p w14:paraId="1F2B843B">
      <w:pPr>
        <w:spacing w:line="360" w:lineRule="auto"/>
        <w:rPr>
          <w:rFonts w:ascii="Arial" w:hAnsi="Arial" w:cs="Arial"/>
          <w:sz w:val="24"/>
          <w:szCs w:val="24"/>
        </w:rPr>
      </w:pPr>
      <w:r>
        <w:rPr>
          <w:rFonts w:hint="eastAsia" w:ascii="Arial" w:hAnsi="Arial" w:cs="Arial"/>
          <w:sz w:val="24"/>
          <w:szCs w:val="24"/>
        </w:rPr>
        <w:t>All cultures were supplied with 10% dialyzed serum</w:t>
      </w:r>
      <w:r>
        <w:rPr>
          <w:rFonts w:ascii="Arial" w:hAnsi="Arial" w:cs="Arial"/>
          <w:sz w:val="24"/>
          <w:szCs w:val="24"/>
        </w:rPr>
        <w:t>.</w:t>
      </w:r>
    </w:p>
    <w:p w14:paraId="637C9B28">
      <w:pPr>
        <w:spacing w:line="360" w:lineRule="auto"/>
      </w:pPr>
      <w:r>
        <w:rPr>
          <w:rFonts w:hint="eastAsia"/>
        </w:rPr>
        <w:br w:type="page"/>
      </w:r>
    </w:p>
    <w:p w14:paraId="3E593190">
      <w:pPr>
        <w:spacing w:after="160" w:line="360" w:lineRule="auto"/>
        <w:jc w:val="center"/>
        <w:rPr>
          <w:rFonts w:ascii="Arial" w:hAnsi="Arial" w:eastAsia="宋体" w:cs="Arial"/>
          <w:b/>
          <w:color w:val="000000"/>
          <w:kern w:val="0"/>
          <w:sz w:val="24"/>
          <w:szCs w:val="24"/>
        </w:rPr>
      </w:pPr>
      <w:r>
        <w:rPr>
          <w:rFonts w:hint="eastAsia" w:ascii="Arial" w:hAnsi="Arial" w:eastAsia="宋体" w:cs="Arial"/>
          <w:b/>
          <w:color w:val="000000"/>
          <w:kern w:val="0"/>
          <w:sz w:val="24"/>
          <w:szCs w:val="24"/>
        </w:rPr>
        <w:drawing>
          <wp:inline distT="0" distB="0" distL="114300" distR="114300">
            <wp:extent cx="5266690" cy="5852160"/>
            <wp:effectExtent l="0" t="0" r="6350" b="0"/>
            <wp:docPr id="10" name="图片 10" descr="Supplementary Figure2026020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upplementary Figure20260201_10"/>
                    <pic:cNvPicPr>
                      <a:picLocks noChangeAspect="1"/>
                    </pic:cNvPicPr>
                  </pic:nvPicPr>
                  <pic:blipFill>
                    <a:blip r:embed="rId13"/>
                    <a:stretch>
                      <a:fillRect/>
                    </a:stretch>
                  </pic:blipFill>
                  <pic:spPr>
                    <a:xfrm>
                      <a:off x="0" y="0"/>
                      <a:ext cx="5266690" cy="5852160"/>
                    </a:xfrm>
                    <a:prstGeom prst="rect">
                      <a:avLst/>
                    </a:prstGeom>
                  </pic:spPr>
                </pic:pic>
              </a:graphicData>
            </a:graphic>
          </wp:inline>
        </w:drawing>
      </w:r>
    </w:p>
    <w:p w14:paraId="7ECF2797">
      <w:pPr>
        <w:spacing w:line="360" w:lineRule="auto"/>
        <w:rPr>
          <w:rFonts w:ascii="Arial" w:hAnsi="Arial" w:cs="Arial"/>
          <w:b/>
          <w:bCs/>
          <w:color w:val="auto"/>
          <w:sz w:val="24"/>
          <w:szCs w:val="24"/>
        </w:rPr>
      </w:pPr>
      <w:r>
        <w:rPr>
          <w:rFonts w:hint="eastAsia" w:ascii="Arial" w:hAnsi="Arial" w:eastAsia="HelveticaNeue-Heavy" w:cs="Arial"/>
          <w:b/>
          <w:bCs/>
          <w:color w:val="auto"/>
          <w:sz w:val="24"/>
          <w:szCs w:val="24"/>
        </w:rPr>
        <w:t xml:space="preserve">Figure S9 Xanthine secretion remodels the immune microenvironment. </w:t>
      </w:r>
    </w:p>
    <w:p w14:paraId="6C2EDA97">
      <w:pPr>
        <w:spacing w:line="360" w:lineRule="auto"/>
        <w:rPr>
          <w:rFonts w:ascii="Arial" w:hAnsi="Arial" w:cs="Arial"/>
          <w:sz w:val="24"/>
          <w:szCs w:val="24"/>
        </w:rPr>
      </w:pPr>
      <w:r>
        <w:rPr>
          <w:rFonts w:hint="eastAsia" w:ascii="Arial" w:hAnsi="Arial" w:cs="Arial"/>
          <w:sz w:val="24"/>
          <w:szCs w:val="24"/>
        </w:rPr>
        <w:t>(</w:t>
      </w:r>
      <w:r>
        <w:rPr>
          <w:rFonts w:ascii="Arial" w:hAnsi="Arial" w:cs="Arial"/>
          <w:sz w:val="24"/>
          <w:szCs w:val="24"/>
        </w:rPr>
        <w:t>A) Schematic workflow of the PBMC functional assay. Peripheral blood mononuclear cells (PBMCs) were isolated from healthy donors via centrifugation and washed twice with 1X PBS. Cells (1</w:t>
      </w:r>
      <w:r>
        <w:rPr>
          <w:rFonts w:hint="eastAsia" w:ascii="Arial" w:hAnsi="Arial" w:cs="Arial"/>
          <w:sz w:val="24"/>
          <w:szCs w:val="24"/>
        </w:rPr>
        <w:t xml:space="preserve"> x</w:t>
      </w:r>
      <w:r>
        <w:rPr>
          <w:rFonts w:ascii="Arial" w:hAnsi="Arial" w:cs="Arial"/>
          <w:sz w:val="24"/>
          <w:szCs w:val="24"/>
        </w:rPr>
        <w:t xml:space="preserve"> 10</w:t>
      </w:r>
      <w:r>
        <w:rPr>
          <w:rFonts w:ascii="Arial" w:hAnsi="Arial" w:cs="Arial"/>
          <w:sz w:val="24"/>
          <w:szCs w:val="24"/>
          <w:vertAlign w:val="superscript"/>
        </w:rPr>
        <w:t>6</w:t>
      </w:r>
      <w:r>
        <w:rPr>
          <w:rFonts w:ascii="Arial" w:hAnsi="Arial" w:cs="Arial"/>
          <w:sz w:val="24"/>
          <w:szCs w:val="24"/>
        </w:rPr>
        <w:t xml:space="preserve"> cells/well) were inoculated in 12-well plates using RPMI-1640 medium supplemented with 10% FBS. Following a 48-h co-incubation with various concentrations of xanthosine (0, 10, 50, 100</w:t>
      </w:r>
      <w:r>
        <w:rPr>
          <w:rFonts w:hint="eastAsia" w:ascii="Arial" w:hAnsi="Arial" w:cs="Arial"/>
          <w:sz w:val="24"/>
          <w:szCs w:val="24"/>
        </w:rPr>
        <w:t xml:space="preserve"> </w:t>
      </w:r>
      <w:r>
        <w:rPr>
          <w:rFonts w:ascii="Arial" w:hAnsi="Arial" w:cs="Arial"/>
          <w:sz w:val="24"/>
          <w:szCs w:val="24"/>
        </w:rPr>
        <w:t>μM), cells were stained with fluorescently conjugated antibodies (20 min, room temperature, protected from light) and resuspended for downstream analysis. Supernatants were collected for metabolic profiling.</w:t>
      </w:r>
      <w:r>
        <w:rPr>
          <w:rFonts w:hint="eastAsia" w:ascii="Arial" w:hAnsi="Arial" w:cs="Arial"/>
          <w:sz w:val="24"/>
          <w:szCs w:val="24"/>
        </w:rPr>
        <w:t xml:space="preserve"> </w:t>
      </w:r>
    </w:p>
    <w:p w14:paraId="5C84D41B">
      <w:pPr>
        <w:spacing w:line="360" w:lineRule="auto"/>
        <w:rPr>
          <w:rFonts w:ascii="Arial" w:hAnsi="Arial" w:cs="Arial"/>
          <w:sz w:val="24"/>
          <w:szCs w:val="24"/>
        </w:rPr>
      </w:pPr>
      <w:r>
        <w:rPr>
          <w:rFonts w:hint="eastAsia" w:ascii="Arial" w:hAnsi="Arial" w:cs="Arial"/>
          <w:sz w:val="24"/>
          <w:szCs w:val="24"/>
        </w:rPr>
        <w:t>(B</w:t>
      </w:r>
      <w:r>
        <w:rPr>
          <w:rFonts w:hint="eastAsia" w:ascii="Arial" w:hAnsi="Arial" w:cs="Arial"/>
          <w:sz w:val="24"/>
          <w:szCs w:val="24"/>
          <w:lang w:val="en-US" w:eastAsia="zh-CN"/>
        </w:rPr>
        <w:t>-</w:t>
      </w:r>
      <w:r>
        <w:rPr>
          <w:rFonts w:hint="eastAsia" w:ascii="Arial" w:hAnsi="Arial" w:cs="Arial"/>
          <w:sz w:val="24"/>
          <w:szCs w:val="24"/>
        </w:rPr>
        <w:t>C) PBMCs from healthy donors were treated with different concentrations of xanthosine for 48 h, and the proportion of B, CD8</w:t>
      </w:r>
      <w:r>
        <w:rPr>
          <w:rFonts w:hint="eastAsia" w:ascii="Arial" w:hAnsi="Arial" w:cs="Arial"/>
          <w:sz w:val="24"/>
          <w:szCs w:val="24"/>
          <w:vertAlign w:val="superscript"/>
        </w:rPr>
        <w:t>+</w:t>
      </w:r>
      <w:r>
        <w:rPr>
          <w:rFonts w:hint="eastAsia" w:ascii="Arial" w:hAnsi="Arial" w:cs="Arial"/>
          <w:sz w:val="24"/>
          <w:szCs w:val="24"/>
        </w:rPr>
        <w:t xml:space="preserve"> and CD4</w:t>
      </w:r>
      <w:r>
        <w:rPr>
          <w:rFonts w:hint="eastAsia" w:ascii="Arial" w:hAnsi="Arial" w:cs="Arial"/>
          <w:sz w:val="24"/>
          <w:szCs w:val="24"/>
          <w:vertAlign w:val="superscript"/>
        </w:rPr>
        <w:t>+</w:t>
      </w:r>
      <w:r>
        <w:rPr>
          <w:rFonts w:hint="eastAsia" w:ascii="Arial" w:hAnsi="Arial" w:cs="Arial"/>
          <w:sz w:val="24"/>
          <w:szCs w:val="24"/>
        </w:rPr>
        <w:t xml:space="preserve"> cells were analyzed by flow cytometry.</w:t>
      </w:r>
    </w:p>
    <w:p w14:paraId="6EC9F662">
      <w:pPr>
        <w:spacing w:line="360" w:lineRule="auto"/>
        <w:rPr>
          <w:rFonts w:ascii="Arial" w:hAnsi="Arial" w:cs="Arial"/>
          <w:sz w:val="24"/>
          <w:szCs w:val="24"/>
        </w:rPr>
      </w:pPr>
      <w:r>
        <w:rPr>
          <w:rFonts w:hint="eastAsia" w:ascii="Arial" w:hAnsi="Arial" w:cs="Arial"/>
          <w:sz w:val="24"/>
          <w:szCs w:val="24"/>
        </w:rPr>
        <w:t xml:space="preserve">(D) After 48 h of xanthosine treatment, culture supernatants from PBMCs were collected, and glucose and lactate levels were quantified using </w:t>
      </w:r>
      <w:r>
        <w:rPr>
          <w:rFonts w:ascii="Arial" w:hAnsi="Arial" w:cs="Arial"/>
          <w:sz w:val="24"/>
          <w:szCs w:val="24"/>
        </w:rPr>
        <w:t xml:space="preserve">cobas 701 system </w:t>
      </w:r>
      <w:r>
        <w:rPr>
          <w:rFonts w:hint="eastAsia" w:ascii="Arial" w:hAnsi="Arial" w:cs="Arial"/>
          <w:sz w:val="24"/>
          <w:szCs w:val="24"/>
        </w:rPr>
        <w:t>or</w:t>
      </w:r>
      <w:r>
        <w:rPr>
          <w:rFonts w:ascii="Arial" w:hAnsi="Arial" w:cs="Arial"/>
          <w:sz w:val="24"/>
          <w:szCs w:val="24"/>
        </w:rPr>
        <w:t xml:space="preserve"> VITROS 5600 Integrated System</w:t>
      </w:r>
      <w:r>
        <w:rPr>
          <w:rFonts w:hint="eastAsia" w:ascii="Arial" w:hAnsi="Arial" w:cs="Arial"/>
          <w:sz w:val="24"/>
          <w:szCs w:val="24"/>
        </w:rPr>
        <w:t xml:space="preserve">. </w:t>
      </w:r>
    </w:p>
    <w:p w14:paraId="54FE00FD">
      <w:pPr>
        <w:spacing w:line="360" w:lineRule="auto"/>
        <w:rPr>
          <w:rFonts w:ascii="Arial" w:hAnsi="Arial" w:cs="Arial"/>
          <w:sz w:val="24"/>
          <w:szCs w:val="24"/>
        </w:rPr>
      </w:pPr>
      <w:r>
        <w:rPr>
          <w:rFonts w:hint="eastAsia" w:ascii="Arial" w:hAnsi="Arial" w:cs="Arial"/>
          <w:sz w:val="24"/>
          <w:szCs w:val="24"/>
        </w:rPr>
        <w:t>All cultures were supplied with 10% dialyzed serum</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Values are presented as means ± SD from three independent experiments. *</w:t>
      </w:r>
      <w:r>
        <w:rPr>
          <w:rFonts w:ascii="Arial" w:hAnsi="Arial" w:cs="Arial"/>
          <w:i/>
          <w:iCs/>
          <w:sz w:val="24"/>
          <w:szCs w:val="24"/>
        </w:rPr>
        <w:t>p</w:t>
      </w:r>
      <w:r>
        <w:rPr>
          <w:rFonts w:ascii="Arial" w:hAnsi="Arial" w:cs="Arial"/>
          <w:sz w:val="24"/>
          <w:szCs w:val="24"/>
        </w:rPr>
        <w:t xml:space="preserve"> &lt; 0.0</w:t>
      </w:r>
      <w:r>
        <w:rPr>
          <w:rFonts w:hint="eastAsia" w:ascii="Arial" w:hAnsi="Arial" w:cs="Arial"/>
          <w:sz w:val="24"/>
          <w:szCs w:val="24"/>
        </w:rPr>
        <w:t>5</w:t>
      </w:r>
      <w:r>
        <w:rPr>
          <w:rFonts w:ascii="Arial" w:hAnsi="Arial" w:cs="Arial"/>
          <w:sz w:val="24"/>
          <w:szCs w:val="24"/>
        </w:rPr>
        <w:t xml:space="preserve"> (</w:t>
      </w:r>
      <w:r>
        <w:rPr>
          <w:rFonts w:hint="eastAsia" w:ascii="Arial" w:hAnsi="Arial" w:cs="Arial"/>
          <w:sz w:val="24"/>
          <w:szCs w:val="24"/>
        </w:rPr>
        <w:t>Student</w:t>
      </w:r>
      <w:r>
        <w:rPr>
          <w:rFonts w:ascii="Arial" w:hAnsi="Arial" w:cs="Arial"/>
          <w:sz w:val="24"/>
          <w:szCs w:val="24"/>
        </w:rPr>
        <w:t>’</w:t>
      </w:r>
      <w:r>
        <w:rPr>
          <w:rFonts w:hint="eastAsia" w:ascii="Arial" w:hAnsi="Arial" w:cs="Arial"/>
          <w:sz w:val="24"/>
          <w:szCs w:val="24"/>
        </w:rPr>
        <w:t xml:space="preserve"> s t-test</w:t>
      </w:r>
      <w:r>
        <w:rPr>
          <w:rFonts w:ascii="Arial" w:hAnsi="Arial" w:cs="Arial"/>
          <w:sz w:val="24"/>
          <w:szCs w:val="24"/>
        </w:rPr>
        <w:t>)</w:t>
      </w:r>
    </w:p>
    <w:p w14:paraId="2F78DFA0"/>
    <w:p w14:paraId="2C5F88C5"/>
    <w:p w14:paraId="16899A8C"/>
    <w:p w14:paraId="268F41C7"/>
    <w:p w14:paraId="5255EB4A"/>
    <w:p w14:paraId="69B43AC6"/>
    <w:p w14:paraId="1F09D715"/>
    <w:p w14:paraId="57F5E507"/>
    <w:p w14:paraId="767904BC"/>
    <w:p w14:paraId="6B59457E"/>
    <w:p w14:paraId="58138DBE"/>
    <w:p w14:paraId="675BF199"/>
    <w:p w14:paraId="213BC869"/>
    <w:p w14:paraId="22E959A3"/>
    <w:p w14:paraId="15B0E68A"/>
    <w:p w14:paraId="26E6FF23"/>
    <w:p w14:paraId="75EED360"/>
    <w:p w14:paraId="5D4CE402"/>
    <w:p w14:paraId="0853CF68"/>
    <w:p w14:paraId="01CB220A"/>
    <w:p w14:paraId="4B2C4848"/>
    <w:p w14:paraId="66D325AF"/>
    <w:p w14:paraId="7E95A40A"/>
    <w:p w14:paraId="4D47A83C"/>
    <w:p w14:paraId="1B942A09"/>
    <w:p w14:paraId="69BB3502"/>
    <w:p w14:paraId="2A0F3BCE"/>
    <w:p w14:paraId="3BBB449F"/>
    <w:p w14:paraId="4CD6FD50"/>
    <w:p w14:paraId="76EA4BEB"/>
    <w:p w14:paraId="6F66FFAF"/>
    <w:p w14:paraId="09C020FC"/>
    <w:p w14:paraId="409EB40C">
      <w:pPr>
        <w:spacing w:line="360" w:lineRule="auto"/>
        <w:rPr>
          <w:rFonts w:ascii="Arial" w:hAnsi="Arial" w:cs="Arial"/>
          <w:b/>
          <w:bCs/>
          <w:color w:val="auto"/>
          <w:sz w:val="24"/>
          <w:szCs w:val="24"/>
        </w:rPr>
      </w:pPr>
      <w:r>
        <w:rPr>
          <w:color w:val="auto"/>
        </w:rPr>
        <w:drawing>
          <wp:anchor distT="0" distB="0" distL="114300" distR="114300" simplePos="0" relativeHeight="251659264" behindDoc="0" locked="0" layoutInCell="1" allowOverlap="1">
            <wp:simplePos x="0" y="0"/>
            <wp:positionH relativeFrom="margin">
              <wp:align>left</wp:align>
            </wp:positionH>
            <wp:positionV relativeFrom="paragraph">
              <wp:posOffset>97155</wp:posOffset>
            </wp:positionV>
            <wp:extent cx="5219700" cy="4323715"/>
            <wp:effectExtent l="0" t="0" r="0" b="0"/>
            <wp:wrapTopAndBottom/>
            <wp:docPr id="8744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3749"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20000" cy="4323600"/>
                    </a:xfrm>
                    <a:prstGeom prst="rect">
                      <a:avLst/>
                    </a:prstGeom>
                    <a:noFill/>
                  </pic:spPr>
                </pic:pic>
              </a:graphicData>
            </a:graphic>
          </wp:anchor>
        </w:drawing>
      </w:r>
      <w:r>
        <w:rPr>
          <w:rFonts w:hint="eastAsia" w:ascii="Arial" w:hAnsi="Arial" w:eastAsia="HelveticaNeue-Heavy" w:cs="Arial"/>
          <w:b/>
          <w:bCs/>
          <w:color w:val="auto"/>
          <w:sz w:val="24"/>
          <w:szCs w:val="24"/>
        </w:rPr>
        <w:t>Figure S</w:t>
      </w:r>
      <w:r>
        <w:rPr>
          <w:rFonts w:hint="eastAsia" w:ascii="Arial" w:hAnsi="Arial" w:cs="Arial"/>
          <w:b/>
          <w:bCs/>
          <w:color w:val="auto"/>
          <w:sz w:val="24"/>
          <w:szCs w:val="24"/>
        </w:rPr>
        <w:t>10</w:t>
      </w:r>
      <w:r>
        <w:rPr>
          <w:rFonts w:hint="eastAsia" w:ascii="Arial" w:hAnsi="Arial" w:eastAsia="HelveticaNeue-Heavy" w:cs="Arial"/>
          <w:b/>
          <w:bCs/>
          <w:color w:val="auto"/>
          <w:sz w:val="24"/>
          <w:szCs w:val="24"/>
        </w:rPr>
        <w:t xml:space="preserve"> </w:t>
      </w:r>
      <w:r>
        <w:rPr>
          <w:rFonts w:ascii="Arial" w:hAnsi="Arial" w:eastAsia="HelveticaNeue-Heavy" w:cs="Arial"/>
          <w:b/>
          <w:bCs/>
          <w:color w:val="auto"/>
          <w:sz w:val="24"/>
          <w:szCs w:val="24"/>
        </w:rPr>
        <w:t>S</w:t>
      </w:r>
      <w:r>
        <w:rPr>
          <w:rFonts w:hint="eastAsia" w:ascii="Arial" w:hAnsi="Arial" w:eastAsia="宋体" w:cs="Arial"/>
          <w:b/>
          <w:bCs/>
          <w:color w:val="auto"/>
          <w:sz w:val="24"/>
          <w:szCs w:val="24"/>
          <w:lang w:val="en-US" w:eastAsia="zh-CN"/>
        </w:rPr>
        <w:t>lco4a</w:t>
      </w:r>
      <w:r>
        <w:rPr>
          <w:rFonts w:ascii="Arial" w:hAnsi="Arial" w:eastAsia="HelveticaNeue-Heavy" w:cs="Arial"/>
          <w:b/>
          <w:bCs/>
          <w:color w:val="auto"/>
          <w:sz w:val="24"/>
          <w:szCs w:val="24"/>
        </w:rPr>
        <w:t>1-Mediated Xanthosine Export Suppresses NK Cell Function and Promotes Immune Evasion</w:t>
      </w:r>
      <w:r>
        <w:rPr>
          <w:rFonts w:hint="eastAsia" w:ascii="Arial" w:hAnsi="Arial" w:cs="Arial"/>
          <w:b/>
          <w:bCs/>
          <w:color w:val="auto"/>
          <w:sz w:val="24"/>
          <w:szCs w:val="24"/>
        </w:rPr>
        <w:t xml:space="preserve">. </w:t>
      </w:r>
    </w:p>
    <w:p w14:paraId="02BE7DCD">
      <w:pPr>
        <w:spacing w:line="360" w:lineRule="auto"/>
        <w:rPr>
          <w:rFonts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14:textFill>
            <w14:solidFill>
              <w14:schemeClr w14:val="tx1"/>
            </w14:solidFill>
          </w14:textFill>
        </w:rPr>
        <w:t xml:space="preserve">(A) </w:t>
      </w:r>
      <w:r>
        <w:rPr>
          <w:rFonts w:ascii="Arial" w:hAnsi="Arial" w:cs="Arial"/>
          <w:color w:val="000000" w:themeColor="text1"/>
          <w:sz w:val="24"/>
          <w:szCs w:val="24"/>
          <w14:textFill>
            <w14:solidFill>
              <w14:schemeClr w14:val="tx1"/>
            </w14:solidFill>
          </w14:textFill>
        </w:rPr>
        <w:t>Tumor representative images of syngeneic 4T1 breast cancer models in Scr, shS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 xml:space="preserve">1, and </w:t>
      </w:r>
      <w:r>
        <w:rPr>
          <w:rFonts w:hint="eastAsia" w:ascii="Arial" w:hAnsi="Arial" w:cs="Arial"/>
          <w:color w:val="000000" w:themeColor="text1"/>
          <w:sz w:val="24"/>
          <w:szCs w:val="24"/>
          <w:lang w:val="en-US" w:eastAsia="zh-CN"/>
          <w14:textFill>
            <w14:solidFill>
              <w14:schemeClr w14:val="tx1"/>
            </w14:solidFill>
          </w14:textFill>
        </w:rPr>
        <w:t>sh</w:t>
      </w:r>
      <w:r>
        <w:rPr>
          <w:rFonts w:ascii="Arial" w:hAnsi="Arial" w:cs="Arial"/>
          <w:color w:val="000000" w:themeColor="text1"/>
          <w:sz w:val="24"/>
          <w:szCs w:val="24"/>
          <w14:textFill>
            <w14:solidFill>
              <w14:schemeClr w14:val="tx1"/>
            </w14:solidFill>
          </w14:textFill>
        </w:rPr>
        <w:t>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1</w:t>
      </w:r>
      <w:r>
        <w:rPr>
          <w:rFonts w:hint="eastAsia" w:ascii="Arial" w:hAnsi="Arial" w:cs="Arial"/>
          <w:color w:val="000000" w:themeColor="text1"/>
          <w:sz w:val="24"/>
          <w:szCs w:val="24"/>
          <w14:textFill>
            <w14:solidFill>
              <w14:schemeClr w14:val="tx1"/>
            </w14:solidFill>
          </w14:textFill>
        </w:rPr>
        <w:t>+</w:t>
      </w:r>
      <w:r>
        <w:rPr>
          <w:rFonts w:ascii="Arial" w:hAnsi="Arial" w:cs="Arial"/>
          <w:color w:val="000000" w:themeColor="text1"/>
          <w:sz w:val="24"/>
          <w:szCs w:val="24"/>
          <w14:textFill>
            <w14:solidFill>
              <w14:schemeClr w14:val="tx1"/>
            </w14:solidFill>
          </w14:textFill>
        </w:rPr>
        <w:t>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1 groups.</w:t>
      </w:r>
    </w:p>
    <w:p w14:paraId="3ABBC0D7">
      <w:pPr>
        <w:spacing w:line="360" w:lineRule="auto"/>
        <w:rPr>
          <w:rFonts w:hint="eastAsia"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14:textFill>
            <w14:solidFill>
              <w14:schemeClr w14:val="tx1"/>
            </w14:solidFill>
          </w14:textFill>
        </w:rPr>
        <w:t xml:space="preserve">(B) </w:t>
      </w:r>
      <w:r>
        <w:rPr>
          <w:rFonts w:ascii="Arial" w:hAnsi="Arial" w:cs="Arial"/>
          <w:color w:val="000000" w:themeColor="text1"/>
          <w:sz w:val="24"/>
          <w:szCs w:val="24"/>
          <w14:textFill>
            <w14:solidFill>
              <w14:schemeClr w14:val="tx1"/>
            </w14:solidFill>
          </w14:textFill>
        </w:rPr>
        <w:t>Tumor representative images in 4T1 models following T</w:t>
      </w:r>
      <w:r>
        <w:rPr>
          <w:rFonts w:hint="eastAsia" w:ascii="Arial" w:hAnsi="Arial" w:cs="Arial"/>
          <w:color w:val="000000" w:themeColor="text1"/>
          <w:sz w:val="24"/>
          <w:szCs w:val="24"/>
          <w:lang w:val="en-US" w:eastAsia="zh-CN"/>
          <w14:textFill>
            <w14:solidFill>
              <w14:schemeClr w14:val="tx1"/>
            </w14:solidFill>
          </w14:textFill>
        </w:rPr>
        <w:t>fe</w:t>
      </w:r>
      <w:r>
        <w:rPr>
          <w:rFonts w:ascii="Arial" w:hAnsi="Arial" w:cs="Arial"/>
          <w:color w:val="000000" w:themeColor="text1"/>
          <w:sz w:val="24"/>
          <w:szCs w:val="24"/>
          <w14:textFill>
            <w14:solidFill>
              <w14:schemeClr w14:val="tx1"/>
            </w14:solidFill>
          </w14:textFill>
        </w:rPr>
        <w:t>3 depletion with or without 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1 restoration, validating the T</w:t>
      </w:r>
      <w:r>
        <w:rPr>
          <w:rFonts w:hint="eastAsia" w:ascii="Arial" w:hAnsi="Arial" w:cs="Arial"/>
          <w:color w:val="000000" w:themeColor="text1"/>
          <w:sz w:val="24"/>
          <w:szCs w:val="24"/>
          <w:lang w:val="en-US" w:eastAsia="zh-CN"/>
          <w14:textFill>
            <w14:solidFill>
              <w14:schemeClr w14:val="tx1"/>
            </w14:solidFill>
          </w14:textFill>
        </w:rPr>
        <w:t>fe</w:t>
      </w:r>
      <w:r>
        <w:rPr>
          <w:rFonts w:ascii="Arial" w:hAnsi="Arial" w:cs="Arial"/>
          <w:color w:val="000000" w:themeColor="text1"/>
          <w:sz w:val="24"/>
          <w:szCs w:val="24"/>
          <w14:textFill>
            <w14:solidFill>
              <w14:schemeClr w14:val="tx1"/>
            </w14:solidFill>
          </w14:textFill>
        </w:rPr>
        <w:t>3/S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1 regulatory axis.</w:t>
      </w:r>
    </w:p>
    <w:p w14:paraId="773B37E8">
      <w:pPr>
        <w:spacing w:line="360" w:lineRule="auto"/>
        <w:rPr>
          <w:rFonts w:hint="eastAsia"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14:textFill>
            <w14:solidFill>
              <w14:schemeClr w14:val="tx1"/>
            </w14:solidFill>
          </w14:textFill>
        </w:rPr>
        <w:t xml:space="preserve">(C-D) </w:t>
      </w:r>
      <w:r>
        <w:rPr>
          <w:rFonts w:ascii="Arial" w:hAnsi="Arial" w:cs="Arial"/>
          <w:color w:val="000000" w:themeColor="text1"/>
          <w:sz w:val="24"/>
          <w:szCs w:val="24"/>
          <w14:textFill>
            <w14:solidFill>
              <w14:schemeClr w14:val="tx1"/>
            </w14:solidFill>
          </w14:textFill>
        </w:rPr>
        <w:t xml:space="preserve">Flow cytometric quantification of the abundance of tumor-infiltrating NK cells in </w:t>
      </w:r>
      <w:r>
        <w:rPr>
          <w:rFonts w:hint="eastAsia" w:ascii="Arial" w:hAnsi="Arial" w:cs="Arial"/>
          <w:color w:val="000000" w:themeColor="text1"/>
          <w:sz w:val="24"/>
          <w:szCs w:val="24"/>
          <w:lang w:val="en-US" w:eastAsia="zh-CN"/>
          <w14:textFill>
            <w14:solidFill>
              <w14:schemeClr w14:val="tx1"/>
            </w14:solidFill>
          </w14:textFill>
        </w:rPr>
        <w:t>Slco4a</w:t>
      </w:r>
      <w:r>
        <w:rPr>
          <w:rFonts w:ascii="Arial" w:hAnsi="Arial" w:cs="Arial"/>
          <w:color w:val="000000" w:themeColor="text1"/>
          <w:sz w:val="24"/>
          <w:szCs w:val="24"/>
          <w14:textFill>
            <w14:solidFill>
              <w14:schemeClr w14:val="tx1"/>
            </w14:solidFill>
          </w14:textFill>
        </w:rPr>
        <w:t>1-modulated groups (</w:t>
      </w:r>
      <w:r>
        <w:rPr>
          <w:rFonts w:hint="eastAsia" w:ascii="Arial" w:hAnsi="Arial" w:cs="Arial"/>
          <w:color w:val="000000" w:themeColor="text1"/>
          <w:sz w:val="24"/>
          <w:szCs w:val="24"/>
          <w14:textFill>
            <w14:solidFill>
              <w14:schemeClr w14:val="tx1"/>
            </w14:solidFill>
          </w14:textFill>
        </w:rPr>
        <w:t>C</w:t>
      </w:r>
      <w:r>
        <w:rPr>
          <w:rFonts w:ascii="Arial" w:hAnsi="Arial" w:cs="Arial"/>
          <w:color w:val="000000" w:themeColor="text1"/>
          <w:sz w:val="24"/>
          <w:szCs w:val="24"/>
          <w14:textFill>
            <w14:solidFill>
              <w14:schemeClr w14:val="tx1"/>
            </w14:solidFill>
          </w14:textFill>
        </w:rPr>
        <w:t>) and T</w:t>
      </w:r>
      <w:r>
        <w:rPr>
          <w:rFonts w:hint="eastAsia" w:ascii="Arial" w:hAnsi="Arial" w:cs="Arial"/>
          <w:color w:val="000000" w:themeColor="text1"/>
          <w:sz w:val="24"/>
          <w:szCs w:val="24"/>
          <w:lang w:val="en-US" w:eastAsia="zh-CN"/>
          <w14:textFill>
            <w14:solidFill>
              <w14:schemeClr w14:val="tx1"/>
            </w14:solidFill>
          </w14:textFill>
        </w:rPr>
        <w:t>fe</w:t>
      </w:r>
      <w:r>
        <w:rPr>
          <w:rFonts w:ascii="Arial" w:hAnsi="Arial" w:cs="Arial"/>
          <w:color w:val="000000" w:themeColor="text1"/>
          <w:sz w:val="24"/>
          <w:szCs w:val="24"/>
          <w14:textFill>
            <w14:solidFill>
              <w14:schemeClr w14:val="tx1"/>
            </w14:solidFill>
          </w14:textFill>
        </w:rPr>
        <w:t>3/S</w:t>
      </w:r>
      <w:r>
        <w:rPr>
          <w:rFonts w:hint="eastAsia" w:ascii="Arial" w:hAnsi="Arial" w:cs="Arial"/>
          <w:color w:val="000000" w:themeColor="text1"/>
          <w:sz w:val="24"/>
          <w:szCs w:val="24"/>
          <w:lang w:val="en-US" w:eastAsia="zh-CN"/>
          <w14:textFill>
            <w14:solidFill>
              <w14:schemeClr w14:val="tx1"/>
            </w14:solidFill>
          </w14:textFill>
        </w:rPr>
        <w:t>lco4a</w:t>
      </w:r>
      <w:r>
        <w:rPr>
          <w:rFonts w:ascii="Arial" w:hAnsi="Arial" w:cs="Arial"/>
          <w:color w:val="000000" w:themeColor="text1"/>
          <w:sz w:val="24"/>
          <w:szCs w:val="24"/>
          <w14:textFill>
            <w14:solidFill>
              <w14:schemeClr w14:val="tx1"/>
            </w14:solidFill>
          </w14:textFill>
        </w:rPr>
        <w:t>1-modulated groups (</w:t>
      </w:r>
      <w:r>
        <w:rPr>
          <w:rFonts w:hint="eastAsia" w:ascii="Arial" w:hAnsi="Arial" w:cs="Arial"/>
          <w:color w:val="000000" w:themeColor="text1"/>
          <w:sz w:val="24"/>
          <w:szCs w:val="24"/>
          <w14:textFill>
            <w14:solidFill>
              <w14:schemeClr w14:val="tx1"/>
            </w14:solidFill>
          </w14:textFill>
        </w:rPr>
        <w:t>D</w:t>
      </w:r>
      <w:r>
        <w:rPr>
          <w:rFonts w:ascii="Arial" w:hAnsi="Arial" w:cs="Arial"/>
          <w:color w:val="000000" w:themeColor="text1"/>
          <w:sz w:val="24"/>
          <w:szCs w:val="24"/>
          <w14:textFill>
            <w14:solidFill>
              <w14:schemeClr w14:val="tx1"/>
            </w14:solidFill>
          </w14:textFill>
        </w:rPr>
        <w:t>).</w:t>
      </w:r>
    </w:p>
    <w:p w14:paraId="6F860CC9">
      <w:pPr>
        <w:spacing w:line="360" w:lineRule="auto"/>
        <w:rPr>
          <w:rFonts w:hint="eastAsia" w:ascii="Arial" w:hAnsi="Arial" w:cs="Arial"/>
          <w:color w:val="000000" w:themeColor="text1"/>
          <w:sz w:val="24"/>
          <w:szCs w:val="24"/>
          <w14:textFill>
            <w14:solidFill>
              <w14:schemeClr w14:val="tx1"/>
            </w14:solidFill>
          </w14:textFill>
        </w:rPr>
      </w:pPr>
      <w:r>
        <w:rPr>
          <w:rFonts w:hint="eastAsia" w:ascii="Arial" w:hAnsi="Arial" w:cs="Arial"/>
          <w:color w:val="000000" w:themeColor="text1"/>
          <w:sz w:val="24"/>
          <w:szCs w:val="24"/>
          <w14:textFill>
            <w14:solidFill>
              <w14:schemeClr w14:val="tx1"/>
            </w14:solidFill>
          </w14:textFill>
        </w:rPr>
        <w:t>(E-F)</w:t>
      </w:r>
      <w:r>
        <w:rPr>
          <w:rFonts w:hint="eastAsia" w:ascii="Arial" w:hAnsi="Arial" w:eastAsia="HelveticaNeue-Heavy" w:cs="Arial"/>
          <w:color w:val="000000" w:themeColor="text1"/>
          <w:sz w:val="24"/>
          <w:szCs w:val="24"/>
          <w14:textFill>
            <w14:solidFill>
              <w14:schemeClr w14:val="tx1"/>
            </w14:solidFill>
          </w14:textFill>
        </w:rPr>
        <w:t xml:space="preserve"> </w:t>
      </w:r>
      <w:r>
        <w:rPr>
          <w:rFonts w:ascii="Arial" w:hAnsi="Arial" w:cs="Arial"/>
          <w:color w:val="000000" w:themeColor="text1"/>
          <w:sz w:val="24"/>
          <w:szCs w:val="24"/>
          <w14:textFill>
            <w14:solidFill>
              <w14:schemeClr w14:val="tx1"/>
            </w14:solidFill>
          </w14:textFill>
        </w:rPr>
        <w:t>Flow cytometric analysis of the percentage of IFN-γ NK cells within tumor tissues to assess NK cell activation and effector function. (</w:t>
      </w:r>
      <w:r>
        <w:rPr>
          <w:rFonts w:hint="eastAsia" w:ascii="Arial" w:hAnsi="Arial" w:cs="Arial"/>
          <w:color w:val="000000" w:themeColor="text1"/>
          <w:sz w:val="24"/>
          <w:szCs w:val="24"/>
          <w14:textFill>
            <w14:solidFill>
              <w14:schemeClr w14:val="tx1"/>
            </w14:solidFill>
          </w14:textFill>
        </w:rPr>
        <w:t>E</w:t>
      </w:r>
      <w:r>
        <w:rPr>
          <w:rFonts w:ascii="Arial" w:hAnsi="Arial" w:cs="Arial"/>
          <w:color w:val="000000" w:themeColor="text1"/>
          <w:sz w:val="24"/>
          <w:szCs w:val="24"/>
          <w14:textFill>
            <w14:solidFill>
              <w14:schemeClr w14:val="tx1"/>
            </w14:solidFill>
          </w14:textFill>
        </w:rPr>
        <w:t xml:space="preserve">) Comparison between </w:t>
      </w:r>
      <w:r>
        <w:rPr>
          <w:rFonts w:hint="eastAsia" w:ascii="Arial" w:hAnsi="Arial" w:cs="Arial"/>
          <w:color w:val="000000" w:themeColor="text1"/>
          <w:sz w:val="24"/>
          <w:szCs w:val="24"/>
          <w:lang w:val="en-US" w:eastAsia="zh-CN"/>
          <w14:textFill>
            <w14:solidFill>
              <w14:schemeClr w14:val="tx1"/>
            </w14:solidFill>
          </w14:textFill>
        </w:rPr>
        <w:t>Slco4a</w:t>
      </w:r>
      <w:r>
        <w:rPr>
          <w:rFonts w:ascii="Arial" w:hAnsi="Arial" w:cs="Arial"/>
          <w:color w:val="000000" w:themeColor="text1"/>
          <w:sz w:val="24"/>
          <w:szCs w:val="24"/>
          <w14:textFill>
            <w14:solidFill>
              <w14:schemeClr w14:val="tx1"/>
            </w14:solidFill>
          </w14:textFill>
        </w:rPr>
        <w:t>1-knockdown and restoration groups. (</w:t>
      </w:r>
      <w:r>
        <w:rPr>
          <w:rFonts w:hint="eastAsia" w:ascii="Arial" w:hAnsi="Arial" w:cs="Arial"/>
          <w:color w:val="000000" w:themeColor="text1"/>
          <w:sz w:val="24"/>
          <w:szCs w:val="24"/>
          <w14:textFill>
            <w14:solidFill>
              <w14:schemeClr w14:val="tx1"/>
            </w14:solidFill>
          </w14:textFill>
        </w:rPr>
        <w:t>F</w:t>
      </w:r>
      <w:r>
        <w:rPr>
          <w:rFonts w:ascii="Arial" w:hAnsi="Arial" w:cs="Arial"/>
          <w:color w:val="000000" w:themeColor="text1"/>
          <w:sz w:val="24"/>
          <w:szCs w:val="24"/>
          <w14:textFill>
            <w14:solidFill>
              <w14:schemeClr w14:val="tx1"/>
            </w14:solidFill>
          </w14:textFill>
        </w:rPr>
        <w:t>) Comparison between T</w:t>
      </w:r>
      <w:r>
        <w:rPr>
          <w:rFonts w:hint="eastAsia" w:ascii="Arial" w:hAnsi="Arial" w:cs="Arial"/>
          <w:color w:val="000000" w:themeColor="text1"/>
          <w:sz w:val="24"/>
          <w:szCs w:val="24"/>
          <w:lang w:val="en-US" w:eastAsia="zh-CN"/>
          <w14:textFill>
            <w14:solidFill>
              <w14:schemeClr w14:val="tx1"/>
            </w14:solidFill>
          </w14:textFill>
        </w:rPr>
        <w:t>fe</w:t>
      </w:r>
      <w:r>
        <w:rPr>
          <w:rFonts w:ascii="Arial" w:hAnsi="Arial" w:cs="Arial"/>
          <w:color w:val="000000" w:themeColor="text1"/>
          <w:sz w:val="24"/>
          <w:szCs w:val="24"/>
          <w14:textFill>
            <w14:solidFill>
              <w14:schemeClr w14:val="tx1"/>
            </w14:solidFill>
          </w14:textFill>
        </w:rPr>
        <w:t>3-depletion and SLCO4A1-rescue groups.</w:t>
      </w:r>
    </w:p>
    <w:p w14:paraId="7B88D5BE">
      <w:pPr>
        <w:spacing w:line="360" w:lineRule="auto"/>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Values are presented as means ± SD from three independent experiments. *</w:t>
      </w:r>
      <w:r>
        <w:rPr>
          <w:rFonts w:ascii="Arial" w:hAnsi="Arial" w:cs="Arial"/>
          <w:i/>
          <w:iCs/>
          <w:color w:val="000000" w:themeColor="text1"/>
          <w:sz w:val="24"/>
          <w:szCs w:val="24"/>
          <w14:textFill>
            <w14:solidFill>
              <w14:schemeClr w14:val="tx1"/>
            </w14:solidFill>
          </w14:textFill>
        </w:rPr>
        <w:t>p</w:t>
      </w:r>
      <w:r>
        <w:rPr>
          <w:rFonts w:ascii="Arial" w:hAnsi="Arial" w:cs="Arial"/>
          <w:color w:val="000000" w:themeColor="text1"/>
          <w:sz w:val="24"/>
          <w:szCs w:val="24"/>
          <w14:textFill>
            <w14:solidFill>
              <w14:schemeClr w14:val="tx1"/>
            </w14:solidFill>
          </w14:textFill>
        </w:rPr>
        <w:t xml:space="preserve"> &lt; 0.0</w:t>
      </w:r>
      <w:r>
        <w:rPr>
          <w:rFonts w:hint="eastAsia" w:ascii="Arial" w:hAnsi="Arial" w:cs="Arial"/>
          <w:color w:val="000000" w:themeColor="text1"/>
          <w:sz w:val="24"/>
          <w:szCs w:val="24"/>
          <w14:textFill>
            <w14:solidFill>
              <w14:schemeClr w14:val="tx1"/>
            </w14:solidFill>
          </w14:textFill>
        </w:rPr>
        <w:t>5;</w:t>
      </w:r>
      <w:r>
        <w:rPr>
          <w:rFonts w:ascii="Arial" w:hAnsi="Arial" w:cs="Arial"/>
          <w:color w:val="000000" w:themeColor="text1"/>
          <w:sz w:val="24"/>
          <w:szCs w:val="24"/>
          <w14:textFill>
            <w14:solidFill>
              <w14:schemeClr w14:val="tx1"/>
            </w14:solidFill>
          </w14:textFill>
        </w:rPr>
        <w:t xml:space="preserve"> **</w:t>
      </w:r>
      <w:r>
        <w:rPr>
          <w:rFonts w:ascii="Arial" w:hAnsi="Arial" w:cs="Arial"/>
          <w:i/>
          <w:iCs/>
          <w:color w:val="000000" w:themeColor="text1"/>
          <w:sz w:val="24"/>
          <w:szCs w:val="24"/>
          <w14:textFill>
            <w14:solidFill>
              <w14:schemeClr w14:val="tx1"/>
            </w14:solidFill>
          </w14:textFill>
        </w:rPr>
        <w:t>p</w:t>
      </w:r>
      <w:r>
        <w:rPr>
          <w:rFonts w:ascii="Arial" w:hAnsi="Arial" w:cs="Arial"/>
          <w:color w:val="000000" w:themeColor="text1"/>
          <w:sz w:val="24"/>
          <w:szCs w:val="24"/>
          <w14:textFill>
            <w14:solidFill>
              <w14:schemeClr w14:val="tx1"/>
            </w14:solidFill>
          </w14:textFill>
        </w:rPr>
        <w:t xml:space="preserve"> &lt; 0.01</w:t>
      </w:r>
      <w:r>
        <w:rPr>
          <w:rFonts w:hint="eastAsia" w:ascii="Arial" w:hAnsi="Arial" w:cs="Arial"/>
          <w:color w:val="000000" w:themeColor="text1"/>
          <w:sz w:val="24"/>
          <w:szCs w:val="24"/>
          <w14:textFill>
            <w14:solidFill>
              <w14:schemeClr w14:val="tx1"/>
            </w14:solidFill>
          </w14:textFill>
        </w:rPr>
        <w:t>; *</w:t>
      </w:r>
      <w:r>
        <w:rPr>
          <w:rFonts w:ascii="Arial" w:hAnsi="Arial" w:cs="Arial"/>
          <w:color w:val="000000" w:themeColor="text1"/>
          <w:sz w:val="24"/>
          <w:szCs w:val="24"/>
          <w14:textFill>
            <w14:solidFill>
              <w14:schemeClr w14:val="tx1"/>
            </w14:solidFill>
          </w14:textFill>
        </w:rPr>
        <w:t>**</w:t>
      </w:r>
      <w:r>
        <w:rPr>
          <w:rFonts w:ascii="Arial" w:hAnsi="Arial" w:cs="Arial"/>
          <w:i/>
          <w:iCs/>
          <w:color w:val="000000" w:themeColor="text1"/>
          <w:sz w:val="24"/>
          <w:szCs w:val="24"/>
          <w14:textFill>
            <w14:solidFill>
              <w14:schemeClr w14:val="tx1"/>
            </w14:solidFill>
          </w14:textFill>
        </w:rPr>
        <w:t>p</w:t>
      </w:r>
      <w:r>
        <w:rPr>
          <w:rFonts w:ascii="Arial" w:hAnsi="Arial" w:cs="Arial"/>
          <w:color w:val="000000" w:themeColor="text1"/>
          <w:sz w:val="24"/>
          <w:szCs w:val="24"/>
          <w14:textFill>
            <w14:solidFill>
              <w14:schemeClr w14:val="tx1"/>
            </w14:solidFill>
          </w14:textFill>
        </w:rPr>
        <w:t xml:space="preserve"> &lt; 0.0</w:t>
      </w:r>
      <w:r>
        <w:rPr>
          <w:rFonts w:hint="eastAsia" w:ascii="Arial" w:hAnsi="Arial" w:cs="Arial"/>
          <w:color w:val="000000" w:themeColor="text1"/>
          <w:sz w:val="24"/>
          <w:szCs w:val="24"/>
          <w14:textFill>
            <w14:solidFill>
              <w14:schemeClr w14:val="tx1"/>
            </w14:solidFill>
          </w14:textFill>
        </w:rPr>
        <w:t>0</w:t>
      </w:r>
      <w:r>
        <w:rPr>
          <w:rFonts w:ascii="Arial" w:hAnsi="Arial" w:cs="Arial"/>
          <w:color w:val="000000" w:themeColor="text1"/>
          <w:sz w:val="24"/>
          <w:szCs w:val="24"/>
          <w14:textFill>
            <w14:solidFill>
              <w14:schemeClr w14:val="tx1"/>
            </w14:solidFill>
          </w14:textFill>
        </w:rPr>
        <w:t>1 (</w:t>
      </w:r>
      <w:r>
        <w:rPr>
          <w:rFonts w:hint="eastAsia" w:ascii="Arial" w:hAnsi="Arial" w:cs="Arial"/>
          <w:color w:val="000000" w:themeColor="text1"/>
          <w:sz w:val="24"/>
          <w:szCs w:val="24"/>
          <w14:textFill>
            <w14:solidFill>
              <w14:schemeClr w14:val="tx1"/>
            </w14:solidFill>
          </w14:textFill>
        </w:rPr>
        <w:t>Student</w:t>
      </w:r>
      <w:r>
        <w:rPr>
          <w:rFonts w:ascii="Arial" w:hAnsi="Arial" w:cs="Arial"/>
          <w:color w:val="000000" w:themeColor="text1"/>
          <w:sz w:val="24"/>
          <w:szCs w:val="24"/>
          <w14:textFill>
            <w14:solidFill>
              <w14:schemeClr w14:val="tx1"/>
            </w14:solidFill>
          </w14:textFill>
        </w:rPr>
        <w:t>’</w:t>
      </w:r>
      <w:r>
        <w:rPr>
          <w:rFonts w:hint="eastAsia" w:ascii="Arial" w:hAnsi="Arial" w:cs="Arial"/>
          <w:color w:val="000000" w:themeColor="text1"/>
          <w:sz w:val="24"/>
          <w:szCs w:val="24"/>
          <w14:textFill>
            <w14:solidFill>
              <w14:schemeClr w14:val="tx1"/>
            </w14:solidFill>
          </w14:textFill>
        </w:rPr>
        <w:t xml:space="preserve"> s t-test</w:t>
      </w:r>
      <w:r>
        <w:rPr>
          <w:rFonts w:ascii="Arial" w:hAnsi="Arial" w:cs="Arial"/>
          <w:color w:val="000000" w:themeColor="text1"/>
          <w:sz w:val="24"/>
          <w:szCs w:val="24"/>
          <w14:textFill>
            <w14:solidFill>
              <w14:schemeClr w14:val="tx1"/>
            </w14:solidFill>
          </w14:textFill>
        </w:rPr>
        <w:t>).</w:t>
      </w:r>
    </w:p>
    <w:p w14:paraId="10FEAAA5">
      <w:pPr>
        <w:spacing w:after="160" w:line="360" w:lineRule="auto"/>
        <w:jc w:val="both"/>
        <w:rPr>
          <w:rFonts w:hint="default" w:ascii="Arial" w:hAnsi="Arial" w:eastAsia="宋体" w:cs="Arial"/>
          <w:b/>
          <w:bCs w:val="0"/>
          <w:color w:val="000000"/>
          <w:kern w:val="0"/>
          <w:sz w:val="24"/>
          <w:szCs w:val="24"/>
        </w:rPr>
      </w:pPr>
      <w:r>
        <w:rPr>
          <w:rFonts w:hint="default" w:ascii="Arial" w:hAnsi="Arial" w:eastAsia="宋体" w:cs="Arial"/>
          <w:b/>
          <w:bCs w:val="0"/>
          <w:color w:val="000000"/>
          <w:kern w:val="0"/>
          <w:sz w:val="24"/>
          <w:szCs w:val="24"/>
        </w:rPr>
        <w:t xml:space="preserve">Table </w:t>
      </w:r>
      <w:r>
        <w:rPr>
          <w:rFonts w:hint="eastAsia" w:ascii="Arial" w:hAnsi="Arial" w:eastAsia="宋体" w:cs="Arial"/>
          <w:b/>
          <w:bCs w:val="0"/>
          <w:color w:val="000000"/>
          <w:kern w:val="0"/>
          <w:sz w:val="24"/>
          <w:szCs w:val="24"/>
          <w:lang w:val="en-US" w:eastAsia="zh-CN"/>
        </w:rPr>
        <w:t>S</w:t>
      </w:r>
      <w:r>
        <w:rPr>
          <w:rFonts w:hint="default" w:ascii="Arial" w:hAnsi="Arial" w:eastAsia="宋体" w:cs="Arial"/>
          <w:b/>
          <w:bCs w:val="0"/>
          <w:color w:val="000000"/>
          <w:kern w:val="0"/>
          <w:sz w:val="24"/>
          <w:szCs w:val="24"/>
        </w:rPr>
        <w:t>1 shRNAs used in this study</w:t>
      </w:r>
    </w:p>
    <w:tbl>
      <w:tblPr>
        <w:tblStyle w:val="8"/>
        <w:tblW w:w="8629"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8"/>
        <w:gridCol w:w="6021"/>
      </w:tblGrid>
      <w:tr w14:paraId="53D5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tcBorders>
              <w:top w:val="single" w:color="000000" w:sz="4" w:space="0"/>
              <w:left w:val="single" w:color="000000" w:sz="4" w:space="0"/>
              <w:bottom w:val="single" w:color="000000" w:sz="4" w:space="0"/>
              <w:right w:val="single" w:color="000000" w:sz="4" w:space="0"/>
              <w:tl2br w:val="nil"/>
            </w:tcBorders>
            <w:shd w:val="clear" w:color="auto" w:fill="FFFFFF"/>
          </w:tcPr>
          <w:p w14:paraId="721ABDFB">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Targets</w:t>
            </w:r>
          </w:p>
        </w:tc>
        <w:tc>
          <w:tcPr>
            <w:tcW w:w="6021" w:type="dxa"/>
            <w:tcBorders>
              <w:top w:val="single" w:color="000000" w:sz="4" w:space="0"/>
              <w:left w:val="single" w:color="000000" w:sz="4" w:space="0"/>
              <w:bottom w:val="single" w:color="000000" w:sz="4" w:space="0"/>
              <w:right w:val="single" w:color="000000" w:sz="4" w:space="0"/>
            </w:tcBorders>
            <w:shd w:val="clear" w:color="auto" w:fill="FFFFFF"/>
          </w:tcPr>
          <w:p w14:paraId="6CB88D3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sequence (5'-3')</w:t>
            </w:r>
          </w:p>
        </w:tc>
      </w:tr>
      <w:tr w14:paraId="5603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F383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SLCO4A1 (human)</w:t>
            </w:r>
          </w:p>
        </w:tc>
        <w:tc>
          <w:tcPr>
            <w:tcW w:w="6021" w:type="dxa"/>
            <w:tcBorders>
              <w:top w:val="single" w:color="000000" w:sz="4" w:space="0"/>
              <w:left w:val="single" w:color="000000" w:sz="4" w:space="0"/>
              <w:bottom w:val="single" w:color="000000" w:sz="4" w:space="0"/>
              <w:right w:val="single" w:color="000000" w:sz="4" w:space="0"/>
            </w:tcBorders>
            <w:shd w:val="clear" w:color="auto" w:fill="FFFFFF"/>
          </w:tcPr>
          <w:p w14:paraId="6276945B">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#1: GCACTTCAACTTGTCAGAGAA</w:t>
            </w:r>
          </w:p>
          <w:p w14:paraId="6DD6FC05">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#2: GCACTTCAACTTGTCAGAGAA</w:t>
            </w:r>
          </w:p>
        </w:tc>
      </w:tr>
      <w:tr w14:paraId="2D34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191B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TFE3 (human)</w:t>
            </w:r>
          </w:p>
        </w:tc>
        <w:tc>
          <w:tcPr>
            <w:tcW w:w="6021" w:type="dxa"/>
            <w:tcBorders>
              <w:top w:val="single" w:color="000000" w:sz="4" w:space="0"/>
              <w:left w:val="single" w:color="000000" w:sz="4" w:space="0"/>
              <w:bottom w:val="single" w:color="000000" w:sz="4" w:space="0"/>
              <w:right w:val="single" w:color="000000" w:sz="4" w:space="0"/>
            </w:tcBorders>
            <w:shd w:val="clear" w:color="auto" w:fill="FFFFFF"/>
          </w:tcPr>
          <w:p w14:paraId="196CB949">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#1: ATTGTTGCTGACATAGAATTA</w:t>
            </w:r>
          </w:p>
          <w:p w14:paraId="19574041">
            <w:pPr>
              <w:spacing w:after="160" w:line="360" w:lineRule="auto"/>
              <w:jc w:val="center"/>
              <w:rPr>
                <w:rFonts w:hint="default" w:ascii="Arial" w:hAnsi="Arial" w:eastAsia="宋体" w:cs="Arial"/>
                <w:bCs/>
                <w:color w:val="000000"/>
                <w:kern w:val="0"/>
                <w:sz w:val="24"/>
                <w:szCs w:val="24"/>
                <w:u w:val="single"/>
              </w:rPr>
            </w:pPr>
            <w:r>
              <w:rPr>
                <w:rFonts w:hint="default" w:ascii="Arial" w:hAnsi="Arial" w:eastAsia="宋体" w:cs="Arial"/>
                <w:bCs/>
                <w:color w:val="000000"/>
                <w:kern w:val="0"/>
                <w:sz w:val="24"/>
                <w:szCs w:val="24"/>
              </w:rPr>
              <w:t>#2: AGCTTGGAGGAGGGTTGTAAA</w:t>
            </w:r>
          </w:p>
        </w:tc>
      </w:tr>
    </w:tbl>
    <w:p w14:paraId="198D89EC">
      <w:pPr>
        <w:spacing w:after="160" w:line="360" w:lineRule="auto"/>
        <w:jc w:val="both"/>
        <w:rPr>
          <w:rFonts w:hint="default" w:ascii="Arial" w:hAnsi="Arial" w:eastAsia="宋体" w:cs="Arial"/>
          <w:b/>
          <w:bCs w:val="0"/>
          <w:color w:val="000000"/>
          <w:kern w:val="0"/>
          <w:sz w:val="24"/>
          <w:szCs w:val="24"/>
        </w:rPr>
      </w:pPr>
    </w:p>
    <w:p w14:paraId="1A74DCAF">
      <w:pPr>
        <w:rPr>
          <w:rFonts w:hint="default" w:ascii="Arial" w:hAnsi="Arial" w:eastAsia="宋体" w:cs="Arial"/>
          <w:b/>
          <w:bCs w:val="0"/>
          <w:color w:val="000000"/>
          <w:kern w:val="0"/>
          <w:sz w:val="24"/>
          <w:szCs w:val="24"/>
        </w:rPr>
      </w:pPr>
      <w:r>
        <w:rPr>
          <w:rFonts w:hint="default" w:ascii="Arial" w:hAnsi="Arial" w:eastAsia="宋体" w:cs="Arial"/>
          <w:b/>
          <w:bCs w:val="0"/>
          <w:color w:val="000000"/>
          <w:kern w:val="0"/>
          <w:sz w:val="24"/>
          <w:szCs w:val="24"/>
        </w:rPr>
        <w:br w:type="page"/>
      </w:r>
    </w:p>
    <w:p w14:paraId="5CB5F227">
      <w:pPr>
        <w:spacing w:after="160" w:line="360" w:lineRule="auto"/>
        <w:jc w:val="both"/>
        <w:rPr>
          <w:rFonts w:hint="default" w:ascii="Arial" w:hAnsi="Arial" w:eastAsia="宋体" w:cs="Arial"/>
          <w:bCs/>
          <w:color w:val="000000"/>
          <w:kern w:val="0"/>
          <w:sz w:val="24"/>
          <w:szCs w:val="24"/>
        </w:rPr>
      </w:pPr>
      <w:r>
        <w:rPr>
          <w:rFonts w:hint="default" w:ascii="Arial" w:hAnsi="Arial" w:eastAsia="宋体" w:cs="Arial"/>
          <w:b/>
          <w:bCs w:val="0"/>
          <w:color w:val="000000"/>
          <w:kern w:val="0"/>
          <w:sz w:val="24"/>
          <w:szCs w:val="24"/>
        </w:rPr>
        <w:t xml:space="preserve">Table </w:t>
      </w:r>
      <w:r>
        <w:rPr>
          <w:rFonts w:hint="eastAsia" w:ascii="Arial" w:hAnsi="Arial" w:eastAsia="宋体" w:cs="Arial"/>
          <w:b/>
          <w:bCs w:val="0"/>
          <w:color w:val="000000"/>
          <w:kern w:val="0"/>
          <w:sz w:val="24"/>
          <w:szCs w:val="24"/>
          <w:lang w:val="en-US" w:eastAsia="zh-CN"/>
        </w:rPr>
        <w:t>S2</w:t>
      </w:r>
      <w:r>
        <w:rPr>
          <w:rFonts w:hint="default" w:ascii="Arial" w:hAnsi="Arial" w:eastAsia="宋体" w:cs="Arial"/>
          <w:b/>
          <w:bCs w:val="0"/>
          <w:color w:val="000000"/>
          <w:kern w:val="0"/>
          <w:sz w:val="24"/>
          <w:szCs w:val="24"/>
        </w:rPr>
        <w:t xml:space="preserve"> Antibodies</w:t>
      </w:r>
      <w:r>
        <w:rPr>
          <w:rFonts w:hint="default" w:ascii="Arial" w:hAnsi="Arial" w:eastAsia="宋体" w:cs="Arial"/>
          <w:b/>
          <w:bCs w:val="0"/>
          <w:color w:val="000000"/>
          <w:kern w:val="0"/>
          <w:sz w:val="24"/>
          <w:szCs w:val="24"/>
          <w:lang w:val="en-US" w:eastAsia="zh-CN"/>
        </w:rPr>
        <w:t xml:space="preserve"> and chemicals </w:t>
      </w:r>
      <w:r>
        <w:rPr>
          <w:rFonts w:hint="default" w:ascii="Arial" w:hAnsi="Arial" w:eastAsia="宋体" w:cs="Arial"/>
          <w:b/>
          <w:bCs w:val="0"/>
          <w:color w:val="000000"/>
          <w:kern w:val="0"/>
          <w:sz w:val="24"/>
          <w:szCs w:val="24"/>
        </w:rPr>
        <w:t>used in this study</w:t>
      </w:r>
    </w:p>
    <w:tbl>
      <w:tblPr>
        <w:tblStyle w:val="8"/>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2"/>
        <w:gridCol w:w="1391"/>
        <w:gridCol w:w="2658"/>
      </w:tblGrid>
      <w:tr w14:paraId="5A89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7AB2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Antibodies</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2C99125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Application</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0762209A">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Reference</w:t>
            </w:r>
          </w:p>
        </w:tc>
      </w:tr>
      <w:tr w14:paraId="5051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vMerge w:val="restart"/>
            <w:tcBorders>
              <w:top w:val="nil"/>
              <w:left w:val="single" w:color="000000" w:sz="4" w:space="0"/>
              <w:right w:val="single" w:color="000000" w:sz="4" w:space="0"/>
            </w:tcBorders>
            <w:shd w:val="clear" w:color="auto" w:fill="FFFFFF"/>
            <w:vAlign w:val="center"/>
          </w:tcPr>
          <w:p w14:paraId="64D5A5F5">
            <w:pPr>
              <w:spacing w:after="160" w:line="360" w:lineRule="auto"/>
              <w:jc w:val="center"/>
              <w:rPr>
                <w:rFonts w:hint="default" w:ascii="Arial" w:hAnsi="Arial" w:eastAsia="宋体" w:cs="Arial"/>
                <w:bCs/>
                <w:color w:val="000000"/>
                <w:kern w:val="0"/>
                <w:sz w:val="24"/>
                <w:szCs w:val="24"/>
              </w:rPr>
            </w:pPr>
            <w:bookmarkStart w:id="0" w:name="OLE_LINK1"/>
            <w:r>
              <w:rPr>
                <w:rFonts w:hint="default" w:ascii="Arial" w:hAnsi="Arial" w:eastAsia="宋体" w:cs="Arial"/>
                <w:bCs/>
                <w:color w:val="000000"/>
                <w:kern w:val="0"/>
                <w:sz w:val="24"/>
                <w:szCs w:val="24"/>
              </w:rPr>
              <w:t>SLCO4A1</w:t>
            </w:r>
            <w:bookmarkEnd w:id="0"/>
            <w:r>
              <w:rPr>
                <w:rFonts w:hint="default" w:ascii="Arial" w:hAnsi="Arial" w:eastAsia="宋体" w:cs="Arial"/>
                <w:bCs/>
                <w:color w:val="000000"/>
                <w:kern w:val="0"/>
                <w:sz w:val="24"/>
                <w:szCs w:val="24"/>
              </w:rPr>
              <w:t xml:space="preserve">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59630A09">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784E4FE">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Novus Biologicals (NBP2-85772)</w:t>
            </w:r>
          </w:p>
        </w:tc>
      </w:tr>
      <w:tr w14:paraId="09AD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vMerge w:val="continue"/>
            <w:tcBorders>
              <w:left w:val="single" w:color="000000" w:sz="4" w:space="0"/>
              <w:right w:val="single" w:color="000000" w:sz="4" w:space="0"/>
            </w:tcBorders>
            <w:shd w:val="clear" w:color="auto" w:fill="FFFFFF"/>
            <w:vAlign w:val="center"/>
          </w:tcPr>
          <w:p w14:paraId="6CA93CAD">
            <w:pPr>
              <w:spacing w:after="160" w:line="360" w:lineRule="auto"/>
              <w:jc w:val="center"/>
              <w:rPr>
                <w:rFonts w:hint="default" w:ascii="Arial" w:hAnsi="Arial" w:eastAsia="宋体" w:cs="Arial"/>
                <w:bCs/>
                <w:color w:val="000000"/>
                <w:kern w:val="0"/>
                <w:sz w:val="24"/>
                <w:szCs w:val="24"/>
              </w:rPr>
            </w:pP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4436E8C9">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IF</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098D3818">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w:t>
            </w:r>
            <w:r>
              <w:rPr>
                <w:rFonts w:hint="default" w:ascii="Arial" w:hAnsi="Arial" w:eastAsia="宋体" w:cs="Arial"/>
                <w:bCs/>
                <w:color w:val="000000"/>
                <w:kern w:val="0"/>
                <w:sz w:val="24"/>
                <w:szCs w:val="24"/>
                <w:lang w:val="en-US" w:eastAsia="zh-CN"/>
              </w:rPr>
              <w:t>26399-1-AP</w:t>
            </w:r>
            <w:r>
              <w:rPr>
                <w:rFonts w:hint="default" w:ascii="Arial" w:hAnsi="Arial" w:eastAsia="宋体" w:cs="Arial"/>
                <w:bCs/>
                <w:color w:val="000000"/>
                <w:kern w:val="0"/>
                <w:sz w:val="24"/>
                <w:szCs w:val="24"/>
              </w:rPr>
              <w:t>)</w:t>
            </w:r>
          </w:p>
        </w:tc>
      </w:tr>
      <w:tr w14:paraId="2121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left w:val="single" w:color="000000" w:sz="4" w:space="0"/>
              <w:right w:val="single" w:color="000000" w:sz="4" w:space="0"/>
            </w:tcBorders>
            <w:shd w:val="clear" w:color="auto" w:fill="FFFFFF"/>
            <w:vAlign w:val="center"/>
          </w:tcPr>
          <w:p w14:paraId="68948066">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Ki67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3BC582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IHC</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B8DFC9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(27309-1-AP)</w:t>
            </w:r>
          </w:p>
        </w:tc>
      </w:tr>
      <w:tr w14:paraId="585C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left w:val="single" w:color="000000" w:sz="4" w:space="0"/>
              <w:right w:val="single" w:color="000000" w:sz="4" w:space="0"/>
            </w:tcBorders>
            <w:shd w:val="clear" w:color="auto" w:fill="FFFFFF"/>
            <w:vAlign w:val="center"/>
          </w:tcPr>
          <w:p w14:paraId="15605B7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Caspase 3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3D992C7A">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IHC</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384C0B5A">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Santa (sc-7272)</w:t>
            </w:r>
          </w:p>
        </w:tc>
      </w:tr>
      <w:tr w14:paraId="2DB7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left w:val="single" w:color="000000" w:sz="4" w:space="0"/>
              <w:bottom w:val="single" w:color="000000" w:sz="4" w:space="0"/>
              <w:right w:val="single" w:color="000000" w:sz="4" w:space="0"/>
            </w:tcBorders>
            <w:shd w:val="clear" w:color="auto" w:fill="FFFFFF"/>
            <w:vAlign w:val="center"/>
          </w:tcPr>
          <w:p w14:paraId="6A69AD8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TFE3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888438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E94637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Abcam (ab93808)</w:t>
            </w:r>
          </w:p>
        </w:tc>
      </w:tr>
      <w:tr w14:paraId="6875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left w:val="single" w:color="000000" w:sz="4" w:space="0"/>
              <w:bottom w:val="single" w:color="000000" w:sz="4" w:space="0"/>
              <w:right w:val="single" w:color="000000" w:sz="4" w:space="0"/>
            </w:tcBorders>
            <w:shd w:val="clear" w:color="auto" w:fill="FFFFFF"/>
            <w:vAlign w:val="center"/>
          </w:tcPr>
          <w:p w14:paraId="28808C0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lang w:val="en-US" w:eastAsia="zh-CN"/>
              </w:rPr>
              <w:t>p-TFE3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2BA8297">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2915323">
            <w:pPr>
              <w:spacing w:after="160" w:line="360" w:lineRule="auto"/>
              <w:jc w:val="center"/>
              <w:rPr>
                <w:rFonts w:hint="default" w:ascii="Arial" w:hAnsi="Arial" w:eastAsia="宋体" w:cs="Arial"/>
                <w:bCs/>
                <w:color w:val="000000"/>
                <w:kern w:val="0"/>
                <w:sz w:val="24"/>
                <w:szCs w:val="24"/>
                <w:lang w:val="en-US"/>
              </w:rPr>
            </w:pPr>
            <w:r>
              <w:rPr>
                <w:rFonts w:hint="default" w:ascii="Arial" w:hAnsi="Arial" w:eastAsia="宋体" w:cs="Arial"/>
                <w:bCs/>
                <w:color w:val="000000"/>
                <w:kern w:val="0"/>
                <w:sz w:val="24"/>
                <w:szCs w:val="24"/>
                <w:lang w:val="en-US" w:eastAsia="zh-CN"/>
              </w:rPr>
              <w:t>Cell Signaling Technology</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23816</w:t>
            </w:r>
            <w:r>
              <w:rPr>
                <w:rFonts w:hint="eastAsia" w:ascii="Arial" w:hAnsi="Arial" w:eastAsia="宋体" w:cs="Arial"/>
                <w:bCs/>
                <w:color w:val="000000"/>
                <w:kern w:val="0"/>
                <w:sz w:val="24"/>
                <w:szCs w:val="24"/>
                <w:lang w:val="en-US" w:eastAsia="zh-CN"/>
              </w:rPr>
              <w:t>)</w:t>
            </w:r>
          </w:p>
        </w:tc>
      </w:tr>
      <w:tr w14:paraId="4B8C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vMerge w:val="restart"/>
            <w:tcBorders>
              <w:top w:val="nil"/>
              <w:left w:val="single" w:color="000000" w:sz="4" w:space="0"/>
              <w:bottom w:val="single" w:color="auto" w:sz="4" w:space="0"/>
              <w:right w:val="single" w:color="000000" w:sz="4" w:space="0"/>
            </w:tcBorders>
            <w:shd w:val="clear" w:color="auto" w:fill="FFFFFF"/>
            <w:vAlign w:val="center"/>
          </w:tcPr>
          <w:p w14:paraId="029EC21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Flag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4032EB5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7C7C671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(20543-1-AP)</w:t>
            </w:r>
          </w:p>
        </w:tc>
      </w:tr>
      <w:tr w14:paraId="263E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vMerge w:val="continue"/>
            <w:tcBorders>
              <w:top w:val="nil"/>
              <w:left w:val="single" w:color="000000" w:sz="4" w:space="0"/>
              <w:bottom w:val="single" w:color="auto" w:sz="4" w:space="0"/>
              <w:right w:val="single" w:color="000000" w:sz="4" w:space="0"/>
            </w:tcBorders>
            <w:vAlign w:val="center"/>
          </w:tcPr>
          <w:p w14:paraId="6E138B4F">
            <w:pPr>
              <w:spacing w:after="160" w:line="360" w:lineRule="auto"/>
              <w:jc w:val="center"/>
              <w:rPr>
                <w:rFonts w:hint="default" w:ascii="Arial" w:hAnsi="Arial" w:eastAsia="宋体" w:cs="Arial"/>
                <w:bCs/>
                <w:color w:val="000000"/>
                <w:kern w:val="0"/>
                <w:sz w:val="24"/>
                <w:szCs w:val="24"/>
              </w:rPr>
            </w:pP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32077B37">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IF</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640EC8EA">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(20543-1-AP)</w:t>
            </w:r>
          </w:p>
        </w:tc>
      </w:tr>
      <w:tr w14:paraId="0C2E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nil"/>
              <w:left w:val="single" w:color="000000" w:sz="4" w:space="0"/>
              <w:bottom w:val="single" w:color="auto" w:sz="4" w:space="0"/>
              <w:right w:val="single" w:color="000000" w:sz="4" w:space="0"/>
            </w:tcBorders>
            <w:shd w:val="clear" w:color="auto" w:fill="FFFFFF"/>
            <w:vAlign w:val="center"/>
          </w:tcPr>
          <w:p w14:paraId="4E9946B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AMPKα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F3AAC79">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38F78EC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Abcam (ab32047)</w:t>
            </w:r>
          </w:p>
        </w:tc>
      </w:tr>
      <w:tr w14:paraId="44FE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nil"/>
              <w:left w:val="single" w:color="000000" w:sz="4" w:space="0"/>
              <w:bottom w:val="single" w:color="auto" w:sz="4" w:space="0"/>
              <w:right w:val="single" w:color="000000" w:sz="4" w:space="0"/>
            </w:tcBorders>
            <w:vAlign w:val="center"/>
          </w:tcPr>
          <w:p w14:paraId="5F3DF438">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p-AMPKα-T172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2C8B16E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6EFB97E0">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Cell Signaling Technology (Cat#2535S)</w:t>
            </w:r>
          </w:p>
        </w:tc>
      </w:tr>
      <w:tr w14:paraId="4B69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AD4F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GAPDH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6B5C8C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66E3C77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(60004-1-Ig)</w:t>
            </w:r>
          </w:p>
        </w:tc>
      </w:tr>
      <w:tr w14:paraId="1B05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F50C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YY1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2A8B94DA">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7DA413E">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(66281-1-Ig)</w:t>
            </w:r>
          </w:p>
        </w:tc>
      </w:tr>
      <w:tr w14:paraId="600A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D65BC">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lang w:val="en-US" w:eastAsia="zh-CN"/>
              </w:rPr>
              <w:t>Histone H3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77216DE6">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6056ED5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w:t>
            </w:r>
            <w:r>
              <w:rPr>
                <w:rFonts w:hint="default" w:ascii="Arial" w:hAnsi="Arial" w:eastAsia="宋体" w:cs="Arial"/>
                <w:bCs/>
                <w:color w:val="000000"/>
                <w:kern w:val="0"/>
                <w:sz w:val="24"/>
                <w:szCs w:val="24"/>
                <w:lang w:val="en-US" w:eastAsia="zh-CN"/>
              </w:rPr>
              <w:t>17168-1-AP</w:t>
            </w:r>
            <w:r>
              <w:rPr>
                <w:rFonts w:hint="default" w:ascii="Arial" w:hAnsi="Arial" w:eastAsia="宋体" w:cs="Arial"/>
                <w:bCs/>
                <w:color w:val="000000"/>
                <w:kern w:val="0"/>
                <w:sz w:val="24"/>
                <w:szCs w:val="24"/>
              </w:rPr>
              <w:t>)</w:t>
            </w:r>
          </w:p>
        </w:tc>
      </w:tr>
      <w:tr w14:paraId="28BA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F8550">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HIF1α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9350FAB">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33A70011">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Proteintech (20960-1-AP)</w:t>
            </w:r>
          </w:p>
        </w:tc>
      </w:tr>
      <w:tr w14:paraId="293E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CDF50">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lang w:val="en-US" w:eastAsia="zh-CN"/>
              </w:rPr>
              <w:t>NKP46 (mouse)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1D3F67D2">
            <w:pPr>
              <w:spacing w:after="160" w:line="360" w:lineRule="auto"/>
              <w:jc w:val="center"/>
              <w:rPr>
                <w:rFonts w:hint="default" w:ascii="Arial" w:hAnsi="Arial" w:eastAsia="宋体" w:cs="Arial"/>
                <w:bCs/>
                <w:color w:val="000000"/>
                <w:kern w:val="0"/>
                <w:sz w:val="24"/>
                <w:szCs w:val="24"/>
                <w:lang w:val="en-US" w:eastAsia="zh-CN"/>
              </w:rPr>
            </w:pPr>
            <w:r>
              <w:rPr>
                <w:rFonts w:hint="eastAsia" w:ascii="Arial" w:hAnsi="Arial" w:eastAsia="宋体" w:cs="Arial"/>
                <w:bCs/>
                <w:color w:val="000000"/>
                <w:kern w:val="0"/>
                <w:sz w:val="24"/>
                <w:szCs w:val="24"/>
                <w:lang w:val="en-US" w:eastAsia="zh-CN"/>
              </w:rPr>
              <w:t>IF</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51C1638F">
            <w:pPr>
              <w:spacing w:after="160" w:line="360" w:lineRule="auto"/>
              <w:jc w:val="center"/>
              <w:rPr>
                <w:rFonts w:hint="eastAsia"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Proteintech (</w:t>
            </w:r>
            <w:r>
              <w:rPr>
                <w:rFonts w:hint="default" w:ascii="Arial" w:hAnsi="Arial" w:eastAsia="宋体" w:cs="Arial"/>
                <w:bCs/>
                <w:color w:val="000000"/>
                <w:kern w:val="0"/>
                <w:sz w:val="24"/>
                <w:szCs w:val="24"/>
                <w:lang w:val="en-US" w:eastAsia="zh-CN"/>
              </w:rPr>
              <w:t>84416-5-RR</w:t>
            </w:r>
            <w:r>
              <w:rPr>
                <w:rFonts w:hint="default" w:ascii="Arial" w:hAnsi="Arial" w:eastAsia="宋体" w:cs="Arial"/>
                <w:bCs/>
                <w:color w:val="000000"/>
                <w:kern w:val="0"/>
                <w:sz w:val="24"/>
                <w:szCs w:val="24"/>
              </w:rPr>
              <w:t>)</w:t>
            </w:r>
          </w:p>
        </w:tc>
      </w:tr>
      <w:tr w14:paraId="1521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3B225">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β-actin (human)</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38E944A1">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WB</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67FAA1E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Sigma (A3854)</w:t>
            </w:r>
          </w:p>
        </w:tc>
      </w:tr>
      <w:tr w14:paraId="1C14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115E1">
            <w:pPr>
              <w:spacing w:after="160" w:line="360" w:lineRule="auto"/>
              <w:jc w:val="center"/>
              <w:rPr>
                <w:rFonts w:hint="default" w:ascii="Arial" w:hAnsi="Arial" w:eastAsia="宋体" w:cs="Arial"/>
                <w:bCs/>
                <w:color w:val="000000"/>
                <w:kern w:val="0"/>
                <w:sz w:val="24"/>
                <w:szCs w:val="24"/>
                <w:lang w:val="en-US"/>
              </w:rPr>
            </w:pPr>
            <w:r>
              <w:rPr>
                <w:rFonts w:hint="default" w:ascii="Arial" w:hAnsi="Arial" w:eastAsia="宋体" w:cs="Arial"/>
                <w:bCs/>
                <w:color w:val="000000"/>
                <w:kern w:val="0"/>
                <w:sz w:val="24"/>
                <w:szCs w:val="24"/>
                <w:lang w:val="en-US" w:eastAsia="zh-CN"/>
              </w:rPr>
              <w:t>Antibody-CD45-FITC/CD4-RD1/CD8-CD/CD3-PC5</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50266508">
            <w:pPr>
              <w:spacing w:after="160" w:line="360" w:lineRule="auto"/>
              <w:jc w:val="center"/>
              <w:rPr>
                <w:rFonts w:hint="default" w:ascii="Arial" w:hAnsi="Arial" w:eastAsia="宋体" w:cs="Arial"/>
                <w:bCs/>
                <w:color w:val="000000"/>
                <w:kern w:val="0"/>
                <w:sz w:val="24"/>
                <w:szCs w:val="24"/>
                <w:lang w:val="en-US" w:eastAsia="zh-CN"/>
              </w:rPr>
            </w:pPr>
            <w:r>
              <w:rPr>
                <w:rFonts w:hint="eastAsia" w:ascii="Arial" w:hAnsi="Arial" w:eastAsia="宋体" w:cs="Arial"/>
                <w:bCs/>
                <w:color w:val="000000"/>
                <w:kern w:val="0"/>
                <w:sz w:val="24"/>
                <w:szCs w:val="24"/>
                <w:lang w:val="en-US" w:eastAsia="zh-CN"/>
              </w:rPr>
              <w:t>FCM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31E8CCC6">
            <w:pPr>
              <w:spacing w:after="160" w:line="360" w:lineRule="auto"/>
              <w:jc w:val="center"/>
              <w:rPr>
                <w:rFonts w:hint="default" w:ascii="Arial" w:hAnsi="Arial" w:eastAsia="宋体" w:cs="Arial"/>
                <w:bCs/>
                <w:color w:val="000000"/>
                <w:kern w:val="0"/>
                <w:sz w:val="24"/>
                <w:szCs w:val="24"/>
                <w:lang w:val="en-US"/>
              </w:rPr>
            </w:pPr>
            <w:r>
              <w:rPr>
                <w:rFonts w:hint="default" w:ascii="Arial" w:hAnsi="Arial" w:eastAsia="宋体" w:cs="Arial"/>
                <w:bCs/>
                <w:color w:val="000000"/>
                <w:kern w:val="0"/>
                <w:sz w:val="24"/>
                <w:szCs w:val="24"/>
                <w:lang w:val="en-US" w:eastAsia="zh-CN"/>
              </w:rPr>
              <w:t>Beckman Coulter</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731037-CF</w:t>
            </w:r>
            <w:r>
              <w:rPr>
                <w:rFonts w:hint="eastAsia" w:ascii="Arial" w:hAnsi="Arial" w:eastAsia="宋体" w:cs="Arial"/>
                <w:bCs/>
                <w:color w:val="000000"/>
                <w:kern w:val="0"/>
                <w:sz w:val="24"/>
                <w:szCs w:val="24"/>
                <w:lang w:val="en-US" w:eastAsia="zh-CN"/>
              </w:rPr>
              <w:t>)</w:t>
            </w:r>
          </w:p>
        </w:tc>
      </w:tr>
      <w:tr w14:paraId="04BD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FFDCA">
            <w:pPr>
              <w:spacing w:after="160" w:line="360" w:lineRule="auto"/>
              <w:jc w:val="center"/>
              <w:rPr>
                <w:rFonts w:hint="default" w:ascii="Arial" w:hAnsi="Arial" w:eastAsia="宋体" w:cs="Arial"/>
                <w:bCs/>
                <w:color w:val="000000"/>
                <w:kern w:val="0"/>
                <w:sz w:val="24"/>
                <w:szCs w:val="24"/>
                <w:lang w:val="en-US"/>
              </w:rPr>
            </w:pPr>
            <w:r>
              <w:rPr>
                <w:rFonts w:hint="default" w:ascii="Arial" w:hAnsi="Arial" w:eastAsia="宋体" w:cs="Arial"/>
                <w:bCs/>
                <w:color w:val="000000"/>
                <w:kern w:val="0"/>
                <w:sz w:val="24"/>
                <w:szCs w:val="24"/>
                <w:lang w:val="en-US" w:eastAsia="zh-CN"/>
              </w:rPr>
              <w:t>Antibody-CD45-FITC/CD56-RD1/CD19-ECD/CD3-PC5</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36B16238">
            <w:pPr>
              <w:spacing w:after="160" w:line="360" w:lineRule="auto"/>
              <w:jc w:val="center"/>
              <w:rPr>
                <w:rFonts w:hint="default" w:ascii="Arial" w:hAnsi="Arial" w:eastAsia="宋体" w:cs="Arial"/>
                <w:bCs/>
                <w:color w:val="000000"/>
                <w:kern w:val="0"/>
                <w:sz w:val="24"/>
                <w:szCs w:val="24"/>
              </w:rPr>
            </w:pPr>
            <w:r>
              <w:rPr>
                <w:rFonts w:hint="eastAsia" w:ascii="Arial" w:hAnsi="Arial" w:eastAsia="宋体" w:cs="Arial"/>
                <w:bCs/>
                <w:color w:val="000000"/>
                <w:kern w:val="0"/>
                <w:sz w:val="24"/>
                <w:szCs w:val="24"/>
                <w:lang w:val="en-US" w:eastAsia="zh-CN"/>
              </w:rPr>
              <w:t>FCM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3C7477F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lang w:val="en-US" w:eastAsia="zh-CN"/>
              </w:rPr>
              <w:t>Beckman Coulter</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2420903-GF</w:t>
            </w:r>
            <w:r>
              <w:rPr>
                <w:rFonts w:hint="eastAsia" w:ascii="Arial" w:hAnsi="Arial" w:eastAsia="宋体" w:cs="Arial"/>
                <w:bCs/>
                <w:color w:val="000000"/>
                <w:kern w:val="0"/>
                <w:sz w:val="24"/>
                <w:szCs w:val="24"/>
                <w:lang w:val="en-US" w:eastAsia="zh-CN"/>
              </w:rPr>
              <w:t>)</w:t>
            </w:r>
          </w:p>
        </w:tc>
      </w:tr>
      <w:tr w14:paraId="3CA2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CD07E">
            <w:pPr>
              <w:spacing w:after="160" w:line="360" w:lineRule="auto"/>
              <w:jc w:val="center"/>
              <w:rPr>
                <w:rFonts w:hint="eastAsia"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CD49b</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4D9C3338">
            <w:pPr>
              <w:spacing w:after="160" w:line="360" w:lineRule="auto"/>
              <w:jc w:val="center"/>
              <w:rPr>
                <w:rFonts w:hint="default" w:ascii="Arial" w:hAnsi="Arial" w:eastAsia="宋体" w:cs="Arial"/>
                <w:bCs/>
                <w:color w:val="000000"/>
                <w:kern w:val="0"/>
                <w:sz w:val="24"/>
                <w:szCs w:val="24"/>
              </w:rPr>
            </w:pPr>
            <w:r>
              <w:rPr>
                <w:rFonts w:hint="eastAsia" w:ascii="Arial" w:hAnsi="Arial" w:eastAsia="宋体" w:cs="Arial"/>
                <w:bCs/>
                <w:color w:val="000000"/>
                <w:kern w:val="0"/>
                <w:sz w:val="24"/>
                <w:szCs w:val="24"/>
                <w:lang w:val="en-US" w:eastAsia="zh-CN"/>
              </w:rPr>
              <w:t>FCM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19EA71C7">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BioLegend</w:t>
            </w:r>
            <w:r>
              <w:rPr>
                <w:rFonts w:hint="eastAsia" w:ascii="Arial" w:hAnsi="Arial" w:eastAsia="宋体" w:cs="Arial"/>
                <w:bCs/>
                <w:color w:val="000000"/>
                <w:kern w:val="0"/>
                <w:sz w:val="24"/>
                <w:szCs w:val="24"/>
                <w:lang w:val="en-US" w:eastAsia="zh-CN"/>
              </w:rPr>
              <w:t xml:space="preserve"> (108907)</w:t>
            </w:r>
          </w:p>
        </w:tc>
      </w:tr>
      <w:tr w14:paraId="587D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1BE5B">
            <w:pPr>
              <w:spacing w:after="160" w:line="360" w:lineRule="auto"/>
              <w:jc w:val="center"/>
              <w:rPr>
                <w:rFonts w:hint="eastAsia"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CD3</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600E21F5">
            <w:pPr>
              <w:spacing w:after="160" w:line="360" w:lineRule="auto"/>
              <w:jc w:val="center"/>
              <w:rPr>
                <w:rFonts w:hint="default" w:ascii="Arial" w:hAnsi="Arial" w:eastAsia="宋体" w:cs="Arial"/>
                <w:bCs/>
                <w:color w:val="000000"/>
                <w:kern w:val="0"/>
                <w:sz w:val="24"/>
                <w:szCs w:val="24"/>
              </w:rPr>
            </w:pPr>
            <w:r>
              <w:rPr>
                <w:rFonts w:hint="eastAsia" w:ascii="Arial" w:hAnsi="Arial" w:eastAsia="宋体" w:cs="Arial"/>
                <w:bCs/>
                <w:color w:val="000000"/>
                <w:kern w:val="0"/>
                <w:sz w:val="24"/>
                <w:szCs w:val="24"/>
                <w:lang w:val="en-US" w:eastAsia="zh-CN"/>
              </w:rPr>
              <w:t>FCM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03949C3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BioLegend</w:t>
            </w:r>
            <w:r>
              <w:rPr>
                <w:rFonts w:hint="eastAsia" w:ascii="Arial" w:hAnsi="Arial" w:eastAsia="宋体" w:cs="Arial"/>
                <w:bCs/>
                <w:color w:val="000000"/>
                <w:kern w:val="0"/>
                <w:sz w:val="24"/>
                <w:szCs w:val="24"/>
                <w:lang w:val="en-US" w:eastAsia="zh-CN"/>
              </w:rPr>
              <w:t xml:space="preserve"> (100217)</w:t>
            </w:r>
          </w:p>
        </w:tc>
      </w:tr>
      <w:tr w14:paraId="6E13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E6E3C">
            <w:pPr>
              <w:spacing w:after="160" w:line="360" w:lineRule="auto"/>
              <w:jc w:val="center"/>
              <w:rPr>
                <w:rFonts w:hint="eastAsia"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IFN-γ</w:t>
            </w:r>
            <w:r>
              <w:rPr>
                <w:rFonts w:hint="eastAsia" w:ascii="Arial" w:hAnsi="Arial" w:eastAsia="宋体" w:cs="Arial"/>
                <w:bCs/>
                <w:color w:val="000000"/>
                <w:kern w:val="0"/>
                <w:sz w:val="24"/>
                <w:szCs w:val="24"/>
                <w:lang w:val="en-US" w:eastAsia="zh-CN"/>
              </w:rPr>
              <w:t xml:space="preserve"> </w:t>
            </w:r>
            <w:r>
              <w:rPr>
                <w:rFonts w:hint="default" w:ascii="Arial" w:hAnsi="Arial" w:eastAsia="宋体" w:cs="Arial"/>
                <w:bCs/>
                <w:color w:val="000000"/>
                <w:kern w:val="0"/>
                <w:sz w:val="24"/>
                <w:szCs w:val="24"/>
                <w:lang w:val="en-US" w:eastAsia="zh-CN"/>
              </w:rPr>
              <w:t>mouse)</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09D14560">
            <w:pPr>
              <w:spacing w:after="160" w:line="360" w:lineRule="auto"/>
              <w:jc w:val="center"/>
              <w:rPr>
                <w:rFonts w:hint="default" w:ascii="Arial" w:hAnsi="Arial" w:eastAsia="宋体" w:cs="Arial"/>
                <w:bCs/>
                <w:color w:val="000000"/>
                <w:kern w:val="0"/>
                <w:sz w:val="24"/>
                <w:szCs w:val="24"/>
              </w:rPr>
            </w:pPr>
            <w:r>
              <w:rPr>
                <w:rFonts w:hint="eastAsia" w:ascii="Arial" w:hAnsi="Arial" w:eastAsia="宋体" w:cs="Arial"/>
                <w:bCs/>
                <w:color w:val="000000"/>
                <w:kern w:val="0"/>
                <w:sz w:val="24"/>
                <w:szCs w:val="24"/>
                <w:lang w:val="en-US" w:eastAsia="zh-CN"/>
              </w:rPr>
              <w:t>FCM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46E6F4F0">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BioLegend</w:t>
            </w:r>
            <w:r>
              <w:rPr>
                <w:rFonts w:hint="eastAsia" w:ascii="Arial" w:hAnsi="Arial" w:eastAsia="宋体" w:cs="Arial"/>
                <w:bCs/>
                <w:color w:val="000000"/>
                <w:kern w:val="0"/>
                <w:sz w:val="24"/>
                <w:szCs w:val="24"/>
                <w:lang w:val="en-US" w:eastAsia="zh-CN"/>
              </w:rPr>
              <w:t xml:space="preserve"> (502527)</w:t>
            </w:r>
          </w:p>
        </w:tc>
      </w:tr>
      <w:tr w14:paraId="2AC9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1D73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AICAR</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19EA66A5">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lang w:val="en-US" w:eastAsia="zh-CN"/>
              </w:rPr>
              <w:t>mM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5BAED458">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 xml:space="preserve">  Sellec</w:t>
            </w:r>
            <w:r>
              <w:rPr>
                <w:rFonts w:hint="default" w:ascii="Arial" w:hAnsi="Arial" w:eastAsia="宋体" w:cs="Arial"/>
                <w:bCs/>
                <w:color w:val="000000"/>
                <w:kern w:val="0"/>
                <w:sz w:val="24"/>
                <w:szCs w:val="24"/>
                <w:lang w:val="en-US" w:eastAsia="zh-CN"/>
              </w:rPr>
              <w:t>k</w:t>
            </w:r>
            <w:r>
              <w:rPr>
                <w:rFonts w:hint="default" w:ascii="Arial" w:hAnsi="Arial" w:eastAsia="宋体" w:cs="Arial"/>
                <w:bCs/>
                <w:color w:val="000000"/>
                <w:kern w:val="0"/>
                <w:sz w:val="24"/>
                <w:szCs w:val="24"/>
              </w:rPr>
              <w:t xml:space="preserve"> (S1802, Selleck)</w:t>
            </w:r>
          </w:p>
        </w:tc>
      </w:tr>
      <w:tr w14:paraId="27EE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DEB74">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lang w:val="en-US" w:eastAsia="zh-CN"/>
              </w:rPr>
              <w:t>Compound C</w:t>
            </w:r>
          </w:p>
        </w:tc>
        <w:tc>
          <w:tcPr>
            <w:tcW w:w="1391" w:type="dxa"/>
            <w:tcBorders>
              <w:top w:val="single" w:color="000000" w:sz="4" w:space="0"/>
              <w:left w:val="nil"/>
              <w:bottom w:val="single" w:color="000000" w:sz="4" w:space="0"/>
              <w:right w:val="single" w:color="000000" w:sz="4" w:space="0"/>
            </w:tcBorders>
            <w:shd w:val="clear" w:color="auto" w:fill="FFFFFF"/>
            <w:vAlign w:val="center"/>
          </w:tcPr>
          <w:p w14:paraId="08C05346">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lang w:val="en-US" w:eastAsia="zh-CN"/>
              </w:rPr>
              <w:t>μM</w:t>
            </w:r>
          </w:p>
        </w:tc>
        <w:tc>
          <w:tcPr>
            <w:tcW w:w="2658" w:type="dxa"/>
            <w:tcBorders>
              <w:top w:val="single" w:color="000000" w:sz="4" w:space="0"/>
              <w:left w:val="nil"/>
              <w:bottom w:val="single" w:color="000000" w:sz="4" w:space="0"/>
              <w:right w:val="single" w:color="000000" w:sz="4" w:space="0"/>
            </w:tcBorders>
            <w:shd w:val="clear" w:color="auto" w:fill="FFFFFF"/>
            <w:vAlign w:val="center"/>
          </w:tcPr>
          <w:p w14:paraId="2E0C5995">
            <w:pPr>
              <w:spacing w:after="160" w:line="360" w:lineRule="auto"/>
              <w:jc w:val="center"/>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Sellec</w:t>
            </w:r>
            <w:r>
              <w:rPr>
                <w:rFonts w:hint="default" w:ascii="Arial" w:hAnsi="Arial" w:eastAsia="宋体" w:cs="Arial"/>
                <w:bCs/>
                <w:color w:val="000000"/>
                <w:kern w:val="0"/>
                <w:sz w:val="24"/>
                <w:szCs w:val="24"/>
                <w:lang w:val="en-US" w:eastAsia="zh-CN"/>
              </w:rPr>
              <w:t>k (</w:t>
            </w:r>
            <w:r>
              <w:rPr>
                <w:rFonts w:hint="default" w:ascii="Arial" w:hAnsi="Arial" w:eastAsia="宋体" w:cs="Arial"/>
                <w:bCs/>
                <w:color w:val="000000"/>
                <w:kern w:val="0"/>
                <w:sz w:val="24"/>
                <w:szCs w:val="24"/>
              </w:rPr>
              <w:t>S7840</w:t>
            </w:r>
            <w:r>
              <w:rPr>
                <w:rFonts w:hint="default" w:ascii="Arial" w:hAnsi="Arial" w:eastAsia="宋体" w:cs="Arial"/>
                <w:bCs/>
                <w:color w:val="000000"/>
                <w:kern w:val="0"/>
                <w:sz w:val="24"/>
                <w:szCs w:val="24"/>
                <w:lang w:val="en-US" w:eastAsia="zh-CN"/>
              </w:rPr>
              <w:t>)</w:t>
            </w:r>
          </w:p>
        </w:tc>
      </w:tr>
    </w:tbl>
    <w:p w14:paraId="3F5EC6FA">
      <w:pPr>
        <w:spacing w:after="160" w:line="360" w:lineRule="auto"/>
        <w:jc w:val="both"/>
        <w:rPr>
          <w:rFonts w:hint="default" w:ascii="Arial" w:hAnsi="Arial" w:eastAsia="宋体" w:cs="Arial"/>
          <w:bCs/>
          <w:color w:val="000000"/>
          <w:kern w:val="0"/>
          <w:sz w:val="24"/>
          <w:szCs w:val="24"/>
          <w:lang w:val="en-US" w:eastAsia="zh-CN"/>
        </w:rPr>
      </w:pPr>
      <w:r>
        <w:rPr>
          <w:rFonts w:hint="default" w:ascii="Arial" w:hAnsi="Arial" w:eastAsia="宋体" w:cs="Arial"/>
          <w:bCs/>
          <w:color w:val="000000"/>
          <w:kern w:val="0"/>
          <w:sz w:val="24"/>
          <w:szCs w:val="24"/>
        </w:rPr>
        <w:t>WB: Western Blot; IF: Immunofluorescence; IHC: Immunohistochemistry</w:t>
      </w:r>
      <w:r>
        <w:rPr>
          <w:rFonts w:hint="eastAsia" w:ascii="Arial" w:hAnsi="Arial" w:eastAsia="宋体" w:cs="Arial"/>
          <w:bCs/>
          <w:color w:val="000000"/>
          <w:kern w:val="0"/>
          <w:sz w:val="24"/>
          <w:szCs w:val="24"/>
          <w:lang w:val="en-US" w:eastAsia="zh-CN"/>
        </w:rPr>
        <w:t>; FCM: Flow cytometric analysis.</w:t>
      </w:r>
    </w:p>
    <w:p w14:paraId="5C57610B">
      <w:pPr>
        <w:spacing w:after="160" w:line="360" w:lineRule="auto"/>
        <w:jc w:val="both"/>
        <w:rPr>
          <w:rFonts w:hint="default" w:ascii="Arial" w:hAnsi="Arial" w:eastAsia="宋体" w:cs="Arial"/>
          <w:bCs/>
          <w:color w:val="000000"/>
          <w:kern w:val="0"/>
          <w:sz w:val="24"/>
          <w:szCs w:val="24"/>
        </w:rPr>
      </w:pPr>
    </w:p>
    <w:p w14:paraId="0D62E888">
      <w:pPr>
        <w:spacing w:after="160" w:line="360" w:lineRule="auto"/>
        <w:jc w:val="both"/>
        <w:rPr>
          <w:rFonts w:hint="default" w:ascii="Arial" w:hAnsi="Arial" w:eastAsia="宋体" w:cs="Arial"/>
          <w:bCs/>
          <w:color w:val="000000"/>
          <w:kern w:val="0"/>
          <w:sz w:val="24"/>
          <w:szCs w:val="24"/>
        </w:rPr>
      </w:pPr>
    </w:p>
    <w:p w14:paraId="478AE60F">
      <w:pPr>
        <w:spacing w:after="160" w:line="360" w:lineRule="auto"/>
        <w:jc w:val="both"/>
        <w:rPr>
          <w:rFonts w:hint="default" w:ascii="Arial" w:hAnsi="Arial" w:eastAsia="宋体" w:cs="Arial"/>
          <w:bCs/>
          <w:color w:val="000000"/>
          <w:kern w:val="0"/>
          <w:sz w:val="24"/>
          <w:szCs w:val="24"/>
        </w:rPr>
      </w:pPr>
    </w:p>
    <w:p w14:paraId="41CE0AC1">
      <w:pP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br w:type="page"/>
      </w:r>
    </w:p>
    <w:p w14:paraId="1D10D917">
      <w:pPr>
        <w:rPr>
          <w:rFonts w:hint="default" w:ascii="Arial" w:hAnsi="Arial" w:eastAsia="宋体" w:cs="Arial"/>
          <w:b/>
          <w:bCs w:val="0"/>
          <w:color w:val="000000"/>
          <w:kern w:val="0"/>
          <w:sz w:val="24"/>
          <w:szCs w:val="24"/>
        </w:rPr>
      </w:pPr>
      <w:r>
        <w:rPr>
          <w:rFonts w:hint="default" w:ascii="Arial" w:hAnsi="Arial" w:eastAsia="宋体" w:cs="Arial"/>
          <w:b/>
          <w:bCs w:val="0"/>
          <w:color w:val="000000"/>
          <w:kern w:val="0"/>
          <w:sz w:val="24"/>
          <w:szCs w:val="24"/>
        </w:rPr>
        <w:t xml:space="preserve">Table </w:t>
      </w:r>
      <w:r>
        <w:rPr>
          <w:rFonts w:hint="eastAsia" w:ascii="Arial" w:hAnsi="Arial" w:eastAsia="宋体" w:cs="Arial"/>
          <w:b/>
          <w:bCs w:val="0"/>
          <w:color w:val="000000"/>
          <w:kern w:val="0"/>
          <w:sz w:val="24"/>
          <w:szCs w:val="24"/>
          <w:lang w:val="en-US" w:eastAsia="zh-CN"/>
        </w:rPr>
        <w:t>S3</w:t>
      </w:r>
      <w:r>
        <w:rPr>
          <w:rFonts w:hint="default" w:ascii="Arial" w:hAnsi="Arial" w:eastAsia="宋体" w:cs="Arial"/>
          <w:b/>
          <w:bCs w:val="0"/>
          <w:color w:val="000000"/>
          <w:kern w:val="0"/>
          <w:sz w:val="24"/>
          <w:szCs w:val="24"/>
        </w:rPr>
        <w:t xml:space="preserve"> Sequences of primers for qPCR</w:t>
      </w:r>
    </w:p>
    <w:tbl>
      <w:tblPr>
        <w:tblStyle w:val="8"/>
        <w:tblW w:w="8667"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6027"/>
      </w:tblGrid>
      <w:tr w14:paraId="5FE0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l2br w:val="nil"/>
            </w:tcBorders>
            <w:shd w:val="clear" w:color="auto" w:fill="FFFFFF"/>
            <w:vAlign w:val="top"/>
          </w:tcPr>
          <w:p w14:paraId="0DFA16F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qPCR primers</w:t>
            </w:r>
          </w:p>
        </w:tc>
        <w:tc>
          <w:tcPr>
            <w:tcW w:w="6027" w:type="dxa"/>
            <w:tcBorders>
              <w:top w:val="single" w:color="000000" w:sz="4" w:space="0"/>
              <w:left w:val="single" w:color="000000" w:sz="4" w:space="0"/>
              <w:bottom w:val="single" w:color="000000" w:sz="4" w:space="0"/>
              <w:right w:val="single" w:color="000000" w:sz="4" w:space="0"/>
            </w:tcBorders>
            <w:shd w:val="clear" w:color="auto" w:fill="FFFFFF"/>
            <w:vAlign w:val="top"/>
          </w:tcPr>
          <w:p w14:paraId="5B8D2AE0">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sequence (5'-3')</w:t>
            </w:r>
          </w:p>
        </w:tc>
      </w:tr>
      <w:tr w14:paraId="6E5A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633E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TFE3 (human)</w:t>
            </w:r>
          </w:p>
        </w:tc>
        <w:tc>
          <w:tcPr>
            <w:tcW w:w="6027" w:type="dxa"/>
            <w:tcBorders>
              <w:top w:val="single" w:color="000000" w:sz="4" w:space="0"/>
              <w:left w:val="single" w:color="000000" w:sz="4" w:space="0"/>
              <w:bottom w:val="single" w:color="000000" w:sz="4" w:space="0"/>
              <w:right w:val="single" w:color="000000" w:sz="4" w:space="0"/>
            </w:tcBorders>
            <w:shd w:val="clear" w:color="auto" w:fill="FFFFFF"/>
            <w:vAlign w:val="top"/>
          </w:tcPr>
          <w:p w14:paraId="0D894D7E">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CCGTGTTCGTGCTGTTGGA</w:t>
            </w:r>
          </w:p>
          <w:p w14:paraId="5D06D94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GCTCGTAGAAGCTGTCAGGAT</w:t>
            </w:r>
            <w:r>
              <w:rPr>
                <w:rFonts w:hint="default" w:ascii="Arial" w:hAnsi="Arial" w:eastAsia="宋体" w:cs="Arial"/>
                <w:bCs/>
                <w:color w:val="000000"/>
                <w:kern w:val="0"/>
                <w:sz w:val="24"/>
                <w:szCs w:val="24"/>
              </w:rPr>
              <w:tab/>
            </w:r>
          </w:p>
        </w:tc>
      </w:tr>
      <w:tr w14:paraId="5B86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7E3B8">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SLCO4A1 (human)</w:t>
            </w:r>
          </w:p>
        </w:tc>
        <w:tc>
          <w:tcPr>
            <w:tcW w:w="6027" w:type="dxa"/>
            <w:tcBorders>
              <w:top w:val="single" w:color="000000" w:sz="4" w:space="0"/>
              <w:left w:val="single" w:color="000000" w:sz="4" w:space="0"/>
              <w:bottom w:val="single" w:color="000000" w:sz="4" w:space="0"/>
              <w:right w:val="single" w:color="000000" w:sz="4" w:space="0"/>
            </w:tcBorders>
            <w:shd w:val="clear" w:color="auto" w:fill="FFFFFF"/>
            <w:vAlign w:val="top"/>
          </w:tcPr>
          <w:p w14:paraId="0263490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TGGCTTCATCAACACAGTCATCAC</w:t>
            </w:r>
          </w:p>
          <w:p w14:paraId="6A24460D">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AGGCGGCAATGTCGTAGGAG</w:t>
            </w:r>
          </w:p>
        </w:tc>
      </w:tr>
      <w:tr w14:paraId="07D0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56076">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TFEB (human)</w:t>
            </w:r>
          </w:p>
        </w:tc>
        <w:tc>
          <w:tcPr>
            <w:tcW w:w="6027" w:type="dxa"/>
            <w:tcBorders>
              <w:top w:val="single" w:color="000000" w:sz="4" w:space="0"/>
              <w:left w:val="single" w:color="000000" w:sz="4" w:space="0"/>
              <w:bottom w:val="single" w:color="000000" w:sz="4" w:space="0"/>
              <w:right w:val="single" w:color="000000" w:sz="4" w:space="0"/>
            </w:tcBorders>
            <w:shd w:val="clear" w:color="auto" w:fill="FFFFFF"/>
            <w:vAlign w:val="top"/>
          </w:tcPr>
          <w:p w14:paraId="1D9F71A4">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GACCGCATCAAGGAGTTG</w:t>
            </w:r>
          </w:p>
          <w:p w14:paraId="5AF54F57">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GCTGCTTGTTGGTCATCT</w:t>
            </w:r>
          </w:p>
        </w:tc>
      </w:tr>
      <w:tr w14:paraId="4CA9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086C1">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MCOLN1 (human)</w:t>
            </w:r>
          </w:p>
        </w:tc>
        <w:tc>
          <w:tcPr>
            <w:tcW w:w="6027" w:type="dxa"/>
            <w:tcBorders>
              <w:top w:val="single" w:color="000000" w:sz="4" w:space="0"/>
              <w:left w:val="single" w:color="000000" w:sz="4" w:space="0"/>
              <w:bottom w:val="single" w:color="000000" w:sz="4" w:space="0"/>
              <w:right w:val="single" w:color="000000" w:sz="4" w:space="0"/>
            </w:tcBorders>
            <w:shd w:val="clear" w:color="auto" w:fill="FFFFFF"/>
            <w:vAlign w:val="top"/>
          </w:tcPr>
          <w:p w14:paraId="0942ACE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GTTTGTGGGGTTCATGTGGC</w:t>
            </w:r>
          </w:p>
          <w:p w14:paraId="48CB8DA3">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GAAGAGGCTGAGCACCATGT</w:t>
            </w:r>
          </w:p>
        </w:tc>
      </w:tr>
    </w:tbl>
    <w:p w14:paraId="5530B2E6">
      <w:pPr>
        <w:spacing w:after="160" w:line="360" w:lineRule="auto"/>
        <w:jc w:val="center"/>
        <w:rPr>
          <w:rFonts w:ascii="Arial" w:hAnsi="Arial" w:eastAsia="宋体" w:cs="Arial"/>
          <w:bCs/>
          <w:color w:val="000000"/>
          <w:kern w:val="0"/>
          <w:sz w:val="22"/>
          <w:szCs w:val="20"/>
        </w:rPr>
      </w:pPr>
    </w:p>
    <w:p w14:paraId="7531A8D1">
      <w:pPr>
        <w:spacing w:after="160" w:line="360" w:lineRule="auto"/>
        <w:jc w:val="both"/>
        <w:rPr>
          <w:rFonts w:hint="default" w:ascii="Arial" w:hAnsi="Arial" w:eastAsia="宋体" w:cs="Arial"/>
          <w:bCs/>
          <w:color w:val="000000"/>
          <w:kern w:val="0"/>
          <w:sz w:val="24"/>
          <w:szCs w:val="24"/>
        </w:rPr>
      </w:pPr>
    </w:p>
    <w:p w14:paraId="62F4E873">
      <w:pPr>
        <w:keepNext w:val="0"/>
        <w:keepLines w:val="0"/>
        <w:pageBreakBefore w:val="0"/>
        <w:widowControl w:val="0"/>
        <w:kinsoku/>
        <w:wordWrap/>
        <w:overflowPunct/>
        <w:topLinePunct w:val="0"/>
        <w:autoSpaceDE/>
        <w:autoSpaceDN/>
        <w:bidi w:val="0"/>
        <w:adjustRightInd/>
        <w:snapToGrid/>
        <w:spacing w:after="160" w:line="240" w:lineRule="auto"/>
        <w:jc w:val="both"/>
        <w:textAlignment w:val="auto"/>
        <w:rPr>
          <w:rFonts w:hint="default" w:ascii="Arial" w:hAnsi="Arial" w:eastAsia="宋体" w:cs="Arial"/>
          <w:b/>
          <w:bCs w:val="0"/>
          <w:color w:val="000000"/>
          <w:kern w:val="0"/>
          <w:sz w:val="24"/>
          <w:szCs w:val="24"/>
        </w:rPr>
      </w:pPr>
    </w:p>
    <w:p w14:paraId="5460662F">
      <w:pPr>
        <w:rPr>
          <w:rFonts w:hint="default" w:ascii="Arial" w:hAnsi="Arial" w:eastAsia="宋体" w:cs="Arial"/>
          <w:b/>
          <w:bCs w:val="0"/>
          <w:color w:val="000000"/>
          <w:kern w:val="0"/>
          <w:sz w:val="24"/>
          <w:szCs w:val="24"/>
        </w:rPr>
      </w:pPr>
      <w:r>
        <w:rPr>
          <w:rFonts w:hint="default" w:ascii="Arial" w:hAnsi="Arial" w:eastAsia="宋体" w:cs="Arial"/>
          <w:b/>
          <w:bCs w:val="0"/>
          <w:color w:val="000000"/>
          <w:kern w:val="0"/>
          <w:sz w:val="24"/>
          <w:szCs w:val="24"/>
        </w:rPr>
        <w:br w:type="page"/>
      </w:r>
    </w:p>
    <w:p w14:paraId="6854C605">
      <w:pPr>
        <w:rPr>
          <w:rFonts w:hint="default" w:ascii="Arial" w:hAnsi="Arial" w:eastAsia="宋体" w:cs="Arial"/>
          <w:b/>
          <w:bCs w:val="0"/>
          <w:color w:val="000000"/>
          <w:kern w:val="0"/>
          <w:sz w:val="24"/>
          <w:szCs w:val="24"/>
        </w:rPr>
      </w:pPr>
      <w:r>
        <w:rPr>
          <w:rFonts w:hint="default" w:ascii="Arial" w:hAnsi="Arial" w:eastAsia="宋体" w:cs="Arial"/>
          <w:b/>
          <w:bCs w:val="0"/>
          <w:color w:val="000000"/>
          <w:kern w:val="0"/>
          <w:sz w:val="24"/>
          <w:szCs w:val="24"/>
        </w:rPr>
        <w:t xml:space="preserve">Table </w:t>
      </w:r>
      <w:r>
        <w:rPr>
          <w:rFonts w:hint="eastAsia" w:ascii="Arial" w:hAnsi="Arial" w:eastAsia="宋体" w:cs="Arial"/>
          <w:b/>
          <w:bCs w:val="0"/>
          <w:color w:val="000000"/>
          <w:kern w:val="0"/>
          <w:sz w:val="24"/>
          <w:szCs w:val="24"/>
          <w:lang w:val="en-US" w:eastAsia="zh-CN"/>
        </w:rPr>
        <w:t>S</w:t>
      </w:r>
      <w:r>
        <w:rPr>
          <w:rFonts w:hint="default" w:ascii="Arial" w:hAnsi="Arial" w:eastAsia="宋体" w:cs="Arial"/>
          <w:b/>
          <w:bCs w:val="0"/>
          <w:color w:val="000000"/>
          <w:kern w:val="0"/>
          <w:sz w:val="24"/>
          <w:szCs w:val="24"/>
        </w:rPr>
        <w:t>4 Sequences of primers for CHIP assay</w:t>
      </w:r>
    </w:p>
    <w:tbl>
      <w:tblPr>
        <w:tblStyle w:val="8"/>
        <w:tblW w:w="8667"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6027"/>
      </w:tblGrid>
      <w:tr w14:paraId="2F22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l2br w:val="nil"/>
            </w:tcBorders>
            <w:shd w:val="clear" w:color="auto" w:fill="FFFFFF"/>
          </w:tcPr>
          <w:p w14:paraId="173DA64E">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Chip primers</w:t>
            </w:r>
          </w:p>
        </w:tc>
        <w:tc>
          <w:tcPr>
            <w:tcW w:w="6027" w:type="dxa"/>
            <w:tcBorders>
              <w:top w:val="single" w:color="000000" w:sz="4" w:space="0"/>
              <w:left w:val="single" w:color="000000" w:sz="4" w:space="0"/>
              <w:bottom w:val="single" w:color="000000" w:sz="4" w:space="0"/>
              <w:right w:val="single" w:color="000000" w:sz="4" w:space="0"/>
            </w:tcBorders>
            <w:shd w:val="clear" w:color="auto" w:fill="FFFFFF"/>
          </w:tcPr>
          <w:p w14:paraId="3321B4C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sequence (5'-3')</w:t>
            </w:r>
          </w:p>
        </w:tc>
      </w:tr>
      <w:tr w14:paraId="6D7C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044D0">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Negative site (SLCO4A1)</w:t>
            </w:r>
          </w:p>
        </w:tc>
        <w:tc>
          <w:tcPr>
            <w:tcW w:w="6027" w:type="dxa"/>
            <w:tcBorders>
              <w:top w:val="single" w:color="000000" w:sz="4" w:space="0"/>
              <w:left w:val="single" w:color="000000" w:sz="4" w:space="0"/>
              <w:bottom w:val="single" w:color="000000" w:sz="4" w:space="0"/>
              <w:right w:val="single" w:color="000000" w:sz="4" w:space="0"/>
            </w:tcBorders>
            <w:shd w:val="clear" w:color="auto" w:fill="FFFFFF"/>
          </w:tcPr>
          <w:p w14:paraId="7B1CBCC5">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TTCCACCCTCAGAGCTAGTGT</w:t>
            </w:r>
          </w:p>
          <w:p w14:paraId="1882D046">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TAGCCTGGGAATCCGGGGAAT</w:t>
            </w:r>
          </w:p>
        </w:tc>
      </w:tr>
      <w:tr w14:paraId="749B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74B9B">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Binding site (SLCO4A1)</w:t>
            </w:r>
          </w:p>
        </w:tc>
        <w:tc>
          <w:tcPr>
            <w:tcW w:w="6027" w:type="dxa"/>
            <w:tcBorders>
              <w:top w:val="single" w:color="000000" w:sz="4" w:space="0"/>
              <w:left w:val="single" w:color="000000" w:sz="4" w:space="0"/>
              <w:bottom w:val="single" w:color="000000" w:sz="4" w:space="0"/>
              <w:right w:val="single" w:color="000000" w:sz="4" w:space="0"/>
            </w:tcBorders>
            <w:shd w:val="clear" w:color="auto" w:fill="FFFFFF"/>
          </w:tcPr>
          <w:p w14:paraId="524C626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AGACCGGCGGGCACCTTCA</w:t>
            </w:r>
          </w:p>
          <w:p w14:paraId="57691018">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TTCAGCTCCGCCCTTCCGAAA</w:t>
            </w:r>
          </w:p>
        </w:tc>
      </w:tr>
      <w:tr w14:paraId="0E9D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262A3">
            <w:pPr>
              <w:spacing w:after="160" w:line="360" w:lineRule="auto"/>
              <w:jc w:val="center"/>
              <w:rPr>
                <w:rFonts w:hint="default" w:ascii="Arial" w:hAnsi="Arial" w:eastAsia="宋体" w:cs="Arial"/>
                <w:bCs/>
                <w:color w:val="000000"/>
                <w:kern w:val="0"/>
                <w:sz w:val="24"/>
                <w:szCs w:val="24"/>
              </w:rPr>
            </w:pPr>
            <w:r>
              <w:rPr>
                <w:rFonts w:hint="eastAsia" w:ascii="Arial" w:hAnsi="Arial" w:eastAsia="宋体" w:cs="Arial"/>
                <w:bCs/>
                <w:color w:val="000000"/>
                <w:kern w:val="0"/>
                <w:sz w:val="24"/>
                <w:szCs w:val="24"/>
                <w:lang w:val="en-US" w:eastAsia="zh-CN"/>
              </w:rPr>
              <w:t>Positive</w:t>
            </w:r>
            <w:r>
              <w:rPr>
                <w:rFonts w:hint="default" w:ascii="Arial" w:hAnsi="Arial" w:eastAsia="宋体" w:cs="Arial"/>
                <w:bCs/>
                <w:color w:val="000000"/>
                <w:kern w:val="0"/>
                <w:sz w:val="24"/>
                <w:szCs w:val="24"/>
              </w:rPr>
              <w:t xml:space="preserve"> site </w:t>
            </w:r>
            <w:r>
              <w:rPr>
                <w:rFonts w:hint="default" w:ascii="Arial" w:hAnsi="Arial" w:eastAsia="宋体" w:cs="Arial"/>
                <w:bCs/>
                <w:color w:val="000000"/>
                <w:kern w:val="0"/>
                <w:sz w:val="24"/>
                <w:szCs w:val="24"/>
              </w:rPr>
              <w:br w:type="textWrapping"/>
            </w:r>
            <w:r>
              <w:rPr>
                <w:rFonts w:hint="default" w:ascii="Arial" w:hAnsi="Arial" w:eastAsia="宋体" w:cs="Arial"/>
                <w:bCs/>
                <w:color w:val="000000"/>
                <w:kern w:val="0"/>
                <w:sz w:val="24"/>
                <w:szCs w:val="24"/>
              </w:rPr>
              <w:t>(MCOLN1)</w:t>
            </w:r>
          </w:p>
        </w:tc>
        <w:tc>
          <w:tcPr>
            <w:tcW w:w="6027" w:type="dxa"/>
            <w:tcBorders>
              <w:top w:val="single" w:color="000000" w:sz="4" w:space="0"/>
              <w:left w:val="single" w:color="000000" w:sz="4" w:space="0"/>
              <w:bottom w:val="single" w:color="000000" w:sz="4" w:space="0"/>
              <w:right w:val="single" w:color="000000" w:sz="4" w:space="0"/>
            </w:tcBorders>
            <w:shd w:val="clear" w:color="auto" w:fill="FFFFFF"/>
          </w:tcPr>
          <w:p w14:paraId="0E8E3992">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F: AGCCAGGGCAGAGCTCGT</w:t>
            </w:r>
          </w:p>
          <w:p w14:paraId="6FEA4DFF">
            <w:pPr>
              <w:spacing w:after="160" w:line="360" w:lineRule="auto"/>
              <w:jc w:val="center"/>
              <w:rPr>
                <w:rFonts w:hint="default" w:ascii="Arial" w:hAnsi="Arial" w:eastAsia="宋体" w:cs="Arial"/>
                <w:bCs/>
                <w:color w:val="000000"/>
                <w:kern w:val="0"/>
                <w:sz w:val="24"/>
                <w:szCs w:val="24"/>
              </w:rPr>
            </w:pPr>
            <w:r>
              <w:rPr>
                <w:rFonts w:hint="default" w:ascii="Arial" w:hAnsi="Arial" w:eastAsia="宋体" w:cs="Arial"/>
                <w:bCs/>
                <w:color w:val="000000"/>
                <w:kern w:val="0"/>
                <w:sz w:val="24"/>
                <w:szCs w:val="24"/>
              </w:rPr>
              <w:t>R: GGAACAGCGCGCATGCGTG</w:t>
            </w:r>
          </w:p>
        </w:tc>
      </w:tr>
    </w:tbl>
    <w:p w14:paraId="5F956A4D">
      <w:pPr>
        <w:spacing w:after="160" w:line="360" w:lineRule="auto"/>
        <w:jc w:val="center"/>
        <w:rPr>
          <w:rFonts w:ascii="Arial" w:hAnsi="Arial" w:eastAsia="宋体" w:cs="Arial"/>
          <w:bCs/>
          <w:color w:val="000000"/>
          <w:kern w:val="0"/>
          <w:sz w:val="22"/>
          <w:szCs w:val="20"/>
        </w:rPr>
      </w:pPr>
    </w:p>
    <w:p w14:paraId="65AF41B3">
      <w:pPr>
        <w:rPr>
          <w:rFonts w:hint="eastAsia" w:eastAsiaTheme="minorEastAsia"/>
          <w:lang w:eastAsia="zh-CN"/>
        </w:rPr>
      </w:pPr>
    </w:p>
    <w:p w14:paraId="4AA3A581">
      <w:pPr>
        <w:spacing w:line="360" w:lineRule="auto"/>
        <w:rPr>
          <w:rFonts w:ascii="Arial" w:hAnsi="Arial" w:cs="Arial"/>
          <w:color w:val="000000" w:themeColor="text1"/>
          <w:sz w:val="24"/>
          <w:szCs w:val="24"/>
          <w14:textFill>
            <w14:solidFill>
              <w14:schemeClr w14:val="tx1"/>
            </w14:solidFill>
          </w14:textFill>
        </w:rPr>
      </w:pPr>
    </w:p>
    <w:p w14:paraId="621A9BE6">
      <w:pPr>
        <w:rPr>
          <w:rFonts w:hint="eastAsia" w:ascii="Arial" w:hAnsi="Arial" w:cs="Arial"/>
          <w:color w:val="000000" w:themeColor="text1"/>
          <w:sz w:val="24"/>
          <w:szCs w:val="24"/>
          <w14:textFill>
            <w14:solidFill>
              <w14:schemeClr w14:val="tx1"/>
            </w14:solidFill>
          </w14:textFill>
        </w:rPr>
      </w:pP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Neue-Heavy">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400550"/>
    <w:multiLevelType w:val="singleLevel"/>
    <w:tmpl w:val="E2400550"/>
    <w:lvl w:ilvl="0" w:tentative="0">
      <w:start w:val="1"/>
      <w:numFmt w:val="upperLetter"/>
      <w:suff w:val="space"/>
      <w:lvlText w:val="(%1)"/>
      <w:lvlJc w:val="left"/>
    </w:lvl>
  </w:abstractNum>
  <w:abstractNum w:abstractNumId="1">
    <w:nsid w:val="E391BAD9"/>
    <w:multiLevelType w:val="singleLevel"/>
    <w:tmpl w:val="E391BAD9"/>
    <w:lvl w:ilvl="0" w:tentative="0">
      <w:start w:val="1"/>
      <w:numFmt w:val="upperLetter"/>
      <w:suff w:val="space"/>
      <w:lvlText w:val="(%1)"/>
      <w:lvlJc w:val="left"/>
    </w:lvl>
  </w:abstractNum>
  <w:abstractNum w:abstractNumId="2">
    <w:nsid w:val="FDA2168E"/>
    <w:multiLevelType w:val="singleLevel"/>
    <w:tmpl w:val="FDA2168E"/>
    <w:lvl w:ilvl="0" w:tentative="0">
      <w:start w:val="1"/>
      <w:numFmt w:val="upperLetter"/>
      <w:suff w:val="space"/>
      <w:lvlText w:val="(%1)"/>
      <w:lvlJc w:val="left"/>
    </w:lvl>
  </w:abstractNum>
  <w:abstractNum w:abstractNumId="3">
    <w:nsid w:val="47660A32"/>
    <w:multiLevelType w:val="singleLevel"/>
    <w:tmpl w:val="47660A32"/>
    <w:lvl w:ilvl="0" w:tentative="0">
      <w:start w:val="1"/>
      <w:numFmt w:val="upperLetter"/>
      <w:suff w:val="space"/>
      <w:lvlText w:val="(%1)"/>
      <w:lvlJc w:val="left"/>
    </w:lvl>
  </w:abstractNum>
  <w:abstractNum w:abstractNumId="4">
    <w:nsid w:val="5D2F4014"/>
    <w:multiLevelType w:val="singleLevel"/>
    <w:tmpl w:val="5D2F4014"/>
    <w:lvl w:ilvl="0" w:tentative="0">
      <w:start w:val="1"/>
      <w:numFmt w:val="upperLetter"/>
      <w:suff w:val="space"/>
      <w:lvlText w:val="(%1)"/>
      <w:lvlJc w:val="left"/>
    </w:lvl>
  </w:abstractNum>
  <w:abstractNum w:abstractNumId="5">
    <w:nsid w:val="5D67D25C"/>
    <w:multiLevelType w:val="singleLevel"/>
    <w:tmpl w:val="5D67D25C"/>
    <w:lvl w:ilvl="0" w:tentative="0">
      <w:start w:val="1"/>
      <w:numFmt w:val="upperLetter"/>
      <w:suff w:val="nothing"/>
      <w:lvlText w:val="(%1-"/>
      <w:lvlJc w:val="left"/>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127"/>
    <w:rsid w:val="00081D76"/>
    <w:rsid w:val="000B604B"/>
    <w:rsid w:val="000B6281"/>
    <w:rsid w:val="000C573B"/>
    <w:rsid w:val="0013490E"/>
    <w:rsid w:val="001D5BF7"/>
    <w:rsid w:val="0022698C"/>
    <w:rsid w:val="00232E3E"/>
    <w:rsid w:val="0024303C"/>
    <w:rsid w:val="00271D47"/>
    <w:rsid w:val="00276125"/>
    <w:rsid w:val="00330166"/>
    <w:rsid w:val="00333D1C"/>
    <w:rsid w:val="00354F19"/>
    <w:rsid w:val="003A1C43"/>
    <w:rsid w:val="003A62EA"/>
    <w:rsid w:val="003D1EC4"/>
    <w:rsid w:val="003E1303"/>
    <w:rsid w:val="003E25C1"/>
    <w:rsid w:val="004608F3"/>
    <w:rsid w:val="004C045E"/>
    <w:rsid w:val="004F4E3C"/>
    <w:rsid w:val="004F6248"/>
    <w:rsid w:val="00513380"/>
    <w:rsid w:val="005314D1"/>
    <w:rsid w:val="00551256"/>
    <w:rsid w:val="005559FF"/>
    <w:rsid w:val="00562218"/>
    <w:rsid w:val="00586374"/>
    <w:rsid w:val="005B558C"/>
    <w:rsid w:val="005D4101"/>
    <w:rsid w:val="00604DB4"/>
    <w:rsid w:val="006114E1"/>
    <w:rsid w:val="006543E0"/>
    <w:rsid w:val="00667A90"/>
    <w:rsid w:val="006B31E2"/>
    <w:rsid w:val="006C2DF1"/>
    <w:rsid w:val="00731A07"/>
    <w:rsid w:val="007C5441"/>
    <w:rsid w:val="007E4C32"/>
    <w:rsid w:val="00867DCA"/>
    <w:rsid w:val="008B1371"/>
    <w:rsid w:val="00903116"/>
    <w:rsid w:val="00935439"/>
    <w:rsid w:val="009C7901"/>
    <w:rsid w:val="009E06E7"/>
    <w:rsid w:val="009F1809"/>
    <w:rsid w:val="009F59BA"/>
    <w:rsid w:val="00A146E4"/>
    <w:rsid w:val="00A5226E"/>
    <w:rsid w:val="00A72222"/>
    <w:rsid w:val="00A873D5"/>
    <w:rsid w:val="00A96B9B"/>
    <w:rsid w:val="00AB0E38"/>
    <w:rsid w:val="00AC6E8D"/>
    <w:rsid w:val="00B15D66"/>
    <w:rsid w:val="00B41622"/>
    <w:rsid w:val="00B56052"/>
    <w:rsid w:val="00BE6AFE"/>
    <w:rsid w:val="00C0017B"/>
    <w:rsid w:val="00C0219F"/>
    <w:rsid w:val="00C36127"/>
    <w:rsid w:val="00C55E8C"/>
    <w:rsid w:val="00D066FA"/>
    <w:rsid w:val="00D2452F"/>
    <w:rsid w:val="00D4333D"/>
    <w:rsid w:val="00D614A4"/>
    <w:rsid w:val="00D73CFC"/>
    <w:rsid w:val="00DA050F"/>
    <w:rsid w:val="00DB2A4B"/>
    <w:rsid w:val="00E058CE"/>
    <w:rsid w:val="00E1495D"/>
    <w:rsid w:val="00E50D14"/>
    <w:rsid w:val="00EA2D63"/>
    <w:rsid w:val="00EC7C88"/>
    <w:rsid w:val="00EF6425"/>
    <w:rsid w:val="00F630EF"/>
    <w:rsid w:val="00F64DE5"/>
    <w:rsid w:val="00F703A2"/>
    <w:rsid w:val="00FC2319"/>
    <w:rsid w:val="01253372"/>
    <w:rsid w:val="025A529E"/>
    <w:rsid w:val="03D35307"/>
    <w:rsid w:val="04F12533"/>
    <w:rsid w:val="054A15F9"/>
    <w:rsid w:val="06135E8F"/>
    <w:rsid w:val="06E635A4"/>
    <w:rsid w:val="08E91129"/>
    <w:rsid w:val="0AD57BB7"/>
    <w:rsid w:val="0B0F299D"/>
    <w:rsid w:val="0B6F55A6"/>
    <w:rsid w:val="0B73117E"/>
    <w:rsid w:val="0CD12600"/>
    <w:rsid w:val="0F2F1860"/>
    <w:rsid w:val="10482BD9"/>
    <w:rsid w:val="10EA1EE2"/>
    <w:rsid w:val="115B6E90"/>
    <w:rsid w:val="119360D6"/>
    <w:rsid w:val="11C6062D"/>
    <w:rsid w:val="127C5B8F"/>
    <w:rsid w:val="15D9614E"/>
    <w:rsid w:val="17237EFC"/>
    <w:rsid w:val="18AB2DAB"/>
    <w:rsid w:val="19661FF0"/>
    <w:rsid w:val="19747A66"/>
    <w:rsid w:val="19EA6AAF"/>
    <w:rsid w:val="1A0758B3"/>
    <w:rsid w:val="1A6920CA"/>
    <w:rsid w:val="1D540E0F"/>
    <w:rsid w:val="204571BD"/>
    <w:rsid w:val="21B300CF"/>
    <w:rsid w:val="22617B2B"/>
    <w:rsid w:val="22E91FFA"/>
    <w:rsid w:val="235D4796"/>
    <w:rsid w:val="24741D97"/>
    <w:rsid w:val="25A24FC8"/>
    <w:rsid w:val="26B02E2F"/>
    <w:rsid w:val="272A498F"/>
    <w:rsid w:val="27E86D24"/>
    <w:rsid w:val="29C56BF1"/>
    <w:rsid w:val="2AD90BA6"/>
    <w:rsid w:val="2C950AFD"/>
    <w:rsid w:val="2D6C5D01"/>
    <w:rsid w:val="2DA90CF4"/>
    <w:rsid w:val="2EB15996"/>
    <w:rsid w:val="2FE51D9B"/>
    <w:rsid w:val="30545CB5"/>
    <w:rsid w:val="307F5D4C"/>
    <w:rsid w:val="314D5E4A"/>
    <w:rsid w:val="31AE246A"/>
    <w:rsid w:val="31F82F00"/>
    <w:rsid w:val="32193F7E"/>
    <w:rsid w:val="325F5E35"/>
    <w:rsid w:val="32C0264B"/>
    <w:rsid w:val="32F21E9F"/>
    <w:rsid w:val="33925D96"/>
    <w:rsid w:val="353F5AA9"/>
    <w:rsid w:val="36356EAC"/>
    <w:rsid w:val="37405B09"/>
    <w:rsid w:val="379522F8"/>
    <w:rsid w:val="37CC7BCE"/>
    <w:rsid w:val="39612E20"/>
    <w:rsid w:val="3A23599A"/>
    <w:rsid w:val="3A946897"/>
    <w:rsid w:val="3AD44EE6"/>
    <w:rsid w:val="3C096E11"/>
    <w:rsid w:val="3DA212CB"/>
    <w:rsid w:val="3DDC47DD"/>
    <w:rsid w:val="3E361A31"/>
    <w:rsid w:val="3F4D34B9"/>
    <w:rsid w:val="3F8C3FE1"/>
    <w:rsid w:val="404B79F8"/>
    <w:rsid w:val="413B7A6D"/>
    <w:rsid w:val="41CC3DB5"/>
    <w:rsid w:val="43C57AC2"/>
    <w:rsid w:val="43DC2C06"/>
    <w:rsid w:val="44354C47"/>
    <w:rsid w:val="47080EC7"/>
    <w:rsid w:val="47BA56FD"/>
    <w:rsid w:val="47DC362C"/>
    <w:rsid w:val="4BE97F39"/>
    <w:rsid w:val="4BEF7DD1"/>
    <w:rsid w:val="4EE96D5A"/>
    <w:rsid w:val="52231C96"/>
    <w:rsid w:val="527252B8"/>
    <w:rsid w:val="544E58B1"/>
    <w:rsid w:val="57F403B7"/>
    <w:rsid w:val="5ADD2FA2"/>
    <w:rsid w:val="5B353327"/>
    <w:rsid w:val="5B8F0C89"/>
    <w:rsid w:val="5BCF72D8"/>
    <w:rsid w:val="5E451AD3"/>
    <w:rsid w:val="5E49474A"/>
    <w:rsid w:val="5E6E6EFA"/>
    <w:rsid w:val="5F6228DB"/>
    <w:rsid w:val="617E77D6"/>
    <w:rsid w:val="65C459D3"/>
    <w:rsid w:val="68556DB7"/>
    <w:rsid w:val="6A79307B"/>
    <w:rsid w:val="6AB75B07"/>
    <w:rsid w:val="6B3610CD"/>
    <w:rsid w:val="6C627CF4"/>
    <w:rsid w:val="6C7B7CBE"/>
    <w:rsid w:val="6CA83959"/>
    <w:rsid w:val="6D7A54ED"/>
    <w:rsid w:val="6DB4457F"/>
    <w:rsid w:val="6DBD63F4"/>
    <w:rsid w:val="705D2CAC"/>
    <w:rsid w:val="709B37D5"/>
    <w:rsid w:val="713B687A"/>
    <w:rsid w:val="730E72FE"/>
    <w:rsid w:val="74324450"/>
    <w:rsid w:val="74D20797"/>
    <w:rsid w:val="74EC2851"/>
    <w:rsid w:val="7601232C"/>
    <w:rsid w:val="7691545E"/>
    <w:rsid w:val="77660698"/>
    <w:rsid w:val="7BC02FC9"/>
    <w:rsid w:val="7F2D5F40"/>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6"/>
    <w:semiHidden/>
    <w:unhideWhenUsed/>
    <w:qFormat/>
    <w:uiPriority w:val="0"/>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7">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tabs>
        <w:tab w:val="center" w:pos="4153"/>
        <w:tab w:val="right" w:pos="8306"/>
      </w:tabs>
      <w:snapToGrid w:val="0"/>
      <w:jc w:val="center"/>
    </w:pPr>
    <w:rPr>
      <w:sz w:val="18"/>
      <w:szCs w:val="18"/>
    </w:rPr>
  </w:style>
  <w:style w:type="paragraph" w:styleId="6">
    <w:name w:val="annotation subject"/>
    <w:basedOn w:val="3"/>
    <w:next w:val="3"/>
    <w:link w:val="15"/>
    <w:qFormat/>
    <w:uiPriority w:val="0"/>
    <w:rPr>
      <w:b/>
      <w:bCs/>
    </w:rPr>
  </w:style>
  <w:style w:type="table" w:styleId="8">
    <w:name w:val="Table Grid"/>
    <w:qFormat/>
    <w:uiPriority w:val="39"/>
    <w:pPr>
      <w:widowControl w:val="0"/>
      <w:jc w:val="both"/>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0">
    <w:name w:val="Hyperlink"/>
    <w:basedOn w:val="9"/>
    <w:unhideWhenUsed/>
    <w:qFormat/>
    <w:uiPriority w:val="99"/>
    <w:rPr>
      <w:color w:val="0026E5" w:themeColor="hyperlink"/>
      <w:u w:val="single"/>
      <w14:textFill>
        <w14:solidFill>
          <w14:schemeClr w14:val="hlink"/>
        </w14:solidFill>
      </w14:textFill>
    </w:rPr>
  </w:style>
  <w:style w:type="character" w:styleId="11">
    <w:name w:val="annotation reference"/>
    <w:basedOn w:val="9"/>
    <w:qFormat/>
    <w:uiPriority w:val="0"/>
    <w:rPr>
      <w:sz w:val="21"/>
      <w:szCs w:val="21"/>
    </w:rPr>
  </w:style>
  <w:style w:type="character" w:customStyle="1" w:styleId="12">
    <w:name w:val="页眉 字符"/>
    <w:basedOn w:val="9"/>
    <w:link w:val="5"/>
    <w:qFormat/>
    <w:uiPriority w:val="0"/>
    <w:rPr>
      <w:kern w:val="2"/>
      <w:sz w:val="18"/>
      <w:szCs w:val="18"/>
    </w:rPr>
  </w:style>
  <w:style w:type="character" w:customStyle="1" w:styleId="13">
    <w:name w:val="页脚 字符"/>
    <w:basedOn w:val="9"/>
    <w:link w:val="4"/>
    <w:qFormat/>
    <w:uiPriority w:val="0"/>
    <w:rPr>
      <w:kern w:val="2"/>
      <w:sz w:val="18"/>
      <w:szCs w:val="18"/>
    </w:rPr>
  </w:style>
  <w:style w:type="character" w:customStyle="1" w:styleId="14">
    <w:name w:val="批注文字 字符"/>
    <w:basedOn w:val="9"/>
    <w:link w:val="3"/>
    <w:qFormat/>
    <w:uiPriority w:val="0"/>
    <w:rPr>
      <w:kern w:val="2"/>
      <w:sz w:val="21"/>
      <w:szCs w:val="22"/>
    </w:rPr>
  </w:style>
  <w:style w:type="character" w:customStyle="1" w:styleId="15">
    <w:name w:val="批注主题 字符"/>
    <w:basedOn w:val="14"/>
    <w:link w:val="6"/>
    <w:qFormat/>
    <w:uiPriority w:val="0"/>
    <w:rPr>
      <w:b/>
      <w:bCs/>
      <w:kern w:val="2"/>
      <w:sz w:val="21"/>
      <w:szCs w:val="22"/>
    </w:rPr>
  </w:style>
  <w:style w:type="character" w:customStyle="1" w:styleId="16">
    <w:name w:val="标题 3 字符"/>
    <w:basedOn w:val="9"/>
    <w:link w:val="2"/>
    <w:semiHidden/>
    <w:qFormat/>
    <w:uiPriority w:val="0"/>
    <w:rPr>
      <w:b/>
      <w:bCs/>
      <w:kern w:val="2"/>
      <w:sz w:val="32"/>
      <w:szCs w:val="32"/>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1963</Words>
  <Characters>12005</Characters>
  <Lines>235</Lines>
  <Paragraphs>88</Paragraphs>
  <TotalTime>4</TotalTime>
  <ScaleCrop>false</ScaleCrop>
  <LinksUpToDate>false</LinksUpToDate>
  <CharactersWithSpaces>13804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2026-04-25T14:26:00Z</dcterms:created>
  <dc:creator>86151</dc:creator>
  <cp:lastModifiedBy>WPS_1737692667</cp:lastModifiedBy>
  <dcterms:modified xsi:type="dcterms:W3CDTF">2026-04-26T13:30:29Z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eyJoZGlkIjoiMzI2MGFkZjU3MWRmOWNkMGEyYzFlN2VlYTdhYTBlMDkiLCJ1c2VySWQiOiIxNjc2MTc5NDQwIn0=</vt:lpwstr>
  </property>
  <property fmtid="{D5CDD505-2E9C-101B-9397-08002B2CF9AE}" pid="4" name="ICV">
    <vt:lpwstr>FE5878204FF5493CA4507BD4C77F0F5F_13</vt:lpwstr>
  </property>
</Properties>
</file>