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6C54" w14:textId="77777777" w:rsidR="00A2170D" w:rsidRPr="00A2170D" w:rsidRDefault="00A2170D" w:rsidP="00A2170D">
      <w:pPr>
        <w:jc w:val="both"/>
        <w:rPr>
          <w:b/>
          <w:bCs/>
          <w:kern w:val="2"/>
        </w:rPr>
      </w:pPr>
      <w:r w:rsidRPr="00A2170D">
        <w:rPr>
          <w:b/>
          <w:bCs/>
          <w:kern w:val="2"/>
        </w:rPr>
        <w:t>Supplementary Materials:</w:t>
      </w:r>
    </w:p>
    <w:p w14:paraId="16AC8BFD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>Supp. Mat. 1: Microsatellite loci used in this study and their annealing temperature (Ta).</w:t>
      </w:r>
    </w:p>
    <w:tbl>
      <w:tblPr>
        <w:tblW w:w="5085" w:type="pct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2974"/>
        <w:gridCol w:w="2978"/>
        <w:gridCol w:w="731"/>
      </w:tblGrid>
      <w:tr w:rsidR="00A2170D" w:rsidRPr="00A2170D" w14:paraId="0E48DA9D" w14:textId="77777777" w:rsidTr="000A58A8">
        <w:trPr>
          <w:trHeight w:val="20"/>
        </w:trPr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83289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Locus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B95E8E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Repeat motif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6D59D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Primers5′ &gt; 3′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1D127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Reference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59DB8F" w14:textId="77777777" w:rsidR="00A2170D" w:rsidRPr="00A2170D" w:rsidRDefault="00A2170D" w:rsidP="00A2170D">
            <w:pPr>
              <w:spacing w:after="0" w:line="240" w:lineRule="auto"/>
              <w:ind w:right="-13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Ta (°C)</w:t>
            </w:r>
          </w:p>
        </w:tc>
      </w:tr>
      <w:tr w:rsidR="00A2170D" w:rsidRPr="00A2170D" w14:paraId="41CED3BE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76E76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90TRE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56BE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4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CTCATA(CA)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17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937E3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ATGCTGTCCACTTCCTCCAGC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D782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Radhakrishnan et al. (2018)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5A1D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</w:tr>
      <w:tr w:rsidR="00A2170D" w:rsidRPr="00A2170D" w14:paraId="1C76B355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DE542" w14:textId="77777777" w:rsidR="00A2170D" w:rsidRPr="00A2170D" w:rsidRDefault="00A2170D" w:rsidP="00A217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0E88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52477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TTTCTCAAACTCCTGCCCTTCC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9D2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DDCA7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</w:p>
        </w:tc>
      </w:tr>
      <w:tr w:rsidR="00A2170D" w:rsidRPr="00A2170D" w14:paraId="45E46D31" w14:textId="77777777" w:rsidTr="000A58A8">
        <w:trPr>
          <w:trHeight w:val="20"/>
        </w:trPr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A945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C83Sc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A1DAE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(TG)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5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TC(TG)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11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8603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ACGCAGCAATGCACCGTGG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EE6D8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van </w:t>
            </w:r>
            <w:proofErr w:type="spellStart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Herwerden</w:t>
            </w:r>
            <w:proofErr w:type="spellEnd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et al. (2006)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AF0CA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</w:tr>
      <w:tr w:rsidR="00A2170D" w:rsidRPr="00A2170D" w14:paraId="2CEC9581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DDBB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329C3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60AB7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AAGAATCAACACAAACAGCACC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5BF0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E8AB8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18268102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0357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D61Sc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06B53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fr-FR"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val="fr-FR" w:eastAsia="en-GB"/>
              </w:rPr>
              <w:t>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val="fr-FR" w:eastAsia="en-GB"/>
              </w:rPr>
              <w:t>13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val="fr-FR" w:eastAsia="en-GB"/>
              </w:rPr>
              <w:t>GA(CA)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val="fr-FR" w:eastAsia="en-GB"/>
              </w:rPr>
              <w:t>2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val="fr-FR" w:eastAsia="en-GB"/>
              </w:rPr>
              <w:t>GA(CA)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val="fr-FR" w:eastAsia="en-GB"/>
              </w:rPr>
              <w:t>4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23F7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CTATCAGCAATTAAGTGTACTAC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C32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van </w:t>
            </w:r>
            <w:proofErr w:type="spellStart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Herwerden</w:t>
            </w:r>
            <w:proofErr w:type="spellEnd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et al. (2006)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05981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</w:tr>
      <w:tr w:rsidR="00A2170D" w:rsidRPr="00A2170D" w14:paraId="61EEAB37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FE6B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2F524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326D0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TGTGAGAGGTTCAACAATG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4F75F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2B5A1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188E323E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B52FF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E27Sc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BB756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11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GA(CA)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3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528A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TTAGTGCGACTCAGCAAC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529F2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van </w:t>
            </w:r>
            <w:proofErr w:type="spellStart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Herwerden</w:t>
            </w:r>
            <w:proofErr w:type="spellEnd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et al. (2006)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E0E3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</w:tr>
      <w:tr w:rsidR="00A2170D" w:rsidRPr="00A2170D" w14:paraId="42CFA512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A3CD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C75B8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CF27A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TGGAACAGCAATGATTGCA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F1BF7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0D748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11BB29B5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7B0E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F6Sc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9A7E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(TGTC)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8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BC86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TGATGAGGCTGAAAGACTGAC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C036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van </w:t>
            </w:r>
            <w:proofErr w:type="spellStart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Herwerden</w:t>
            </w:r>
            <w:proofErr w:type="spellEnd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et al. (2006)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E9D72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</w:tr>
      <w:tr w:rsidR="00A2170D" w:rsidRPr="00A2170D" w14:paraId="3074BF71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3BD201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4549F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F0C96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AGGTAGTGACCAACGCTCC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2B281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6DACE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3D761D39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12B2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H96Sc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E84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(TG)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5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TT(TG)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7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AG(TG)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4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C7022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AAAGAATGGAAATTCAGATCAC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6933E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van </w:t>
            </w:r>
            <w:proofErr w:type="spellStart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Herwerden</w:t>
            </w:r>
            <w:proofErr w:type="spellEnd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et al. (2006)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B8D3D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</w:tr>
      <w:tr w:rsidR="00A2170D" w:rsidRPr="00A2170D" w14:paraId="6B788250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BF928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A2717D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888E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TAAAATGACATCATCCCATGG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9AEA2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0D6215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79386CC1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C2A3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J10Sc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CD3F3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(GATT)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10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C0C2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CACAGTCCTCTGGACCAAAC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B568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van </w:t>
            </w:r>
            <w:proofErr w:type="spellStart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Herwerden</w:t>
            </w:r>
            <w:proofErr w:type="spellEnd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et al. (2006)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3B736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</w:tr>
      <w:tr w:rsidR="00A2170D" w:rsidRPr="00A2170D" w14:paraId="68D25F07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115AA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8BD74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8C270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TCGTTGGAAACGGTCGCTGT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81E7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5F55B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5E1EFCB5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47E82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J43Sc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641CF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(TG)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4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CC(TG)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15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749F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TGATCTAATCAATGGGAGAGG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E33B1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van </w:t>
            </w:r>
            <w:proofErr w:type="spellStart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Herwerden</w:t>
            </w:r>
            <w:proofErr w:type="spellEnd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et al. (2006)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0F3A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</w:tr>
      <w:tr w:rsidR="00A2170D" w:rsidRPr="00A2170D" w14:paraId="6FE82187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D1A762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F4F91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C35E8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TGCTCACATGTGCAAGCAAT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CE30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DF335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0864E68F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B19D3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L42Sc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A8F24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11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AA(CA)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3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2299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ATGGCAACGGCGAGATTAAGG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C466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van </w:t>
            </w:r>
            <w:proofErr w:type="spellStart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Herwerden</w:t>
            </w:r>
            <w:proofErr w:type="spellEnd"/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et al. (2006)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539A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</w:tr>
      <w:tr w:rsidR="00A2170D" w:rsidRPr="00A2170D" w14:paraId="71FF4093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DA47D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C0D27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15E6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TCCAGAACAGCAGCAGTTTCC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01321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5A8DD1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35AB66AC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3A5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Sa2657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B202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(CG)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8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(AG)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6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DC7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TGTCAGAGATGTAGCACATACGG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27C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Tang et al. (2009)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E2056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</w:tr>
      <w:tr w:rsidR="00A2170D" w:rsidRPr="00A2170D" w14:paraId="47794311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EAFC0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9155D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58EF8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AGCATTATCTGGTGCTGTAAGGA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A6F13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40179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034CC761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EC14A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Sa2770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ECC1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(AC)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15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(CCT)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4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C7CC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AGAAATGAAAAGGGCTTTAAGGA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E83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Tang et al. (2009)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92EFF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</w:tr>
      <w:tr w:rsidR="00A2170D" w:rsidRPr="00A2170D" w14:paraId="6E74BA43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98671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76B5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E456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ACTGAGCTGCTTAAAATGCAAAA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9FF07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596B43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32B0FCBA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A7CC7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SCA8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1891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n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4933E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CAGCTGTTCATTCCCATAGCCCA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1763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Broughton et al. (2000)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1A4EE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</w:tr>
      <w:tr w:rsidR="00A2170D" w:rsidRPr="00A2170D" w14:paraId="1109BEEE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C433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0C4290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2927D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ATGAAGGAACAATGAGCCTCCAGC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A88C6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DD2B8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569953FA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E5B0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SCA30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6AF3F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n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DFB52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TGGCTGTCGGTCACTCTGCCTC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F674F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Broughton et al. (2000)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B188A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</w:tr>
      <w:tr w:rsidR="00A2170D" w:rsidRPr="00A2170D" w14:paraId="3C92869E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3782BF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FCCEE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57D61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ACACACACGGGTACACACAGGG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7F7E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E8148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66801CCE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31E9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SCA37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A1DE4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(GT)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10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977CA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GCGCCGTGACTTTTTATTGCTC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5508D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Broughton et al. (2000)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03F10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</w:tr>
      <w:tr w:rsidR="00A2170D" w:rsidRPr="00A2170D" w14:paraId="3B7B624A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DFC6D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9C98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4F10C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CAACAATTAGTCGCAGCCCTAG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402B68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E0AA6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7D9BA486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67E83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SCA44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21F5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(TCTG)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8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3A0F4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ATGGCCAAATGGCACATAATCA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2682B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Broughton et al. (2000)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2DD96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</w:tr>
      <w:tr w:rsidR="00A2170D" w:rsidRPr="00A2170D" w14:paraId="4C8A586E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39699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55767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6F2DF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GGGCAGCTCCATGGGTCTGAGT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0106D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32760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A2170D" w:rsidRPr="00A2170D" w14:paraId="3E7209E3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F4388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SM3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EB4DD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(CA)</w:t>
            </w:r>
            <w:r w:rsidRPr="00A2170D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en-GB"/>
              </w:rPr>
              <w:t>24</w:t>
            </w: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D50E2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GAAGGAGGAGGAGGAGCTGT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4DCB1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Used in Radhakrishnan et al. (2018)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37667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</w:tr>
      <w:tr w:rsidR="00A2170D" w:rsidRPr="00A2170D" w14:paraId="0A624126" w14:textId="77777777" w:rsidTr="000A58A8">
        <w:trPr>
          <w:trHeight w:val="20"/>
        </w:trPr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21358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CF48E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EC068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GTTTCTTGGTCAGTCTGCCGG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820F0" w14:textId="77777777" w:rsidR="00A2170D" w:rsidRPr="00A2170D" w:rsidRDefault="00A2170D" w:rsidP="00A217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A2170D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451C9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7669F9F6" w14:textId="77777777" w:rsidR="00A2170D" w:rsidRPr="00A2170D" w:rsidRDefault="00A2170D" w:rsidP="00A2170D">
      <w:pPr>
        <w:jc w:val="both"/>
        <w:rPr>
          <w:kern w:val="2"/>
        </w:rPr>
      </w:pPr>
    </w:p>
    <w:p w14:paraId="5AA7442F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>References:</w:t>
      </w:r>
    </w:p>
    <w:p w14:paraId="5DEF959D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>Broughton, R. E., Stewart, L. B., &amp; Gold, J. R. (2002). Microsatellite variation suggests substantial gene flow between king mackerel (</w:t>
      </w:r>
      <w:r w:rsidRPr="00A2170D">
        <w:rPr>
          <w:i/>
          <w:iCs/>
          <w:kern w:val="2"/>
        </w:rPr>
        <w:t>Scomberomorus cavalla</w:t>
      </w:r>
      <w:r w:rsidRPr="00A2170D">
        <w:rPr>
          <w:kern w:val="2"/>
        </w:rPr>
        <w:t xml:space="preserve">) in the western Atlantic Ocean and Gulf of Mexico. </w:t>
      </w:r>
      <w:r w:rsidRPr="00A2170D">
        <w:rPr>
          <w:i/>
          <w:iCs/>
          <w:kern w:val="2"/>
        </w:rPr>
        <w:t>Fisheries Research</w:t>
      </w:r>
      <w:r w:rsidRPr="00A2170D">
        <w:rPr>
          <w:kern w:val="2"/>
        </w:rPr>
        <w:t>, (54), 305–316. https://doi.org/10.1016/S0165-7836(01)00275-2</w:t>
      </w:r>
    </w:p>
    <w:p w14:paraId="4B4BA05F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 xml:space="preserve">Radhakrishnan, D. P., </w:t>
      </w:r>
      <w:proofErr w:type="spellStart"/>
      <w:r w:rsidRPr="00A2170D">
        <w:rPr>
          <w:kern w:val="2"/>
        </w:rPr>
        <w:t>Nedumpally</w:t>
      </w:r>
      <w:proofErr w:type="spellEnd"/>
      <w:r w:rsidRPr="00A2170D">
        <w:rPr>
          <w:kern w:val="2"/>
        </w:rPr>
        <w:t xml:space="preserve">, V., </w:t>
      </w:r>
      <w:proofErr w:type="spellStart"/>
      <w:r w:rsidRPr="00A2170D">
        <w:rPr>
          <w:kern w:val="2"/>
        </w:rPr>
        <w:t>Kathirvelpandian</w:t>
      </w:r>
      <w:proofErr w:type="spellEnd"/>
      <w:r w:rsidRPr="00A2170D">
        <w:rPr>
          <w:kern w:val="2"/>
        </w:rPr>
        <w:t xml:space="preserve">, A., </w:t>
      </w:r>
      <w:proofErr w:type="spellStart"/>
      <w:r w:rsidRPr="00A2170D">
        <w:rPr>
          <w:kern w:val="2"/>
        </w:rPr>
        <w:t>Saidmuhammed</w:t>
      </w:r>
      <w:proofErr w:type="spellEnd"/>
      <w:r w:rsidRPr="00A2170D">
        <w:rPr>
          <w:kern w:val="2"/>
        </w:rPr>
        <w:t xml:space="preserve">, B. V., &amp; Gopalakrishnan, A. (2018). Population structure of Spanish mackerel </w:t>
      </w:r>
      <w:r w:rsidRPr="00A2170D">
        <w:rPr>
          <w:i/>
          <w:iCs/>
          <w:kern w:val="2"/>
        </w:rPr>
        <w:t xml:space="preserve">Scomberomorus </w:t>
      </w:r>
      <w:proofErr w:type="spellStart"/>
      <w:proofErr w:type="gramStart"/>
      <w:r w:rsidRPr="00A2170D">
        <w:rPr>
          <w:i/>
          <w:iCs/>
          <w:kern w:val="2"/>
        </w:rPr>
        <w:t>commerson</w:t>
      </w:r>
      <w:proofErr w:type="spellEnd"/>
      <w:r w:rsidRPr="00A2170D">
        <w:rPr>
          <w:i/>
          <w:iCs/>
          <w:kern w:val="2"/>
        </w:rPr>
        <w:t xml:space="preserve"> </w:t>
      </w:r>
      <w:r w:rsidRPr="00A2170D">
        <w:rPr>
          <w:kern w:val="2"/>
        </w:rPr>
        <w:t xml:space="preserve"> (</w:t>
      </w:r>
      <w:proofErr w:type="spellStart"/>
      <w:proofErr w:type="gramEnd"/>
      <w:r w:rsidRPr="00A2170D">
        <w:rPr>
          <w:kern w:val="2"/>
        </w:rPr>
        <w:t>Lacepede</w:t>
      </w:r>
      <w:proofErr w:type="spellEnd"/>
      <w:r w:rsidRPr="00A2170D">
        <w:rPr>
          <w:kern w:val="2"/>
        </w:rPr>
        <w:t xml:space="preserve"> 1800) in the Northern Indian Ocean determined using microsatellite markers. </w:t>
      </w:r>
      <w:r w:rsidRPr="00A2170D">
        <w:rPr>
          <w:i/>
          <w:iCs/>
          <w:kern w:val="2"/>
        </w:rPr>
        <w:t>Aquatic Living Resources</w:t>
      </w:r>
      <w:r w:rsidRPr="00A2170D">
        <w:rPr>
          <w:kern w:val="2"/>
        </w:rPr>
        <w:t xml:space="preserve">, </w:t>
      </w:r>
      <w:r w:rsidRPr="00A2170D">
        <w:rPr>
          <w:i/>
          <w:iCs/>
          <w:kern w:val="2"/>
        </w:rPr>
        <w:t>31</w:t>
      </w:r>
      <w:r w:rsidRPr="00A2170D">
        <w:rPr>
          <w:kern w:val="2"/>
        </w:rPr>
        <w:t>, 22. https://doi.org/10.1051/alr/2018011</w:t>
      </w:r>
    </w:p>
    <w:p w14:paraId="2F542B6A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>Tang, C. Y., Tzeng, C. H., Chen, C. S., &amp; Chiu, T. S. (2009). Microsatellite DNA markers for population-genetic studies of blue mackerel (</w:t>
      </w:r>
      <w:proofErr w:type="spellStart"/>
      <w:r w:rsidRPr="00A2170D">
        <w:rPr>
          <w:i/>
          <w:iCs/>
          <w:kern w:val="2"/>
        </w:rPr>
        <w:t>Scomber</w:t>
      </w:r>
      <w:proofErr w:type="spellEnd"/>
      <w:r w:rsidRPr="00A2170D">
        <w:rPr>
          <w:i/>
          <w:iCs/>
          <w:kern w:val="2"/>
        </w:rPr>
        <w:t xml:space="preserve"> </w:t>
      </w:r>
      <w:proofErr w:type="spellStart"/>
      <w:r w:rsidRPr="00A2170D">
        <w:rPr>
          <w:i/>
          <w:iCs/>
          <w:kern w:val="2"/>
        </w:rPr>
        <w:t>australasicus</w:t>
      </w:r>
      <w:proofErr w:type="spellEnd"/>
      <w:r w:rsidRPr="00A2170D">
        <w:rPr>
          <w:kern w:val="2"/>
        </w:rPr>
        <w:t xml:space="preserve">) and cross-specific amplification in S. japonicus. </w:t>
      </w:r>
      <w:r w:rsidRPr="00A2170D">
        <w:rPr>
          <w:i/>
          <w:iCs/>
          <w:kern w:val="2"/>
        </w:rPr>
        <w:t>Molecular Ecology Resources</w:t>
      </w:r>
      <w:r w:rsidRPr="00A2170D">
        <w:rPr>
          <w:kern w:val="2"/>
        </w:rPr>
        <w:t xml:space="preserve">, </w:t>
      </w:r>
      <w:r w:rsidRPr="00A2170D">
        <w:rPr>
          <w:i/>
          <w:iCs/>
          <w:kern w:val="2"/>
        </w:rPr>
        <w:t>9</w:t>
      </w:r>
      <w:r w:rsidRPr="00A2170D">
        <w:rPr>
          <w:kern w:val="2"/>
        </w:rPr>
        <w:t>(3), 824</w:t>
      </w:r>
      <w:r w:rsidRPr="00A2170D">
        <w:rPr>
          <w:kern w:val="2"/>
        </w:rPr>
        <w:noBreakHyphen/>
        <w:t xml:space="preserve">827. </w:t>
      </w:r>
      <w:hyperlink r:id="rId6" w:history="1">
        <w:r w:rsidRPr="00A2170D">
          <w:rPr>
            <w:color w:val="467886" w:themeColor="hyperlink"/>
            <w:kern w:val="2"/>
            <w:u w:val="single"/>
          </w:rPr>
          <w:t>https://doi.org/10.1111/j.1755-0998.2008.02278.x</w:t>
        </w:r>
      </w:hyperlink>
    </w:p>
    <w:p w14:paraId="4B123F40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lastRenderedPageBreak/>
        <w:t>van </w:t>
      </w:r>
      <w:proofErr w:type="spellStart"/>
      <w:r w:rsidRPr="00A2170D">
        <w:rPr>
          <w:kern w:val="2"/>
        </w:rPr>
        <w:t>Herwerden</w:t>
      </w:r>
      <w:proofErr w:type="spellEnd"/>
      <w:r w:rsidRPr="00A2170D">
        <w:rPr>
          <w:kern w:val="2"/>
        </w:rPr>
        <w:t>, L., McIlwain, J., Al-</w:t>
      </w:r>
      <w:proofErr w:type="spellStart"/>
      <w:r w:rsidRPr="00A2170D">
        <w:rPr>
          <w:kern w:val="2"/>
        </w:rPr>
        <w:t>Oufi</w:t>
      </w:r>
      <w:proofErr w:type="spellEnd"/>
      <w:r w:rsidRPr="00A2170D">
        <w:rPr>
          <w:kern w:val="2"/>
        </w:rPr>
        <w:t xml:space="preserve">, H., Al-Amry, W., &amp; Reyes, A. (2006). Development and application of microsatellite markers for </w:t>
      </w:r>
      <w:r w:rsidRPr="00A2170D">
        <w:rPr>
          <w:i/>
          <w:iCs/>
          <w:kern w:val="2"/>
        </w:rPr>
        <w:t xml:space="preserve">Scomberomorus </w:t>
      </w:r>
      <w:proofErr w:type="spellStart"/>
      <w:r w:rsidRPr="00A2170D">
        <w:rPr>
          <w:i/>
          <w:iCs/>
          <w:kern w:val="2"/>
        </w:rPr>
        <w:t>commerson</w:t>
      </w:r>
      <w:proofErr w:type="spellEnd"/>
      <w:r w:rsidRPr="00A2170D">
        <w:rPr>
          <w:kern w:val="2"/>
        </w:rPr>
        <w:t xml:space="preserve"> (Perciformes; Teleostei) to a population genetic study of Arabian Peninsula stocks. </w:t>
      </w:r>
      <w:r w:rsidRPr="00A2170D">
        <w:rPr>
          <w:i/>
          <w:iCs/>
          <w:kern w:val="2"/>
        </w:rPr>
        <w:t>Fisheries Research</w:t>
      </w:r>
      <w:r w:rsidRPr="00A2170D">
        <w:rPr>
          <w:kern w:val="2"/>
        </w:rPr>
        <w:t xml:space="preserve">, </w:t>
      </w:r>
      <w:r w:rsidRPr="00A2170D">
        <w:rPr>
          <w:i/>
          <w:iCs/>
          <w:kern w:val="2"/>
        </w:rPr>
        <w:t>79</w:t>
      </w:r>
      <w:r w:rsidRPr="00A2170D">
        <w:rPr>
          <w:kern w:val="2"/>
        </w:rPr>
        <w:t>(3), 258</w:t>
      </w:r>
      <w:r w:rsidRPr="00A2170D">
        <w:rPr>
          <w:kern w:val="2"/>
        </w:rPr>
        <w:noBreakHyphen/>
        <w:t xml:space="preserve">266. </w:t>
      </w:r>
      <w:hyperlink r:id="rId7" w:history="1">
        <w:r w:rsidRPr="00A2170D">
          <w:rPr>
            <w:color w:val="467886" w:themeColor="hyperlink"/>
            <w:kern w:val="2"/>
            <w:u w:val="single"/>
          </w:rPr>
          <w:t>https://doi.org/10.1016/j.fishres.2006.04.004</w:t>
        </w:r>
      </w:hyperlink>
    </w:p>
    <w:p w14:paraId="16114781" w14:textId="77777777" w:rsidR="00A2170D" w:rsidRPr="00A2170D" w:rsidRDefault="00A2170D" w:rsidP="00A2170D">
      <w:pPr>
        <w:jc w:val="both"/>
        <w:rPr>
          <w:kern w:val="2"/>
        </w:rPr>
      </w:pPr>
    </w:p>
    <w:p w14:paraId="2FF0DDC1" w14:textId="77777777" w:rsidR="00A2170D" w:rsidRPr="00A2170D" w:rsidRDefault="00A2170D" w:rsidP="00A2170D">
      <w:pPr>
        <w:jc w:val="both"/>
        <w:rPr>
          <w:kern w:val="2"/>
        </w:rPr>
      </w:pPr>
    </w:p>
    <w:p w14:paraId="4678104D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 xml:space="preserve">Supp. Mat. 2: </w:t>
      </w:r>
      <w:r w:rsidRPr="00A2170D">
        <w:rPr>
          <w:color w:val="000000" w:themeColor="text1"/>
          <w:kern w:val="2"/>
        </w:rPr>
        <w:t>Percentage of missing data (%NA) and n</w:t>
      </w:r>
      <w:r w:rsidRPr="00A2170D">
        <w:rPr>
          <w:kern w:val="2"/>
        </w:rPr>
        <w:t xml:space="preserve">umber of alleles (Na) estimated for each locus, </w:t>
      </w:r>
      <w:r w:rsidRPr="00A2170D">
        <w:rPr>
          <w:color w:val="000000" w:themeColor="text1"/>
          <w:kern w:val="2"/>
        </w:rPr>
        <w:t>over all individuals and per region (RS: Red Sea, AG: Arabian Gulf)</w:t>
      </w:r>
    </w:p>
    <w:tbl>
      <w:tblPr>
        <w:tblW w:w="5000" w:type="pct"/>
        <w:tblBorders>
          <w:top w:val="single" w:sz="6" w:space="0" w:color="D3D8DC"/>
          <w:bottom w:val="single" w:sz="6" w:space="0" w:color="D3D8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614"/>
        <w:gridCol w:w="1263"/>
        <w:gridCol w:w="1263"/>
        <w:gridCol w:w="1263"/>
        <w:gridCol w:w="1263"/>
        <w:gridCol w:w="1263"/>
      </w:tblGrid>
      <w:tr w:rsidR="00A2170D" w:rsidRPr="00A2170D" w14:paraId="262BD4B2" w14:textId="77777777" w:rsidTr="000A58A8">
        <w:trPr>
          <w:tblHeader/>
        </w:trPr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635FD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Locus</w:t>
            </w:r>
          </w:p>
        </w:tc>
        <w:tc>
          <w:tcPr>
            <w:tcW w:w="2213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1E07B" w14:textId="77777777" w:rsidR="00A2170D" w:rsidRPr="00A2170D" w:rsidRDefault="00A2170D" w:rsidP="00A2170D">
            <w:pPr>
              <w:spacing w:after="0"/>
              <w:jc w:val="center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%NA</w:t>
            </w:r>
          </w:p>
        </w:tc>
        <w:tc>
          <w:tcPr>
            <w:tcW w:w="2025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ADCA05" w14:textId="77777777" w:rsidR="00A2170D" w:rsidRPr="00A2170D" w:rsidRDefault="00A2170D" w:rsidP="00A2170D">
            <w:pPr>
              <w:spacing w:after="0"/>
              <w:jc w:val="center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Na</w:t>
            </w:r>
          </w:p>
        </w:tc>
      </w:tr>
      <w:tr w:rsidR="00A2170D" w:rsidRPr="00A2170D" w14:paraId="1E499E5B" w14:textId="77777777" w:rsidTr="000A58A8">
        <w:trPr>
          <w:tblHeader/>
        </w:trPr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8B70F3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792023" w14:textId="77777777" w:rsidR="00A2170D" w:rsidRPr="00A2170D" w:rsidRDefault="00A2170D" w:rsidP="00A2170D">
            <w:pPr>
              <w:spacing w:after="0"/>
              <w:jc w:val="center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Overall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BD2B8B5" w14:textId="77777777" w:rsidR="00A2170D" w:rsidRPr="00A2170D" w:rsidRDefault="00A2170D" w:rsidP="00A2170D">
            <w:pPr>
              <w:spacing w:after="0"/>
              <w:jc w:val="center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AG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04B100" w14:textId="77777777" w:rsidR="00A2170D" w:rsidRPr="00A2170D" w:rsidRDefault="00A2170D" w:rsidP="00A2170D">
            <w:pPr>
              <w:spacing w:after="0"/>
              <w:jc w:val="center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RS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5071E27" w14:textId="77777777" w:rsidR="00A2170D" w:rsidRPr="00A2170D" w:rsidRDefault="00A2170D" w:rsidP="00A2170D">
            <w:pPr>
              <w:spacing w:after="0"/>
              <w:jc w:val="center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Overall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D1C66C7" w14:textId="77777777" w:rsidR="00A2170D" w:rsidRPr="00A2170D" w:rsidRDefault="00A2170D" w:rsidP="00A2170D">
            <w:pPr>
              <w:spacing w:after="0"/>
              <w:jc w:val="center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AG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59FCB5E" w14:textId="77777777" w:rsidR="00A2170D" w:rsidRPr="00A2170D" w:rsidRDefault="00A2170D" w:rsidP="00A2170D">
            <w:pPr>
              <w:spacing w:after="0"/>
              <w:jc w:val="center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RS</w:t>
            </w:r>
          </w:p>
        </w:tc>
      </w:tr>
      <w:tr w:rsidR="00A2170D" w:rsidRPr="00A2170D" w14:paraId="7E6D026B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CCE4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90TRE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6292E6CA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2.86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38ACC18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2.85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6893255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2.85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5CBBFF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8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A50CAA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E3A63A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8</w:t>
            </w:r>
          </w:p>
        </w:tc>
      </w:tr>
      <w:tr w:rsidR="00A2170D" w:rsidRPr="00A2170D" w14:paraId="66B28008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2ACB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C83Sc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CA9E82F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0.00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D3D5A3F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0.00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5BBF070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0.00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03D274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10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AD76D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7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B519F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10</w:t>
            </w:r>
          </w:p>
        </w:tc>
      </w:tr>
      <w:tr w:rsidR="00A2170D" w:rsidRPr="00A2170D" w14:paraId="5BCCA036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6A88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D61Sc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3DCBD13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43.81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64E8746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28.57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3DA86E8F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51.43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A62D9C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21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305BFD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45DA18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19</w:t>
            </w:r>
          </w:p>
        </w:tc>
      </w:tr>
      <w:tr w:rsidR="00A2170D" w:rsidRPr="00A2170D" w14:paraId="5641DA3C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B1B1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E27Sc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4BC567F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38.10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84EFEA3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11.43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98B650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51.43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028D1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2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1AC140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2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74A099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2</w:t>
            </w:r>
          </w:p>
        </w:tc>
      </w:tr>
      <w:tr w:rsidR="00A2170D" w:rsidRPr="00A2170D" w14:paraId="116E72EE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E02A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F6Sc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C992FEA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1.91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BCFFD0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2.86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52AA0ED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6C8475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8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22469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8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FB9ACD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7</w:t>
            </w:r>
          </w:p>
        </w:tc>
      </w:tr>
      <w:tr w:rsidR="00A2170D" w:rsidRPr="00A2170D" w14:paraId="4341B1F0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BE0BD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H96Sc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529890D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5.72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57BA21F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11.43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3075668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2.86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8A90C6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E0D03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A118CF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5</w:t>
            </w:r>
          </w:p>
        </w:tc>
      </w:tr>
      <w:tr w:rsidR="00A2170D" w:rsidRPr="00A2170D" w14:paraId="7B141389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41DE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J10Sc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80B047A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4.77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9B77796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5.71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E73A956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4.29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33F4D4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7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441F6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75FA66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7</w:t>
            </w:r>
          </w:p>
        </w:tc>
      </w:tr>
      <w:tr w:rsidR="00A2170D" w:rsidRPr="00A2170D" w14:paraId="7255E3E8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E71F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J43Sc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2A71309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0.96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E91EEE0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2.86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F85E07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0.00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010DF2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10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80D92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8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1777A5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10</w:t>
            </w:r>
          </w:p>
        </w:tc>
      </w:tr>
      <w:tr w:rsidR="00A2170D" w:rsidRPr="00A2170D" w14:paraId="77C87078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53BE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L42Sc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DA91505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6.67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A982872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8.57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3A549021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5.71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2A1F6C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28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045F7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20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CFC515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22</w:t>
            </w:r>
          </w:p>
        </w:tc>
      </w:tr>
      <w:tr w:rsidR="00A2170D" w:rsidRPr="00A2170D" w14:paraId="35BA03A4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FB47D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Sa2657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70C0AC9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7.62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4067FAA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0.00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85C4A8A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11.43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A4694C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9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68684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7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75DD5D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8</w:t>
            </w:r>
          </w:p>
        </w:tc>
      </w:tr>
      <w:tr w:rsidR="00A2170D" w:rsidRPr="00A2170D" w14:paraId="08D6D35C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2A6FA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Sa2770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30A925E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71.43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79DF02D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78.57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113A186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76.20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286DD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NA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0ABAF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NA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B3FBF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NA</w:t>
            </w:r>
          </w:p>
        </w:tc>
      </w:tr>
      <w:tr w:rsidR="00A2170D" w:rsidRPr="00A2170D" w14:paraId="1EBF51E3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7179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SCA8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7D1956F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1.90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E5EB465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71.43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323B3DD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78.57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C02EF5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31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D63C4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22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D35061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27</w:t>
            </w:r>
          </w:p>
        </w:tc>
      </w:tr>
      <w:tr w:rsidR="00A2170D" w:rsidRPr="00A2170D" w14:paraId="12C31B62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5313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SCA30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3E2E6E03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0.96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63F512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2.85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6199D90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0.00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BE66F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34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8100C5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23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078D43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33</w:t>
            </w:r>
          </w:p>
        </w:tc>
      </w:tr>
      <w:tr w:rsidR="00A2170D" w:rsidRPr="00A2170D" w14:paraId="49A76335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E427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SCA37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2497E9D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0.96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8B38A3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0.00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087265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197AD6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23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8A3E08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7A8E07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22</w:t>
            </w:r>
          </w:p>
        </w:tc>
      </w:tr>
      <w:tr w:rsidR="00A2170D" w:rsidRPr="00A2170D" w14:paraId="3379F1DC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5B8B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SCA44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BDC948E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33.34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3BF562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11.43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419CB9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44.28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26432A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11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EB99EC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10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CA95B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10</w:t>
            </w:r>
          </w:p>
        </w:tc>
      </w:tr>
      <w:tr w:rsidR="00A2170D" w:rsidRPr="00A2170D" w14:paraId="3AD382E7" w14:textId="77777777" w:rsidTr="000A58A8">
        <w:tc>
          <w:tcPr>
            <w:tcW w:w="76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04AA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SM3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57DD32D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 Narrow" w:hAnsi="Aptos Narrow"/>
                <w:color w:val="000000"/>
                <w:kern w:val="2"/>
              </w:rPr>
              <w:t>32.38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1B1048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5.71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4C7711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45.71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80AA02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kern w:val="2"/>
              </w:rPr>
              <w:t>14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06D8AE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13</w:t>
            </w: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B36FC3" w14:textId="77777777" w:rsidR="00A2170D" w:rsidRPr="00A2170D" w:rsidRDefault="00A2170D" w:rsidP="00A2170D">
            <w:pPr>
              <w:spacing w:after="0"/>
              <w:jc w:val="center"/>
              <w:rPr>
                <w:kern w:val="2"/>
              </w:rPr>
            </w:pPr>
            <w:r w:rsidRPr="00A2170D">
              <w:rPr>
                <w:rFonts w:ascii="Aptos" w:hAnsi="Aptos"/>
                <w:color w:val="000000"/>
                <w:kern w:val="2"/>
              </w:rPr>
              <w:t>13</w:t>
            </w:r>
          </w:p>
        </w:tc>
      </w:tr>
    </w:tbl>
    <w:p w14:paraId="5F51A385" w14:textId="77777777" w:rsidR="00A2170D" w:rsidRPr="00A2170D" w:rsidRDefault="00A2170D" w:rsidP="00A2170D">
      <w:pPr>
        <w:jc w:val="both"/>
        <w:rPr>
          <w:kern w:val="2"/>
        </w:rPr>
      </w:pPr>
    </w:p>
    <w:p w14:paraId="59FB09B8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>Supp. Mat. 3: Basic diversity and differentiation statistics by locus.</w:t>
      </w:r>
      <w:r w:rsidRPr="00A2170D">
        <w:rPr>
          <w:color w:val="000000" w:themeColor="text1"/>
          <w:kern w:val="2"/>
        </w:rPr>
        <w:t xml:space="preserve"> </w:t>
      </w:r>
      <w:r w:rsidRPr="00A2170D">
        <w:rPr>
          <w:kern w:val="2"/>
        </w:rPr>
        <w:t>H</w:t>
      </w:r>
      <w:r w:rsidRPr="00A2170D">
        <w:rPr>
          <w:kern w:val="2"/>
          <w:vertAlign w:val="subscript"/>
        </w:rPr>
        <w:t>o</w:t>
      </w:r>
      <w:r w:rsidRPr="00A2170D">
        <w:rPr>
          <w:kern w:val="2"/>
        </w:rPr>
        <w:t>: observed heterozygosity, H</w:t>
      </w:r>
      <w:r w:rsidRPr="00A2170D">
        <w:rPr>
          <w:kern w:val="2"/>
          <w:vertAlign w:val="subscript"/>
        </w:rPr>
        <w:t>s</w:t>
      </w:r>
      <w:r w:rsidRPr="00A2170D">
        <w:rPr>
          <w:kern w:val="2"/>
        </w:rPr>
        <w:t xml:space="preserve">: mean gene diversities within population, </w:t>
      </w:r>
      <w:proofErr w:type="spellStart"/>
      <w:r w:rsidRPr="00A2170D">
        <w:rPr>
          <w:kern w:val="2"/>
        </w:rPr>
        <w:t>H</w:t>
      </w:r>
      <w:r w:rsidRPr="00A2170D">
        <w:rPr>
          <w:kern w:val="2"/>
          <w:vertAlign w:val="subscript"/>
        </w:rPr>
        <w:t>t</w:t>
      </w:r>
      <w:proofErr w:type="spellEnd"/>
      <w:r w:rsidRPr="00A2170D">
        <w:rPr>
          <w:kern w:val="2"/>
        </w:rPr>
        <w:t xml:space="preserve"> (</w:t>
      </w:r>
      <w:proofErr w:type="spellStart"/>
      <w:r w:rsidRPr="00A2170D">
        <w:rPr>
          <w:kern w:val="2"/>
        </w:rPr>
        <w:t>H’</w:t>
      </w:r>
      <w:r w:rsidRPr="00A2170D">
        <w:rPr>
          <w:kern w:val="2"/>
          <w:vertAlign w:val="subscript"/>
        </w:rPr>
        <w:t>t</w:t>
      </w:r>
      <w:proofErr w:type="spellEnd"/>
      <w:r w:rsidRPr="00A2170D">
        <w:rPr>
          <w:kern w:val="2"/>
        </w:rPr>
        <w:t>): Overall (and corrected) gene diversity, D</w:t>
      </w:r>
      <w:r w:rsidRPr="00A2170D">
        <w:rPr>
          <w:kern w:val="2"/>
          <w:vertAlign w:val="subscript"/>
        </w:rPr>
        <w:t>ST</w:t>
      </w:r>
      <w:r w:rsidRPr="00A2170D">
        <w:rPr>
          <w:kern w:val="2"/>
        </w:rPr>
        <w:t xml:space="preserve"> (D’</w:t>
      </w:r>
      <w:r w:rsidRPr="00A2170D">
        <w:rPr>
          <w:kern w:val="2"/>
          <w:vertAlign w:val="subscript"/>
        </w:rPr>
        <w:t>ST</w:t>
      </w:r>
      <w:r w:rsidRPr="00A2170D">
        <w:rPr>
          <w:kern w:val="2"/>
        </w:rPr>
        <w:t>): amount of gene diversity (and corrected) among samples, F</w:t>
      </w:r>
      <w:r w:rsidRPr="00A2170D">
        <w:rPr>
          <w:kern w:val="2"/>
          <w:vertAlign w:val="subscript"/>
        </w:rPr>
        <w:t>IS</w:t>
      </w:r>
      <w:r w:rsidRPr="00A2170D">
        <w:rPr>
          <w:kern w:val="2"/>
        </w:rPr>
        <w:t>: Inbreeding coefficient, F</w:t>
      </w:r>
      <w:r w:rsidRPr="00A2170D">
        <w:rPr>
          <w:kern w:val="2"/>
          <w:vertAlign w:val="subscript"/>
        </w:rPr>
        <w:t>ST</w:t>
      </w:r>
      <w:r w:rsidRPr="00A2170D">
        <w:rPr>
          <w:kern w:val="2"/>
        </w:rPr>
        <w:t xml:space="preserve"> (</w:t>
      </w:r>
      <w:proofErr w:type="gramStart"/>
      <w:r w:rsidRPr="00A2170D">
        <w:rPr>
          <w:kern w:val="2"/>
        </w:rPr>
        <w:t>F’</w:t>
      </w:r>
      <w:r w:rsidRPr="00A2170D">
        <w:rPr>
          <w:kern w:val="2"/>
          <w:vertAlign w:val="subscript"/>
        </w:rPr>
        <w:t>ST</w:t>
      </w:r>
      <w:r w:rsidRPr="00A2170D">
        <w:rPr>
          <w:kern w:val="2"/>
        </w:rPr>
        <w:t xml:space="preserve"> )</w:t>
      </w:r>
      <w:proofErr w:type="gramEnd"/>
      <w:r w:rsidRPr="00A2170D">
        <w:rPr>
          <w:kern w:val="2"/>
        </w:rPr>
        <w:t>: Fixation Index (and corrected), and D</w:t>
      </w:r>
      <w:r w:rsidRPr="00A2170D">
        <w:rPr>
          <w:kern w:val="2"/>
          <w:vertAlign w:val="subscript"/>
        </w:rPr>
        <w:t>est</w:t>
      </w:r>
      <w:r w:rsidRPr="00A2170D">
        <w:rPr>
          <w:kern w:val="2"/>
        </w:rPr>
        <w:t>: Actual/Absolute Differentiation (Jost's D). F</w:t>
      </w:r>
      <w:r w:rsidRPr="00A2170D">
        <w:rPr>
          <w:kern w:val="2"/>
          <w:vertAlign w:val="subscript"/>
        </w:rPr>
        <w:t>ST</w:t>
      </w:r>
      <w:r w:rsidRPr="00A2170D">
        <w:rPr>
          <w:kern w:val="2"/>
        </w:rPr>
        <w:t>, F’</w:t>
      </w:r>
      <w:r w:rsidRPr="00A2170D">
        <w:rPr>
          <w:kern w:val="2"/>
          <w:vertAlign w:val="subscript"/>
        </w:rPr>
        <w:t>ST</w:t>
      </w:r>
      <w:r w:rsidRPr="00A2170D">
        <w:rPr>
          <w:kern w:val="2"/>
        </w:rPr>
        <w:t xml:space="preserve">, and </w:t>
      </w:r>
      <w:r w:rsidRPr="00A2170D">
        <w:rPr>
          <w:color w:val="000000" w:themeColor="text1"/>
          <w:kern w:val="2"/>
        </w:rPr>
        <w:t>F</w:t>
      </w:r>
      <w:r w:rsidRPr="00A2170D">
        <w:rPr>
          <w:color w:val="000000" w:themeColor="text1"/>
          <w:kern w:val="2"/>
          <w:vertAlign w:val="subscript"/>
        </w:rPr>
        <w:t>IS</w:t>
      </w:r>
      <w:r w:rsidRPr="00A2170D">
        <w:rPr>
          <w:kern w:val="2"/>
        </w:rPr>
        <w:t xml:space="preserve"> following Nei (1987).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743"/>
        <w:gridCol w:w="743"/>
        <w:gridCol w:w="747"/>
        <w:gridCol w:w="791"/>
        <w:gridCol w:w="790"/>
        <w:gridCol w:w="790"/>
        <w:gridCol w:w="790"/>
        <w:gridCol w:w="790"/>
        <w:gridCol w:w="790"/>
        <w:gridCol w:w="771"/>
      </w:tblGrid>
      <w:tr w:rsidR="00A2170D" w:rsidRPr="00A2170D" w14:paraId="3AD25E6E" w14:textId="77777777" w:rsidTr="000A58A8">
        <w:trPr>
          <w:tblHeader/>
        </w:trPr>
        <w:tc>
          <w:tcPr>
            <w:tcW w:w="472" w:type="pct"/>
            <w:shd w:val="clear" w:color="auto" w:fill="FFFFFF"/>
            <w:vAlign w:val="center"/>
            <w:hideMark/>
          </w:tcPr>
          <w:p w14:paraId="0EB0C0F9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Locus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2DE7BDDD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H</w:t>
            </w:r>
            <w:r w:rsidRPr="00A2170D">
              <w:rPr>
                <w:b/>
                <w:bCs/>
                <w:kern w:val="2"/>
                <w:vertAlign w:val="subscript"/>
              </w:rPr>
              <w:t>o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2E6BA3F9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H</w:t>
            </w:r>
            <w:r w:rsidRPr="00A2170D">
              <w:rPr>
                <w:b/>
                <w:bCs/>
                <w:kern w:val="2"/>
                <w:vertAlign w:val="subscript"/>
              </w:rPr>
              <w:t>s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727E5561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proofErr w:type="spellStart"/>
            <w:r w:rsidRPr="00A2170D">
              <w:rPr>
                <w:b/>
                <w:bCs/>
                <w:kern w:val="2"/>
              </w:rPr>
              <w:t>H</w:t>
            </w:r>
            <w:r w:rsidRPr="00A2170D">
              <w:rPr>
                <w:b/>
                <w:bCs/>
                <w:kern w:val="2"/>
                <w:vertAlign w:val="subscript"/>
              </w:rPr>
              <w:t>t</w:t>
            </w:r>
            <w:proofErr w:type="spellEnd"/>
          </w:p>
        </w:tc>
        <w:tc>
          <w:tcPr>
            <w:tcW w:w="462" w:type="pct"/>
            <w:vAlign w:val="center"/>
          </w:tcPr>
          <w:p w14:paraId="739E66D7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proofErr w:type="spellStart"/>
            <w:r w:rsidRPr="00A2170D">
              <w:rPr>
                <w:b/>
                <w:bCs/>
                <w:kern w:val="2"/>
              </w:rPr>
              <w:t>H’</w:t>
            </w:r>
            <w:r w:rsidRPr="00A2170D">
              <w:rPr>
                <w:b/>
                <w:bCs/>
                <w:kern w:val="2"/>
                <w:vertAlign w:val="subscript"/>
              </w:rPr>
              <w:t>t</w:t>
            </w:r>
            <w:proofErr w:type="spellEnd"/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1EDC4902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D</w:t>
            </w:r>
            <w:r w:rsidRPr="00A2170D">
              <w:rPr>
                <w:b/>
                <w:bCs/>
                <w:kern w:val="2"/>
                <w:vertAlign w:val="subscript"/>
              </w:rPr>
              <w:t>ST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03E991CB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D’</w:t>
            </w:r>
            <w:r w:rsidRPr="00A2170D">
              <w:rPr>
                <w:b/>
                <w:bCs/>
                <w:kern w:val="2"/>
                <w:vertAlign w:val="subscript"/>
              </w:rPr>
              <w:t>ST</w:t>
            </w:r>
          </w:p>
        </w:tc>
        <w:tc>
          <w:tcPr>
            <w:tcW w:w="462" w:type="pct"/>
            <w:vAlign w:val="center"/>
          </w:tcPr>
          <w:p w14:paraId="328AD7D6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color w:val="000000" w:themeColor="text1"/>
                <w:kern w:val="2"/>
              </w:rPr>
              <w:t>F</w:t>
            </w:r>
            <w:r w:rsidRPr="00A2170D">
              <w:rPr>
                <w:b/>
                <w:bCs/>
                <w:color w:val="000000" w:themeColor="text1"/>
                <w:kern w:val="2"/>
                <w:vertAlign w:val="subscript"/>
              </w:rPr>
              <w:t>IS</w:t>
            </w:r>
          </w:p>
        </w:tc>
        <w:tc>
          <w:tcPr>
            <w:tcW w:w="462" w:type="pct"/>
            <w:shd w:val="clear" w:color="auto" w:fill="FFFFFF"/>
            <w:hideMark/>
          </w:tcPr>
          <w:p w14:paraId="13870456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color w:val="000000" w:themeColor="text1"/>
                <w:kern w:val="2"/>
              </w:rPr>
              <w:t>F</w:t>
            </w:r>
            <w:r w:rsidRPr="00A2170D">
              <w:rPr>
                <w:b/>
                <w:bCs/>
                <w:color w:val="000000" w:themeColor="text1"/>
                <w:kern w:val="2"/>
                <w:vertAlign w:val="subscript"/>
              </w:rPr>
              <w:t>ST</w:t>
            </w:r>
          </w:p>
        </w:tc>
        <w:tc>
          <w:tcPr>
            <w:tcW w:w="462" w:type="pct"/>
            <w:shd w:val="clear" w:color="auto" w:fill="FFFFFF"/>
            <w:hideMark/>
          </w:tcPr>
          <w:p w14:paraId="3DBE17AE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color w:val="000000" w:themeColor="text1"/>
                <w:kern w:val="2"/>
              </w:rPr>
              <w:t>F’</w:t>
            </w:r>
            <w:r w:rsidRPr="00A2170D">
              <w:rPr>
                <w:b/>
                <w:bCs/>
                <w:color w:val="000000" w:themeColor="text1"/>
                <w:kern w:val="2"/>
                <w:vertAlign w:val="subscript"/>
              </w:rPr>
              <w:t>ST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409F5024" w14:textId="77777777" w:rsidR="00A2170D" w:rsidRPr="00A2170D" w:rsidRDefault="00A2170D" w:rsidP="00A2170D">
            <w:pPr>
              <w:spacing w:after="0"/>
              <w:jc w:val="both"/>
              <w:rPr>
                <w:b/>
                <w:bCs/>
                <w:kern w:val="2"/>
              </w:rPr>
            </w:pPr>
            <w:r w:rsidRPr="00A2170D">
              <w:rPr>
                <w:b/>
                <w:bCs/>
                <w:kern w:val="2"/>
              </w:rPr>
              <w:t>D</w:t>
            </w:r>
            <w:r w:rsidRPr="00A2170D">
              <w:rPr>
                <w:b/>
                <w:bCs/>
                <w:kern w:val="2"/>
                <w:vertAlign w:val="subscript"/>
              </w:rPr>
              <w:t>est</w:t>
            </w:r>
          </w:p>
        </w:tc>
      </w:tr>
      <w:tr w:rsidR="00A2170D" w:rsidRPr="00A2170D" w14:paraId="46E73574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337D644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90TRE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6C7CA1C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0.7794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0456382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0.6398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7AB56F0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0.6469</w:t>
            </w:r>
          </w:p>
        </w:tc>
        <w:tc>
          <w:tcPr>
            <w:tcW w:w="462" w:type="pct"/>
            <w:vAlign w:val="center"/>
          </w:tcPr>
          <w:p w14:paraId="1D70921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0.6540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02A0773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0.0071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610A0EB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0.0142</w:t>
            </w:r>
          </w:p>
        </w:tc>
        <w:tc>
          <w:tcPr>
            <w:tcW w:w="462" w:type="pct"/>
            <w:vAlign w:val="center"/>
          </w:tcPr>
          <w:p w14:paraId="59E3298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-0.2182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7ABCB62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0.0109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4A499A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0.0217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29A8AC5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0.0393</w:t>
            </w:r>
          </w:p>
        </w:tc>
      </w:tr>
      <w:tr w:rsidR="00A2170D" w:rsidRPr="00A2170D" w14:paraId="5BF6C3FC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2EFA8C6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C83Sc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5CE9A03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0.9000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09B4326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0.7237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60FF4E4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0.7241</w:t>
            </w:r>
          </w:p>
        </w:tc>
        <w:tc>
          <w:tcPr>
            <w:tcW w:w="462" w:type="pct"/>
            <w:vAlign w:val="center"/>
          </w:tcPr>
          <w:p w14:paraId="3D6AA2A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0.7246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EEDD41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0.0005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44EECC9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0.0009</w:t>
            </w:r>
          </w:p>
        </w:tc>
        <w:tc>
          <w:tcPr>
            <w:tcW w:w="462" w:type="pct"/>
            <w:vAlign w:val="center"/>
          </w:tcPr>
          <w:p w14:paraId="182B092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-0.2437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460B10A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0.0006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189ED2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0.0013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135C6E0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0.0033</w:t>
            </w:r>
          </w:p>
        </w:tc>
      </w:tr>
      <w:tr w:rsidR="00A2170D" w:rsidRPr="00A2170D" w14:paraId="53FBAFC5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24C97D8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D61Sc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60E17BD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0.4194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45597C4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0.8612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1501124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0.8696</w:t>
            </w:r>
          </w:p>
        </w:tc>
        <w:tc>
          <w:tcPr>
            <w:tcW w:w="462" w:type="pct"/>
            <w:vAlign w:val="center"/>
          </w:tcPr>
          <w:p w14:paraId="6526CB8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0.8779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1C5B4B3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0.0084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756268C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0.0168</w:t>
            </w:r>
          </w:p>
        </w:tc>
        <w:tc>
          <w:tcPr>
            <w:tcW w:w="462" w:type="pct"/>
            <w:vAlign w:val="center"/>
          </w:tcPr>
          <w:p w14:paraId="5B59AF2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0.5130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1AA1022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0.0096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2DDD22C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0.0191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178B3EF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0.1208</w:t>
            </w:r>
          </w:p>
        </w:tc>
      </w:tr>
      <w:tr w:rsidR="00A2170D" w:rsidRPr="00A2170D" w14:paraId="54CC554E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7993062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E27Sc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18612F5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0.1366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6360DBD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0.2038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15DDACE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0.2039</w:t>
            </w:r>
          </w:p>
        </w:tc>
        <w:tc>
          <w:tcPr>
            <w:tcW w:w="462" w:type="pct"/>
            <w:vAlign w:val="center"/>
          </w:tcPr>
          <w:p w14:paraId="743EFAC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0.2040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2F285EF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0.0001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AD10BE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0.0002</w:t>
            </w:r>
          </w:p>
        </w:tc>
        <w:tc>
          <w:tcPr>
            <w:tcW w:w="462" w:type="pct"/>
            <w:vAlign w:val="center"/>
          </w:tcPr>
          <w:p w14:paraId="00C3017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0.3295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541B72C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0.0006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C0EA8D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0.0011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196F102D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0.0003</w:t>
            </w:r>
          </w:p>
        </w:tc>
      </w:tr>
      <w:tr w:rsidR="00A2170D" w:rsidRPr="00A2170D" w14:paraId="44FCB0F2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3DF16BB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F6Sc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71BD8E1D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0.5769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1001D17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0.7454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30CCACE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0.7629</w:t>
            </w:r>
          </w:p>
        </w:tc>
        <w:tc>
          <w:tcPr>
            <w:tcW w:w="462" w:type="pct"/>
            <w:vAlign w:val="center"/>
          </w:tcPr>
          <w:p w14:paraId="3711CD0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0.7804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40F30E0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0.0175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476D50B9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0.0350</w:t>
            </w:r>
          </w:p>
        </w:tc>
        <w:tc>
          <w:tcPr>
            <w:tcW w:w="462" w:type="pct"/>
            <w:vAlign w:val="center"/>
          </w:tcPr>
          <w:p w14:paraId="47BE958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0.2260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757C6C4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0.0229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4153F8F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0.0448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4D836669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0.1374</w:t>
            </w:r>
          </w:p>
        </w:tc>
      </w:tr>
      <w:tr w:rsidR="00A2170D" w:rsidRPr="00A2170D" w14:paraId="6DC8CB8C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2D1D15D9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lastRenderedPageBreak/>
              <w:t>H96Sc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4FDBE8D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0.6608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427F829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0.6360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30C21E4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0.6555</w:t>
            </w:r>
          </w:p>
        </w:tc>
        <w:tc>
          <w:tcPr>
            <w:tcW w:w="462" w:type="pct"/>
            <w:vAlign w:val="center"/>
          </w:tcPr>
          <w:p w14:paraId="22100C1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0.6750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5CADA69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0.0195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0CDC40C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0.0391</w:t>
            </w:r>
          </w:p>
        </w:tc>
        <w:tc>
          <w:tcPr>
            <w:tcW w:w="462" w:type="pct"/>
            <w:vAlign w:val="center"/>
          </w:tcPr>
          <w:p w14:paraId="78ADD0E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-0.0391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F3534F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0.0298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773DE75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0.0579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1CE08E8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0.1073</w:t>
            </w:r>
          </w:p>
        </w:tc>
      </w:tr>
      <w:tr w:rsidR="00A2170D" w:rsidRPr="00A2170D" w14:paraId="566B2C8F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4B35B96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J10Sc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6715EAC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0.4358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4EDD7A29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0.4407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21A45FD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0.4401</w:t>
            </w:r>
          </w:p>
        </w:tc>
        <w:tc>
          <w:tcPr>
            <w:tcW w:w="462" w:type="pct"/>
            <w:vAlign w:val="center"/>
          </w:tcPr>
          <w:p w14:paraId="39FEB3D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0.4395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7B464A6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-0.0006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52A0F83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-0.0012</w:t>
            </w:r>
          </w:p>
        </w:tc>
        <w:tc>
          <w:tcPr>
            <w:tcW w:w="462" w:type="pct"/>
            <w:vAlign w:val="center"/>
          </w:tcPr>
          <w:p w14:paraId="045FCCE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0.0113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6A434DE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-0.0014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3101D9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-0.0028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0C4BE3B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-0.0022</w:t>
            </w:r>
          </w:p>
        </w:tc>
      </w:tr>
      <w:tr w:rsidR="00A2170D" w:rsidRPr="00A2170D" w14:paraId="2BEB0B91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68993E5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J43Sc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59F8977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0.7458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30D8B67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0.8028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04DC7FB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0.7990</w:t>
            </w:r>
          </w:p>
        </w:tc>
        <w:tc>
          <w:tcPr>
            <w:tcW w:w="462" w:type="pct"/>
            <w:vAlign w:val="center"/>
          </w:tcPr>
          <w:p w14:paraId="1A1D82A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0.7953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792AFAD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-0.0038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00E5FBB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-0.0075</w:t>
            </w:r>
          </w:p>
        </w:tc>
        <w:tc>
          <w:tcPr>
            <w:tcW w:w="462" w:type="pct"/>
            <w:vAlign w:val="center"/>
          </w:tcPr>
          <w:p w14:paraId="11F5C39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0.0710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1C5D4F3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-0.0047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42B51B1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-0.0095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38DDB16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-0.0382</w:t>
            </w:r>
          </w:p>
        </w:tc>
      </w:tr>
      <w:tr w:rsidR="00A2170D" w:rsidRPr="00A2170D" w14:paraId="391928BC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7327830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L42Sc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4DDA9D1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0.7921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56C8D3B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0.9205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716F104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0.9182</w:t>
            </w:r>
          </w:p>
        </w:tc>
        <w:tc>
          <w:tcPr>
            <w:tcW w:w="462" w:type="pct"/>
            <w:vAlign w:val="center"/>
          </w:tcPr>
          <w:p w14:paraId="4CD1981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0.9160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1FC3974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-0.0023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2D8F1CC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-0.0046</w:t>
            </w:r>
          </w:p>
        </w:tc>
        <w:tc>
          <w:tcPr>
            <w:tcW w:w="462" w:type="pct"/>
            <w:vAlign w:val="center"/>
          </w:tcPr>
          <w:p w14:paraId="664F57D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0.1395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0CEA3F6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-0.0025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119034C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-0.0050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6444A92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-0.0576</w:t>
            </w:r>
          </w:p>
        </w:tc>
      </w:tr>
      <w:tr w:rsidR="00A2170D" w:rsidRPr="00A2170D" w14:paraId="65F8E74B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153C94A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Sa2657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501FBB2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0.5555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6C5AF9D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0.7483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792F9BE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0.7636</w:t>
            </w:r>
          </w:p>
        </w:tc>
        <w:tc>
          <w:tcPr>
            <w:tcW w:w="462" w:type="pct"/>
            <w:vAlign w:val="center"/>
          </w:tcPr>
          <w:p w14:paraId="327D9F7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0.7790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185ADC3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0.0154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70BEF0D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0.0308</w:t>
            </w:r>
          </w:p>
        </w:tc>
        <w:tc>
          <w:tcPr>
            <w:tcW w:w="462" w:type="pct"/>
            <w:vAlign w:val="center"/>
          </w:tcPr>
          <w:p w14:paraId="682B21A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0.2576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59B7F07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0.0201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0091FB4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0.0395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7B617CAD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0.1222</w:t>
            </w:r>
          </w:p>
        </w:tc>
      </w:tr>
      <w:tr w:rsidR="00A2170D" w:rsidRPr="00A2170D" w14:paraId="074994A9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18CE039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SCA8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326C551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0.8550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0108B3F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0.9193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45ECBA1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0.9204</w:t>
            </w:r>
          </w:p>
        </w:tc>
        <w:tc>
          <w:tcPr>
            <w:tcW w:w="462" w:type="pct"/>
            <w:vAlign w:val="center"/>
          </w:tcPr>
          <w:p w14:paraId="25ABB00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0.9215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468D50F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0.0011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667EBB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0.0022</w:t>
            </w:r>
          </w:p>
        </w:tc>
        <w:tc>
          <w:tcPr>
            <w:tcW w:w="462" w:type="pct"/>
            <w:vAlign w:val="center"/>
          </w:tcPr>
          <w:p w14:paraId="4BC9EEF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0.0699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1CE0873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0.0012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6CB11A6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0.0024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614DF8A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0.0275</w:t>
            </w:r>
          </w:p>
        </w:tc>
      </w:tr>
      <w:tr w:rsidR="00A2170D" w:rsidRPr="00A2170D" w14:paraId="4B2ED179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2CD8D76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SCA30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15CBA91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0.8332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41228CB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0.9456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657CBBD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0.9469</w:t>
            </w:r>
          </w:p>
        </w:tc>
        <w:tc>
          <w:tcPr>
            <w:tcW w:w="462" w:type="pct"/>
            <w:vAlign w:val="center"/>
          </w:tcPr>
          <w:p w14:paraId="7D3E266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0.9482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54532ED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0.0013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163861E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0.0026</w:t>
            </w:r>
          </w:p>
        </w:tc>
        <w:tc>
          <w:tcPr>
            <w:tcW w:w="462" w:type="pct"/>
            <w:vAlign w:val="center"/>
          </w:tcPr>
          <w:p w14:paraId="0C1050B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0.1189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68F5D4C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0.0014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9F17F29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0.0027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00A814B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0.0479</w:t>
            </w:r>
          </w:p>
        </w:tc>
      </w:tr>
      <w:tr w:rsidR="00A2170D" w:rsidRPr="00A2170D" w14:paraId="6DD239A6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5E26DC8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SCA37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13E64C7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0.7263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050FE73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0.6455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4E250F9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0.6456</w:t>
            </w:r>
          </w:p>
        </w:tc>
        <w:tc>
          <w:tcPr>
            <w:tcW w:w="462" w:type="pct"/>
            <w:vAlign w:val="center"/>
          </w:tcPr>
          <w:p w14:paraId="7ED467C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0.6457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59D24A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0.0001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68946798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0.0001</w:t>
            </w:r>
          </w:p>
        </w:tc>
        <w:tc>
          <w:tcPr>
            <w:tcW w:w="462" w:type="pct"/>
            <w:vAlign w:val="center"/>
          </w:tcPr>
          <w:p w14:paraId="20572A4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-0.1251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4AFCD90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0.0001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611DC99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0.0002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4ECB719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0.0004</w:t>
            </w:r>
          </w:p>
        </w:tc>
      </w:tr>
      <w:tr w:rsidR="00A2170D" w:rsidRPr="00A2170D" w14:paraId="32B827CE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34FA763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SCA44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0794E409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0.8908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75FCE38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0.8094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01B12C4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0.8141</w:t>
            </w:r>
          </w:p>
        </w:tc>
        <w:tc>
          <w:tcPr>
            <w:tcW w:w="462" w:type="pct"/>
            <w:vAlign w:val="center"/>
          </w:tcPr>
          <w:p w14:paraId="04FC53D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0.8189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5F2A4EB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0.0047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751A452A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0.0095</w:t>
            </w:r>
          </w:p>
        </w:tc>
        <w:tc>
          <w:tcPr>
            <w:tcW w:w="462" w:type="pct"/>
            <w:vAlign w:val="center"/>
          </w:tcPr>
          <w:p w14:paraId="0BDC61D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-0.1006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20A2E34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0.0058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23F6EB8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0.0115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52B6326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0.0496</w:t>
            </w:r>
          </w:p>
        </w:tc>
      </w:tr>
      <w:tr w:rsidR="00A2170D" w:rsidRPr="00A2170D" w14:paraId="28D37C70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5DDBDEE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SM3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57023DC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0.8058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0C098FB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0.8949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65DAC90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0.8991</w:t>
            </w:r>
          </w:p>
        </w:tc>
        <w:tc>
          <w:tcPr>
            <w:tcW w:w="462" w:type="pct"/>
            <w:vAlign w:val="center"/>
          </w:tcPr>
          <w:p w14:paraId="155DF253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0.9033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50260E2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0.0042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5EF9CA4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0.0084</w:t>
            </w:r>
          </w:p>
        </w:tc>
        <w:tc>
          <w:tcPr>
            <w:tcW w:w="462" w:type="pct"/>
            <w:vAlign w:val="center"/>
          </w:tcPr>
          <w:p w14:paraId="2FD10285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0.0996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005A792B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0.0047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29E719B9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0.0093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21D2A367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0.0797</w:t>
            </w:r>
          </w:p>
        </w:tc>
      </w:tr>
      <w:tr w:rsidR="00A2170D" w:rsidRPr="00A2170D" w14:paraId="6EF8A642" w14:textId="77777777" w:rsidTr="000A58A8">
        <w:tc>
          <w:tcPr>
            <w:tcW w:w="472" w:type="pct"/>
            <w:shd w:val="clear" w:color="auto" w:fill="FFFFFF"/>
            <w:vAlign w:val="center"/>
            <w:hideMark/>
          </w:tcPr>
          <w:p w14:paraId="54599C3E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Overall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0CCBE246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0.6742</w:t>
            </w:r>
          </w:p>
        </w:tc>
        <w:tc>
          <w:tcPr>
            <w:tcW w:w="434" w:type="pct"/>
            <w:shd w:val="clear" w:color="auto" w:fill="FFFFFF"/>
            <w:vAlign w:val="center"/>
            <w:hideMark/>
          </w:tcPr>
          <w:p w14:paraId="04B4528D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0.7291</w:t>
            </w:r>
          </w:p>
        </w:tc>
        <w:tc>
          <w:tcPr>
            <w:tcW w:w="436" w:type="pct"/>
            <w:shd w:val="clear" w:color="auto" w:fill="FFFFFF"/>
            <w:vAlign w:val="center"/>
            <w:hideMark/>
          </w:tcPr>
          <w:p w14:paraId="14CFAAC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0.7340</w:t>
            </w:r>
          </w:p>
        </w:tc>
        <w:tc>
          <w:tcPr>
            <w:tcW w:w="462" w:type="pct"/>
            <w:vAlign w:val="center"/>
          </w:tcPr>
          <w:p w14:paraId="7DD6D5E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0.7389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5D7E6D1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0.0049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36BE9DE4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0.0098</w:t>
            </w:r>
          </w:p>
        </w:tc>
        <w:tc>
          <w:tcPr>
            <w:tcW w:w="462" w:type="pct"/>
            <w:vAlign w:val="center"/>
          </w:tcPr>
          <w:p w14:paraId="49BC15FC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0.0753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4FA43C70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0.0066</w:t>
            </w:r>
          </w:p>
        </w:tc>
        <w:tc>
          <w:tcPr>
            <w:tcW w:w="462" w:type="pct"/>
            <w:shd w:val="clear" w:color="auto" w:fill="FFFFFF"/>
            <w:vAlign w:val="center"/>
            <w:hideMark/>
          </w:tcPr>
          <w:p w14:paraId="6AAF70FF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0.0132</w:t>
            </w:r>
          </w:p>
        </w:tc>
        <w:tc>
          <w:tcPr>
            <w:tcW w:w="451" w:type="pct"/>
            <w:shd w:val="clear" w:color="auto" w:fill="FFFFFF"/>
            <w:vAlign w:val="center"/>
            <w:hideMark/>
          </w:tcPr>
          <w:p w14:paraId="678EDE72" w14:textId="77777777" w:rsidR="00A2170D" w:rsidRPr="00A2170D" w:rsidRDefault="00A2170D" w:rsidP="00A2170D">
            <w:pPr>
              <w:spacing w:after="0"/>
              <w:jc w:val="both"/>
              <w:rPr>
                <w:kern w:val="2"/>
              </w:rPr>
            </w:pPr>
            <w:r w:rsidRPr="00A2170D">
              <w:rPr>
                <w:kern w:val="2"/>
              </w:rPr>
              <w:t>0.0360</w:t>
            </w:r>
          </w:p>
        </w:tc>
      </w:tr>
    </w:tbl>
    <w:p w14:paraId="540F32ED" w14:textId="77777777" w:rsidR="00A2170D" w:rsidRPr="00A2170D" w:rsidRDefault="00A2170D" w:rsidP="00A2170D">
      <w:pPr>
        <w:jc w:val="both"/>
        <w:rPr>
          <w:kern w:val="2"/>
        </w:rPr>
      </w:pPr>
    </w:p>
    <w:p w14:paraId="66219F2A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>Supp. Mat. 4: Hierarchical genetic differentiation using Analysis of Molecular Variance (AMOVA) for COI region. SSD: Sum of Squared Deviations</w:t>
      </w:r>
    </w:p>
    <w:tbl>
      <w:tblPr>
        <w:tblStyle w:val="TableGrid"/>
        <w:tblW w:w="9458" w:type="dxa"/>
        <w:tblLayout w:type="fixed"/>
        <w:tblLook w:val="04A0" w:firstRow="1" w:lastRow="0" w:firstColumn="1" w:lastColumn="0" w:noHBand="0" w:noVBand="1"/>
      </w:tblPr>
      <w:tblGrid>
        <w:gridCol w:w="2122"/>
        <w:gridCol w:w="569"/>
        <w:gridCol w:w="1557"/>
        <w:gridCol w:w="1843"/>
        <w:gridCol w:w="2110"/>
        <w:gridCol w:w="1257"/>
      </w:tblGrid>
      <w:tr w:rsidR="00A2170D" w:rsidRPr="00A2170D" w14:paraId="673D2A66" w14:textId="77777777" w:rsidTr="000A58A8">
        <w:tc>
          <w:tcPr>
            <w:tcW w:w="2122" w:type="dxa"/>
          </w:tcPr>
          <w:p w14:paraId="32E3EBC5" w14:textId="77777777" w:rsidR="00A2170D" w:rsidRPr="00A2170D" w:rsidRDefault="00A2170D" w:rsidP="00A2170D">
            <w:pPr>
              <w:jc w:val="both"/>
              <w:rPr>
                <w:b/>
                <w:bCs/>
              </w:rPr>
            </w:pPr>
            <w:r w:rsidRPr="00A2170D">
              <w:rPr>
                <w:b/>
                <w:bCs/>
              </w:rPr>
              <w:t>Source of variation</w:t>
            </w:r>
          </w:p>
        </w:tc>
        <w:tc>
          <w:tcPr>
            <w:tcW w:w="569" w:type="dxa"/>
          </w:tcPr>
          <w:p w14:paraId="6CD8B26A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df</w:t>
            </w:r>
          </w:p>
        </w:tc>
        <w:tc>
          <w:tcPr>
            <w:tcW w:w="1557" w:type="dxa"/>
          </w:tcPr>
          <w:p w14:paraId="50418225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SSD</w:t>
            </w:r>
          </w:p>
        </w:tc>
        <w:tc>
          <w:tcPr>
            <w:tcW w:w="1843" w:type="dxa"/>
          </w:tcPr>
          <w:p w14:paraId="7C2AA62C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Variance components</w:t>
            </w:r>
          </w:p>
        </w:tc>
        <w:tc>
          <w:tcPr>
            <w:tcW w:w="2110" w:type="dxa"/>
          </w:tcPr>
          <w:p w14:paraId="0B35D2EF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% Total Variation</w:t>
            </w:r>
          </w:p>
        </w:tc>
        <w:tc>
          <w:tcPr>
            <w:tcW w:w="1257" w:type="dxa"/>
          </w:tcPr>
          <w:p w14:paraId="2AE9D27F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P-value</w:t>
            </w:r>
          </w:p>
        </w:tc>
      </w:tr>
      <w:tr w:rsidR="00A2170D" w:rsidRPr="00A2170D" w14:paraId="113DBF88" w14:textId="77777777" w:rsidTr="000A58A8">
        <w:tc>
          <w:tcPr>
            <w:tcW w:w="2122" w:type="dxa"/>
          </w:tcPr>
          <w:p w14:paraId="30908A36" w14:textId="77777777" w:rsidR="00A2170D" w:rsidRPr="00A2170D" w:rsidRDefault="00A2170D" w:rsidP="00A2170D">
            <w:r w:rsidRPr="00A2170D">
              <w:t>Between regions</w:t>
            </w:r>
          </w:p>
        </w:tc>
        <w:tc>
          <w:tcPr>
            <w:tcW w:w="569" w:type="dxa"/>
          </w:tcPr>
          <w:p w14:paraId="3412F676" w14:textId="77777777" w:rsidR="00A2170D" w:rsidRPr="00A2170D" w:rsidRDefault="00A2170D" w:rsidP="00A2170D">
            <w:pPr>
              <w:jc w:val="center"/>
            </w:pPr>
            <w:r w:rsidRPr="00A2170D">
              <w:t>1</w:t>
            </w:r>
          </w:p>
        </w:tc>
        <w:tc>
          <w:tcPr>
            <w:tcW w:w="1557" w:type="dxa"/>
          </w:tcPr>
          <w:p w14:paraId="5685D339" w14:textId="77777777" w:rsidR="00A2170D" w:rsidRPr="00A2170D" w:rsidRDefault="00A2170D" w:rsidP="00A2170D">
            <w:pPr>
              <w:jc w:val="center"/>
            </w:pPr>
            <w:r w:rsidRPr="00A2170D">
              <w:t>2.241629e-05</w:t>
            </w:r>
          </w:p>
        </w:tc>
        <w:tc>
          <w:tcPr>
            <w:tcW w:w="1843" w:type="dxa"/>
          </w:tcPr>
          <w:p w14:paraId="6705210C" w14:textId="77777777" w:rsidR="00A2170D" w:rsidRPr="00A2170D" w:rsidRDefault="00A2170D" w:rsidP="00A2170D">
            <w:pPr>
              <w:spacing w:line="330" w:lineRule="atLeast"/>
              <w:jc w:val="center"/>
            </w:pPr>
            <w:r w:rsidRPr="00A2170D">
              <w:t>3.5138e-07</w:t>
            </w:r>
          </w:p>
        </w:tc>
        <w:tc>
          <w:tcPr>
            <w:tcW w:w="2110" w:type="dxa"/>
          </w:tcPr>
          <w:p w14:paraId="4AD1C66A" w14:textId="77777777" w:rsidR="00A2170D" w:rsidRPr="00A2170D" w:rsidRDefault="00A2170D" w:rsidP="00A2170D">
            <w:pPr>
              <w:jc w:val="center"/>
            </w:pPr>
            <w:r w:rsidRPr="00A2170D">
              <w:t>4.46%</w:t>
            </w:r>
          </w:p>
        </w:tc>
        <w:tc>
          <w:tcPr>
            <w:tcW w:w="1257" w:type="dxa"/>
          </w:tcPr>
          <w:p w14:paraId="6CB5B06A" w14:textId="77777777" w:rsidR="00A2170D" w:rsidRPr="00A2170D" w:rsidRDefault="00A2170D" w:rsidP="00A2170D">
            <w:pPr>
              <w:jc w:val="center"/>
            </w:pPr>
            <w:r w:rsidRPr="00A2170D">
              <w:t>0.058</w:t>
            </w:r>
          </w:p>
        </w:tc>
      </w:tr>
      <w:tr w:rsidR="00A2170D" w:rsidRPr="00A2170D" w14:paraId="2C85BD73" w14:textId="77777777" w:rsidTr="000A58A8">
        <w:tc>
          <w:tcPr>
            <w:tcW w:w="2122" w:type="dxa"/>
          </w:tcPr>
          <w:p w14:paraId="08E982FA" w14:textId="77777777" w:rsidR="00A2170D" w:rsidRPr="00A2170D" w:rsidRDefault="00A2170D" w:rsidP="00A2170D">
            <w:r w:rsidRPr="00A2170D">
              <w:t>Within regions</w:t>
            </w:r>
          </w:p>
        </w:tc>
        <w:tc>
          <w:tcPr>
            <w:tcW w:w="569" w:type="dxa"/>
          </w:tcPr>
          <w:p w14:paraId="015257A3" w14:textId="77777777" w:rsidR="00A2170D" w:rsidRPr="00A2170D" w:rsidRDefault="00A2170D" w:rsidP="00A2170D">
            <w:pPr>
              <w:jc w:val="center"/>
            </w:pPr>
            <w:r w:rsidRPr="00A2170D">
              <w:t>96</w:t>
            </w:r>
          </w:p>
        </w:tc>
        <w:tc>
          <w:tcPr>
            <w:tcW w:w="1557" w:type="dxa"/>
          </w:tcPr>
          <w:p w14:paraId="4EF8BF23" w14:textId="77777777" w:rsidR="00A2170D" w:rsidRPr="00A2170D" w:rsidRDefault="00A2170D" w:rsidP="00A2170D">
            <w:pPr>
              <w:jc w:val="center"/>
            </w:pPr>
            <w:r w:rsidRPr="00A2170D">
              <w:t>7.221379e-04</w:t>
            </w:r>
          </w:p>
        </w:tc>
        <w:tc>
          <w:tcPr>
            <w:tcW w:w="1843" w:type="dxa"/>
          </w:tcPr>
          <w:p w14:paraId="37C98107" w14:textId="77777777" w:rsidR="00A2170D" w:rsidRPr="00A2170D" w:rsidRDefault="00A2170D" w:rsidP="00A2170D">
            <w:pPr>
              <w:jc w:val="center"/>
            </w:pPr>
            <w:r w:rsidRPr="00A2170D">
              <w:t>7.5223e-06</w:t>
            </w:r>
          </w:p>
        </w:tc>
        <w:tc>
          <w:tcPr>
            <w:tcW w:w="2110" w:type="dxa"/>
          </w:tcPr>
          <w:p w14:paraId="4867AA48" w14:textId="77777777" w:rsidR="00A2170D" w:rsidRPr="00A2170D" w:rsidRDefault="00A2170D" w:rsidP="00A2170D">
            <w:pPr>
              <w:jc w:val="center"/>
            </w:pPr>
            <w:r w:rsidRPr="00A2170D">
              <w:t>95.54%</w:t>
            </w:r>
          </w:p>
        </w:tc>
        <w:tc>
          <w:tcPr>
            <w:tcW w:w="1257" w:type="dxa"/>
          </w:tcPr>
          <w:p w14:paraId="4BFC6399" w14:textId="77777777" w:rsidR="00A2170D" w:rsidRPr="00A2170D" w:rsidRDefault="00A2170D" w:rsidP="00A2170D">
            <w:pPr>
              <w:jc w:val="center"/>
            </w:pPr>
          </w:p>
        </w:tc>
      </w:tr>
      <w:tr w:rsidR="00A2170D" w:rsidRPr="00A2170D" w14:paraId="78E05843" w14:textId="77777777" w:rsidTr="000A58A8">
        <w:tc>
          <w:tcPr>
            <w:tcW w:w="2122" w:type="dxa"/>
          </w:tcPr>
          <w:p w14:paraId="21C1A897" w14:textId="77777777" w:rsidR="00A2170D" w:rsidRPr="00A2170D" w:rsidRDefault="00A2170D" w:rsidP="00A2170D">
            <w:r w:rsidRPr="00A2170D">
              <w:t>Total</w:t>
            </w:r>
          </w:p>
        </w:tc>
        <w:tc>
          <w:tcPr>
            <w:tcW w:w="569" w:type="dxa"/>
          </w:tcPr>
          <w:p w14:paraId="1D6D6B18" w14:textId="77777777" w:rsidR="00A2170D" w:rsidRPr="00A2170D" w:rsidRDefault="00A2170D" w:rsidP="00A2170D">
            <w:pPr>
              <w:jc w:val="center"/>
            </w:pPr>
            <w:r w:rsidRPr="00A2170D">
              <w:t>97</w:t>
            </w:r>
          </w:p>
        </w:tc>
        <w:tc>
          <w:tcPr>
            <w:tcW w:w="1557" w:type="dxa"/>
          </w:tcPr>
          <w:p w14:paraId="09B24114" w14:textId="77777777" w:rsidR="00A2170D" w:rsidRPr="00A2170D" w:rsidRDefault="00A2170D" w:rsidP="00A2170D">
            <w:pPr>
              <w:jc w:val="center"/>
            </w:pPr>
            <w:r w:rsidRPr="00A2170D">
              <w:t>7.445542e-04</w:t>
            </w:r>
          </w:p>
        </w:tc>
        <w:tc>
          <w:tcPr>
            <w:tcW w:w="1843" w:type="dxa"/>
          </w:tcPr>
          <w:p w14:paraId="16774913" w14:textId="77777777" w:rsidR="00A2170D" w:rsidRPr="00A2170D" w:rsidRDefault="00A2170D" w:rsidP="00A2170D">
            <w:pPr>
              <w:jc w:val="center"/>
            </w:pPr>
            <w:r w:rsidRPr="00A2170D">
              <w:t>7.87e-06</w:t>
            </w:r>
          </w:p>
        </w:tc>
        <w:tc>
          <w:tcPr>
            <w:tcW w:w="2110" w:type="dxa"/>
          </w:tcPr>
          <w:p w14:paraId="793B2934" w14:textId="77777777" w:rsidR="00A2170D" w:rsidRPr="00A2170D" w:rsidRDefault="00A2170D" w:rsidP="00A2170D">
            <w:pPr>
              <w:jc w:val="center"/>
            </w:pPr>
            <w:r w:rsidRPr="00A2170D">
              <w:t>100%</w:t>
            </w:r>
          </w:p>
        </w:tc>
        <w:tc>
          <w:tcPr>
            <w:tcW w:w="1257" w:type="dxa"/>
          </w:tcPr>
          <w:p w14:paraId="6DA89EC8" w14:textId="77777777" w:rsidR="00A2170D" w:rsidRPr="00A2170D" w:rsidRDefault="00A2170D" w:rsidP="00A2170D">
            <w:pPr>
              <w:jc w:val="center"/>
            </w:pPr>
          </w:p>
        </w:tc>
      </w:tr>
    </w:tbl>
    <w:p w14:paraId="51A6FB0C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i/>
          <w:iCs/>
          <w:color w:val="000000" w:themeColor="text1"/>
          <w:kern w:val="2"/>
        </w:rPr>
        <w:t>F</w:t>
      </w:r>
      <w:r w:rsidRPr="00A2170D">
        <w:rPr>
          <w:i/>
          <w:iCs/>
          <w:color w:val="000000" w:themeColor="text1"/>
          <w:kern w:val="2"/>
          <w:vertAlign w:val="subscript"/>
        </w:rPr>
        <w:t>ST</w:t>
      </w:r>
      <w:r w:rsidRPr="00A2170D">
        <w:rPr>
          <w:kern w:val="2"/>
        </w:rPr>
        <w:t>=0.0446; Significance was tested using 1,000 permutations.</w:t>
      </w:r>
    </w:p>
    <w:p w14:paraId="0DF9ED2E" w14:textId="77777777" w:rsidR="00A2170D" w:rsidRPr="00A2170D" w:rsidRDefault="00A2170D" w:rsidP="00A2170D">
      <w:pPr>
        <w:jc w:val="both"/>
        <w:rPr>
          <w:kern w:val="2"/>
        </w:rPr>
      </w:pPr>
    </w:p>
    <w:p w14:paraId="480CADD1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>Supp. Mat. 5: Hierarchical genetic differentiation using Analysis of Molecular Variance (AMOVA) for D-loop region. SSD: Sum of Squared Deviations</w:t>
      </w:r>
    </w:p>
    <w:tbl>
      <w:tblPr>
        <w:tblStyle w:val="TableGrid"/>
        <w:tblW w:w="9458" w:type="dxa"/>
        <w:tblLayout w:type="fixed"/>
        <w:tblLook w:val="04A0" w:firstRow="1" w:lastRow="0" w:firstColumn="1" w:lastColumn="0" w:noHBand="0" w:noVBand="1"/>
      </w:tblPr>
      <w:tblGrid>
        <w:gridCol w:w="2122"/>
        <w:gridCol w:w="569"/>
        <w:gridCol w:w="984"/>
        <w:gridCol w:w="2416"/>
        <w:gridCol w:w="2110"/>
        <w:gridCol w:w="1257"/>
      </w:tblGrid>
      <w:tr w:rsidR="00A2170D" w:rsidRPr="00A2170D" w14:paraId="43E720CE" w14:textId="77777777" w:rsidTr="000A58A8">
        <w:tc>
          <w:tcPr>
            <w:tcW w:w="2122" w:type="dxa"/>
          </w:tcPr>
          <w:p w14:paraId="2974F5EE" w14:textId="77777777" w:rsidR="00A2170D" w:rsidRPr="00A2170D" w:rsidRDefault="00A2170D" w:rsidP="00A2170D">
            <w:pPr>
              <w:jc w:val="both"/>
              <w:rPr>
                <w:b/>
                <w:bCs/>
              </w:rPr>
            </w:pPr>
            <w:r w:rsidRPr="00A2170D">
              <w:rPr>
                <w:b/>
                <w:bCs/>
              </w:rPr>
              <w:t>Source of variation</w:t>
            </w:r>
          </w:p>
        </w:tc>
        <w:tc>
          <w:tcPr>
            <w:tcW w:w="569" w:type="dxa"/>
          </w:tcPr>
          <w:p w14:paraId="070B7E7C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df</w:t>
            </w:r>
          </w:p>
        </w:tc>
        <w:tc>
          <w:tcPr>
            <w:tcW w:w="984" w:type="dxa"/>
          </w:tcPr>
          <w:p w14:paraId="5F001869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SSD</w:t>
            </w:r>
          </w:p>
        </w:tc>
        <w:tc>
          <w:tcPr>
            <w:tcW w:w="2416" w:type="dxa"/>
          </w:tcPr>
          <w:p w14:paraId="21B56B48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Variance components</w:t>
            </w:r>
          </w:p>
        </w:tc>
        <w:tc>
          <w:tcPr>
            <w:tcW w:w="2110" w:type="dxa"/>
          </w:tcPr>
          <w:p w14:paraId="47E17BA7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% Total Variation</w:t>
            </w:r>
          </w:p>
        </w:tc>
        <w:tc>
          <w:tcPr>
            <w:tcW w:w="1257" w:type="dxa"/>
          </w:tcPr>
          <w:p w14:paraId="30518EFC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P-value</w:t>
            </w:r>
          </w:p>
        </w:tc>
      </w:tr>
      <w:tr w:rsidR="00A2170D" w:rsidRPr="00A2170D" w14:paraId="1A136CAD" w14:textId="77777777" w:rsidTr="000A58A8">
        <w:tc>
          <w:tcPr>
            <w:tcW w:w="2122" w:type="dxa"/>
          </w:tcPr>
          <w:p w14:paraId="14E24EB6" w14:textId="77777777" w:rsidR="00A2170D" w:rsidRPr="00A2170D" w:rsidRDefault="00A2170D" w:rsidP="00A2170D">
            <w:pPr>
              <w:jc w:val="both"/>
            </w:pPr>
            <w:r w:rsidRPr="00A2170D">
              <w:t>Between regions</w:t>
            </w:r>
          </w:p>
        </w:tc>
        <w:tc>
          <w:tcPr>
            <w:tcW w:w="569" w:type="dxa"/>
          </w:tcPr>
          <w:p w14:paraId="48F267B8" w14:textId="77777777" w:rsidR="00A2170D" w:rsidRPr="00A2170D" w:rsidRDefault="00A2170D" w:rsidP="00A2170D">
            <w:pPr>
              <w:jc w:val="center"/>
            </w:pPr>
            <w:r w:rsidRPr="00A2170D">
              <w:t>1</w:t>
            </w:r>
          </w:p>
        </w:tc>
        <w:tc>
          <w:tcPr>
            <w:tcW w:w="984" w:type="dxa"/>
          </w:tcPr>
          <w:p w14:paraId="1681E240" w14:textId="77777777" w:rsidR="00A2170D" w:rsidRPr="00A2170D" w:rsidRDefault="00A2170D" w:rsidP="00A2170D">
            <w:pPr>
              <w:jc w:val="center"/>
            </w:pPr>
            <w:r w:rsidRPr="00A2170D">
              <w:t>0.00238</w:t>
            </w:r>
          </w:p>
        </w:tc>
        <w:tc>
          <w:tcPr>
            <w:tcW w:w="2416" w:type="dxa"/>
          </w:tcPr>
          <w:p w14:paraId="0FD17404" w14:textId="77777777" w:rsidR="00A2170D" w:rsidRPr="00A2170D" w:rsidRDefault="00A2170D" w:rsidP="00A2170D">
            <w:pPr>
              <w:spacing w:line="33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170D">
              <w:rPr>
                <w:rFonts w:ascii="Arial" w:hAnsi="Arial" w:cs="Arial"/>
                <w:sz w:val="21"/>
                <w:szCs w:val="21"/>
              </w:rPr>
              <w:t>0.000041</w:t>
            </w:r>
          </w:p>
        </w:tc>
        <w:tc>
          <w:tcPr>
            <w:tcW w:w="2110" w:type="dxa"/>
          </w:tcPr>
          <w:p w14:paraId="715C6ADB" w14:textId="77777777" w:rsidR="00A2170D" w:rsidRPr="00A2170D" w:rsidRDefault="00A2170D" w:rsidP="00A2170D">
            <w:pPr>
              <w:jc w:val="center"/>
            </w:pPr>
            <w:r w:rsidRPr="00A2170D">
              <w:t>7.85%</w:t>
            </w:r>
          </w:p>
        </w:tc>
        <w:tc>
          <w:tcPr>
            <w:tcW w:w="1257" w:type="dxa"/>
          </w:tcPr>
          <w:p w14:paraId="017C569D" w14:textId="77777777" w:rsidR="00A2170D" w:rsidRPr="00A2170D" w:rsidRDefault="00A2170D" w:rsidP="00A2170D">
            <w:pPr>
              <w:jc w:val="center"/>
            </w:pPr>
            <w:r w:rsidRPr="00A2170D">
              <w:t>0.001*</w:t>
            </w:r>
          </w:p>
        </w:tc>
      </w:tr>
      <w:tr w:rsidR="00A2170D" w:rsidRPr="00A2170D" w14:paraId="385BF847" w14:textId="77777777" w:rsidTr="000A58A8">
        <w:tc>
          <w:tcPr>
            <w:tcW w:w="2122" w:type="dxa"/>
          </w:tcPr>
          <w:p w14:paraId="763CDFB1" w14:textId="77777777" w:rsidR="00A2170D" w:rsidRPr="00A2170D" w:rsidRDefault="00A2170D" w:rsidP="00A2170D">
            <w:pPr>
              <w:jc w:val="both"/>
            </w:pPr>
            <w:r w:rsidRPr="00A2170D">
              <w:t>Within regions</w:t>
            </w:r>
          </w:p>
        </w:tc>
        <w:tc>
          <w:tcPr>
            <w:tcW w:w="569" w:type="dxa"/>
          </w:tcPr>
          <w:p w14:paraId="185E9382" w14:textId="77777777" w:rsidR="00A2170D" w:rsidRPr="00A2170D" w:rsidRDefault="00A2170D" w:rsidP="00A2170D">
            <w:pPr>
              <w:jc w:val="center"/>
            </w:pPr>
            <w:r w:rsidRPr="00A2170D">
              <w:t>102</w:t>
            </w:r>
          </w:p>
        </w:tc>
        <w:tc>
          <w:tcPr>
            <w:tcW w:w="984" w:type="dxa"/>
          </w:tcPr>
          <w:p w14:paraId="7F4DAA61" w14:textId="77777777" w:rsidR="00A2170D" w:rsidRPr="00A2170D" w:rsidRDefault="00A2170D" w:rsidP="00A2170D">
            <w:pPr>
              <w:jc w:val="center"/>
            </w:pPr>
            <w:r w:rsidRPr="00A2170D">
              <w:t>0.04964</w:t>
            </w:r>
          </w:p>
        </w:tc>
        <w:tc>
          <w:tcPr>
            <w:tcW w:w="2416" w:type="dxa"/>
          </w:tcPr>
          <w:p w14:paraId="618E485E" w14:textId="77777777" w:rsidR="00A2170D" w:rsidRPr="00A2170D" w:rsidRDefault="00A2170D" w:rsidP="00A2170D">
            <w:pPr>
              <w:jc w:val="center"/>
            </w:pPr>
            <w:r w:rsidRPr="00A2170D">
              <w:t>0.000487</w:t>
            </w:r>
          </w:p>
        </w:tc>
        <w:tc>
          <w:tcPr>
            <w:tcW w:w="2110" w:type="dxa"/>
          </w:tcPr>
          <w:p w14:paraId="2A7B252D" w14:textId="77777777" w:rsidR="00A2170D" w:rsidRPr="00A2170D" w:rsidRDefault="00A2170D" w:rsidP="00A2170D">
            <w:pPr>
              <w:jc w:val="center"/>
            </w:pPr>
            <w:r w:rsidRPr="00A2170D">
              <w:t>92.15%</w:t>
            </w:r>
          </w:p>
        </w:tc>
        <w:tc>
          <w:tcPr>
            <w:tcW w:w="1257" w:type="dxa"/>
          </w:tcPr>
          <w:p w14:paraId="514DFFD2" w14:textId="77777777" w:rsidR="00A2170D" w:rsidRPr="00A2170D" w:rsidRDefault="00A2170D" w:rsidP="00A2170D">
            <w:pPr>
              <w:jc w:val="center"/>
            </w:pPr>
          </w:p>
        </w:tc>
      </w:tr>
      <w:tr w:rsidR="00A2170D" w:rsidRPr="00A2170D" w14:paraId="0432D6F6" w14:textId="77777777" w:rsidTr="000A58A8">
        <w:tc>
          <w:tcPr>
            <w:tcW w:w="2122" w:type="dxa"/>
          </w:tcPr>
          <w:p w14:paraId="3B507F3B" w14:textId="77777777" w:rsidR="00A2170D" w:rsidRPr="00A2170D" w:rsidRDefault="00A2170D" w:rsidP="00A2170D">
            <w:pPr>
              <w:jc w:val="both"/>
            </w:pPr>
            <w:r w:rsidRPr="00A2170D">
              <w:t>Total</w:t>
            </w:r>
          </w:p>
        </w:tc>
        <w:tc>
          <w:tcPr>
            <w:tcW w:w="569" w:type="dxa"/>
          </w:tcPr>
          <w:p w14:paraId="1A2DC032" w14:textId="77777777" w:rsidR="00A2170D" w:rsidRPr="00A2170D" w:rsidRDefault="00A2170D" w:rsidP="00A2170D">
            <w:pPr>
              <w:jc w:val="center"/>
            </w:pPr>
            <w:r w:rsidRPr="00A2170D">
              <w:t>103</w:t>
            </w:r>
          </w:p>
        </w:tc>
        <w:tc>
          <w:tcPr>
            <w:tcW w:w="984" w:type="dxa"/>
          </w:tcPr>
          <w:p w14:paraId="6832F5C2" w14:textId="77777777" w:rsidR="00A2170D" w:rsidRPr="00A2170D" w:rsidRDefault="00A2170D" w:rsidP="00A2170D">
            <w:pPr>
              <w:jc w:val="center"/>
            </w:pPr>
            <w:r w:rsidRPr="00A2170D">
              <w:t>0.05202</w:t>
            </w:r>
          </w:p>
        </w:tc>
        <w:tc>
          <w:tcPr>
            <w:tcW w:w="2416" w:type="dxa"/>
          </w:tcPr>
          <w:p w14:paraId="060B0B24" w14:textId="77777777" w:rsidR="00A2170D" w:rsidRPr="00A2170D" w:rsidRDefault="00A2170D" w:rsidP="00A2170D">
            <w:pPr>
              <w:jc w:val="center"/>
            </w:pPr>
            <w:r w:rsidRPr="00A2170D">
              <w:t>0.000528</w:t>
            </w:r>
          </w:p>
        </w:tc>
        <w:tc>
          <w:tcPr>
            <w:tcW w:w="2110" w:type="dxa"/>
          </w:tcPr>
          <w:p w14:paraId="70B71AA0" w14:textId="77777777" w:rsidR="00A2170D" w:rsidRPr="00A2170D" w:rsidRDefault="00A2170D" w:rsidP="00A2170D">
            <w:pPr>
              <w:jc w:val="center"/>
            </w:pPr>
            <w:r w:rsidRPr="00A2170D">
              <w:t>100%</w:t>
            </w:r>
          </w:p>
        </w:tc>
        <w:tc>
          <w:tcPr>
            <w:tcW w:w="1257" w:type="dxa"/>
          </w:tcPr>
          <w:p w14:paraId="3B854EF5" w14:textId="77777777" w:rsidR="00A2170D" w:rsidRPr="00A2170D" w:rsidRDefault="00A2170D" w:rsidP="00A2170D">
            <w:pPr>
              <w:jc w:val="center"/>
            </w:pPr>
          </w:p>
        </w:tc>
      </w:tr>
    </w:tbl>
    <w:p w14:paraId="2D6D598F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i/>
          <w:iCs/>
          <w:color w:val="000000" w:themeColor="text1"/>
          <w:kern w:val="2"/>
        </w:rPr>
        <w:t>F</w:t>
      </w:r>
      <w:r w:rsidRPr="00A2170D">
        <w:rPr>
          <w:i/>
          <w:iCs/>
          <w:color w:val="000000" w:themeColor="text1"/>
          <w:kern w:val="2"/>
          <w:vertAlign w:val="subscript"/>
        </w:rPr>
        <w:t>ST</w:t>
      </w:r>
      <w:r w:rsidRPr="00A2170D">
        <w:rPr>
          <w:kern w:val="2"/>
        </w:rPr>
        <w:t>=0.0785; * Significant at (p&lt;0.05) based on 1,000 permutations.</w:t>
      </w:r>
    </w:p>
    <w:p w14:paraId="571193A5" w14:textId="77777777" w:rsidR="00A2170D" w:rsidRPr="00A2170D" w:rsidRDefault="00A2170D" w:rsidP="00A2170D">
      <w:pPr>
        <w:jc w:val="both"/>
        <w:rPr>
          <w:kern w:val="2"/>
        </w:rPr>
      </w:pPr>
    </w:p>
    <w:p w14:paraId="585A12D5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>Supp. Mat. 6: Hierarchical genetic differentiation using AMOVA results and permutation tests (999 permutations) computed on the microsatellite dataset. 8 loci with &gt;5% missing data were removed (D61Sc, E27Sc, H96Sc, L42Sc, Sa2657, Sa2770, SCA44, SM3). SSD: Sum of Squared Deviations.</w:t>
      </w: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1979"/>
        <w:gridCol w:w="570"/>
        <w:gridCol w:w="1312"/>
        <w:gridCol w:w="1484"/>
        <w:gridCol w:w="1312"/>
        <w:gridCol w:w="1312"/>
        <w:gridCol w:w="1308"/>
      </w:tblGrid>
      <w:tr w:rsidR="00A2170D" w:rsidRPr="00A2170D" w14:paraId="64DF38AD" w14:textId="77777777" w:rsidTr="000A58A8">
        <w:tc>
          <w:tcPr>
            <w:tcW w:w="1067" w:type="pct"/>
          </w:tcPr>
          <w:p w14:paraId="129152D1" w14:textId="77777777" w:rsidR="00A2170D" w:rsidRPr="00A2170D" w:rsidRDefault="00A2170D" w:rsidP="00A2170D">
            <w:pPr>
              <w:jc w:val="both"/>
              <w:rPr>
                <w:b/>
                <w:bCs/>
              </w:rPr>
            </w:pPr>
            <w:r w:rsidRPr="00A2170D">
              <w:rPr>
                <w:b/>
                <w:bCs/>
              </w:rPr>
              <w:t>Source of variation</w:t>
            </w:r>
          </w:p>
        </w:tc>
        <w:tc>
          <w:tcPr>
            <w:tcW w:w="307" w:type="pct"/>
          </w:tcPr>
          <w:p w14:paraId="6C22E2CE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df</w:t>
            </w:r>
          </w:p>
        </w:tc>
        <w:tc>
          <w:tcPr>
            <w:tcW w:w="707" w:type="pct"/>
          </w:tcPr>
          <w:p w14:paraId="1163F299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SSD</w:t>
            </w:r>
          </w:p>
        </w:tc>
        <w:tc>
          <w:tcPr>
            <w:tcW w:w="800" w:type="pct"/>
          </w:tcPr>
          <w:p w14:paraId="425E9180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Variance components</w:t>
            </w:r>
          </w:p>
        </w:tc>
        <w:tc>
          <w:tcPr>
            <w:tcW w:w="707" w:type="pct"/>
          </w:tcPr>
          <w:p w14:paraId="4100C500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 xml:space="preserve">% </w:t>
            </w:r>
            <w:proofErr w:type="gramStart"/>
            <w:r w:rsidRPr="00A2170D">
              <w:rPr>
                <w:b/>
                <w:bCs/>
              </w:rPr>
              <w:t>of  Variation</w:t>
            </w:r>
            <w:proofErr w:type="gramEnd"/>
          </w:p>
        </w:tc>
        <w:tc>
          <w:tcPr>
            <w:tcW w:w="707" w:type="pct"/>
          </w:tcPr>
          <w:p w14:paraId="5592613F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Phi statistic</w:t>
            </w:r>
          </w:p>
        </w:tc>
        <w:tc>
          <w:tcPr>
            <w:tcW w:w="707" w:type="pct"/>
          </w:tcPr>
          <w:p w14:paraId="6BA99C54" w14:textId="77777777" w:rsidR="00A2170D" w:rsidRPr="00A2170D" w:rsidRDefault="00A2170D" w:rsidP="00A2170D">
            <w:pPr>
              <w:jc w:val="center"/>
              <w:rPr>
                <w:b/>
                <w:bCs/>
              </w:rPr>
            </w:pPr>
            <w:r w:rsidRPr="00A2170D">
              <w:rPr>
                <w:b/>
                <w:bCs/>
              </w:rPr>
              <w:t>P-value</w:t>
            </w:r>
          </w:p>
        </w:tc>
      </w:tr>
      <w:tr w:rsidR="00A2170D" w:rsidRPr="00A2170D" w14:paraId="43265E28" w14:textId="77777777" w:rsidTr="000A58A8">
        <w:tc>
          <w:tcPr>
            <w:tcW w:w="1067" w:type="pct"/>
          </w:tcPr>
          <w:p w14:paraId="628E2FEB" w14:textId="77777777" w:rsidR="00A2170D" w:rsidRPr="00A2170D" w:rsidRDefault="00A2170D" w:rsidP="00A2170D">
            <w:pPr>
              <w:jc w:val="both"/>
            </w:pPr>
            <w:r w:rsidRPr="00A2170D">
              <w:t>Between regions</w:t>
            </w:r>
          </w:p>
        </w:tc>
        <w:tc>
          <w:tcPr>
            <w:tcW w:w="307" w:type="pct"/>
          </w:tcPr>
          <w:p w14:paraId="03D139DE" w14:textId="77777777" w:rsidR="00A2170D" w:rsidRPr="00A2170D" w:rsidRDefault="00A2170D" w:rsidP="00A2170D">
            <w:pPr>
              <w:jc w:val="center"/>
            </w:pPr>
            <w:r w:rsidRPr="00A2170D">
              <w:t>1</w:t>
            </w:r>
          </w:p>
        </w:tc>
        <w:tc>
          <w:tcPr>
            <w:tcW w:w="707" w:type="pct"/>
          </w:tcPr>
          <w:p w14:paraId="0CA5B7EB" w14:textId="77777777" w:rsidR="00A2170D" w:rsidRPr="00A2170D" w:rsidRDefault="00A2170D" w:rsidP="00A2170D">
            <w:pPr>
              <w:jc w:val="center"/>
            </w:pPr>
            <w:r w:rsidRPr="00A2170D">
              <w:t>9.920</w:t>
            </w:r>
          </w:p>
        </w:tc>
        <w:tc>
          <w:tcPr>
            <w:tcW w:w="800" w:type="pct"/>
          </w:tcPr>
          <w:p w14:paraId="4C8D63AC" w14:textId="77777777" w:rsidR="00A2170D" w:rsidRPr="00A2170D" w:rsidRDefault="00A2170D" w:rsidP="00A2170D">
            <w:pPr>
              <w:spacing w:line="33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170D">
              <w:rPr>
                <w:rFonts w:ascii="Arial" w:hAnsi="Arial" w:cs="Arial"/>
                <w:sz w:val="21"/>
                <w:szCs w:val="21"/>
              </w:rPr>
              <w:t>0.0424</w:t>
            </w:r>
          </w:p>
        </w:tc>
        <w:tc>
          <w:tcPr>
            <w:tcW w:w="707" w:type="pct"/>
          </w:tcPr>
          <w:p w14:paraId="6735AB41" w14:textId="77777777" w:rsidR="00A2170D" w:rsidRPr="00A2170D" w:rsidRDefault="00A2170D" w:rsidP="00A2170D">
            <w:pPr>
              <w:jc w:val="center"/>
            </w:pPr>
            <w:r w:rsidRPr="00A2170D">
              <w:t>0.71%</w:t>
            </w:r>
          </w:p>
        </w:tc>
        <w:tc>
          <w:tcPr>
            <w:tcW w:w="707" w:type="pct"/>
          </w:tcPr>
          <w:p w14:paraId="10F7BA6D" w14:textId="77777777" w:rsidR="00A2170D" w:rsidRPr="00A2170D" w:rsidRDefault="00A2170D" w:rsidP="00A2170D">
            <w:pPr>
              <w:jc w:val="center"/>
            </w:pPr>
            <w:r w:rsidRPr="00A2170D">
              <w:t>0.0071</w:t>
            </w:r>
          </w:p>
        </w:tc>
        <w:tc>
          <w:tcPr>
            <w:tcW w:w="707" w:type="pct"/>
          </w:tcPr>
          <w:p w14:paraId="0AB7AAF6" w14:textId="77777777" w:rsidR="00A2170D" w:rsidRPr="00A2170D" w:rsidRDefault="00A2170D" w:rsidP="00A2170D">
            <w:pPr>
              <w:jc w:val="center"/>
            </w:pPr>
            <w:r w:rsidRPr="00A2170D">
              <w:t>&lt;0.001</w:t>
            </w:r>
          </w:p>
        </w:tc>
      </w:tr>
      <w:tr w:rsidR="00A2170D" w:rsidRPr="00A2170D" w14:paraId="5CDBD14F" w14:textId="77777777" w:rsidTr="000A58A8">
        <w:tc>
          <w:tcPr>
            <w:tcW w:w="1067" w:type="pct"/>
          </w:tcPr>
          <w:p w14:paraId="31F7069D" w14:textId="77777777" w:rsidR="00A2170D" w:rsidRPr="00A2170D" w:rsidRDefault="00A2170D" w:rsidP="00A2170D">
            <w:pPr>
              <w:jc w:val="both"/>
            </w:pPr>
            <w:r w:rsidRPr="00A2170D">
              <w:t>Within regions</w:t>
            </w:r>
          </w:p>
        </w:tc>
        <w:tc>
          <w:tcPr>
            <w:tcW w:w="307" w:type="pct"/>
          </w:tcPr>
          <w:p w14:paraId="6CC585F5" w14:textId="77777777" w:rsidR="00A2170D" w:rsidRPr="00A2170D" w:rsidRDefault="00A2170D" w:rsidP="00A2170D">
            <w:pPr>
              <w:jc w:val="center"/>
            </w:pPr>
            <w:r w:rsidRPr="00A2170D">
              <w:t>103</w:t>
            </w:r>
          </w:p>
        </w:tc>
        <w:tc>
          <w:tcPr>
            <w:tcW w:w="707" w:type="pct"/>
          </w:tcPr>
          <w:p w14:paraId="70B0E86F" w14:textId="77777777" w:rsidR="00A2170D" w:rsidRPr="00A2170D" w:rsidRDefault="00A2170D" w:rsidP="00A2170D">
            <w:pPr>
              <w:jc w:val="center"/>
            </w:pPr>
            <w:r w:rsidRPr="00A2170D">
              <w:t>614.003</w:t>
            </w:r>
          </w:p>
        </w:tc>
        <w:tc>
          <w:tcPr>
            <w:tcW w:w="800" w:type="pct"/>
          </w:tcPr>
          <w:p w14:paraId="4DD1E1D6" w14:textId="77777777" w:rsidR="00A2170D" w:rsidRPr="00A2170D" w:rsidRDefault="00A2170D" w:rsidP="00A2170D">
            <w:pPr>
              <w:spacing w:line="33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170D">
              <w:rPr>
                <w:rFonts w:ascii="Arial" w:hAnsi="Arial" w:cs="Arial"/>
                <w:sz w:val="21"/>
                <w:szCs w:val="21"/>
              </w:rPr>
              <w:t>0.0305</w:t>
            </w:r>
          </w:p>
        </w:tc>
        <w:tc>
          <w:tcPr>
            <w:tcW w:w="707" w:type="pct"/>
          </w:tcPr>
          <w:p w14:paraId="07D19DCC" w14:textId="77777777" w:rsidR="00A2170D" w:rsidRPr="00A2170D" w:rsidRDefault="00A2170D" w:rsidP="00A2170D">
            <w:pPr>
              <w:jc w:val="center"/>
            </w:pPr>
            <w:r w:rsidRPr="00A2170D">
              <w:t>0.51%</w:t>
            </w:r>
          </w:p>
        </w:tc>
        <w:tc>
          <w:tcPr>
            <w:tcW w:w="707" w:type="pct"/>
          </w:tcPr>
          <w:p w14:paraId="0F9F406D" w14:textId="77777777" w:rsidR="00A2170D" w:rsidRPr="00A2170D" w:rsidRDefault="00A2170D" w:rsidP="00A2170D">
            <w:pPr>
              <w:jc w:val="center"/>
            </w:pPr>
            <w:r w:rsidRPr="00A2170D">
              <w:t>0.0051</w:t>
            </w:r>
          </w:p>
        </w:tc>
        <w:tc>
          <w:tcPr>
            <w:tcW w:w="707" w:type="pct"/>
          </w:tcPr>
          <w:p w14:paraId="6B775A9B" w14:textId="77777777" w:rsidR="00A2170D" w:rsidRPr="00A2170D" w:rsidRDefault="00A2170D" w:rsidP="00A2170D">
            <w:pPr>
              <w:jc w:val="center"/>
            </w:pPr>
            <w:r w:rsidRPr="00A2170D">
              <w:t>0.365</w:t>
            </w:r>
          </w:p>
        </w:tc>
      </w:tr>
      <w:tr w:rsidR="00A2170D" w:rsidRPr="00A2170D" w14:paraId="7F86B802" w14:textId="77777777" w:rsidTr="000A58A8">
        <w:tc>
          <w:tcPr>
            <w:tcW w:w="1067" w:type="pct"/>
          </w:tcPr>
          <w:p w14:paraId="77F9BE34" w14:textId="77777777" w:rsidR="00A2170D" w:rsidRPr="00A2170D" w:rsidRDefault="00A2170D" w:rsidP="00A2170D">
            <w:pPr>
              <w:jc w:val="both"/>
            </w:pPr>
            <w:r w:rsidRPr="00A2170D">
              <w:t>Within individuals</w:t>
            </w:r>
          </w:p>
        </w:tc>
        <w:tc>
          <w:tcPr>
            <w:tcW w:w="307" w:type="pct"/>
          </w:tcPr>
          <w:p w14:paraId="4302D06B" w14:textId="77777777" w:rsidR="00A2170D" w:rsidRPr="00A2170D" w:rsidRDefault="00A2170D" w:rsidP="00A2170D">
            <w:pPr>
              <w:jc w:val="center"/>
            </w:pPr>
            <w:r w:rsidRPr="00A2170D">
              <w:t>105</w:t>
            </w:r>
          </w:p>
        </w:tc>
        <w:tc>
          <w:tcPr>
            <w:tcW w:w="707" w:type="pct"/>
          </w:tcPr>
          <w:p w14:paraId="5E0278B4" w14:textId="77777777" w:rsidR="00A2170D" w:rsidRPr="00A2170D" w:rsidRDefault="00A2170D" w:rsidP="00A2170D">
            <w:pPr>
              <w:jc w:val="center"/>
            </w:pPr>
            <w:r w:rsidRPr="00A2170D">
              <w:t>619.515</w:t>
            </w:r>
          </w:p>
        </w:tc>
        <w:tc>
          <w:tcPr>
            <w:tcW w:w="800" w:type="pct"/>
          </w:tcPr>
          <w:p w14:paraId="1FDD7772" w14:textId="77777777" w:rsidR="00A2170D" w:rsidRPr="00A2170D" w:rsidRDefault="00A2170D" w:rsidP="00A2170D">
            <w:pPr>
              <w:jc w:val="center"/>
            </w:pPr>
            <w:r w:rsidRPr="00A2170D">
              <w:t>5.9001</w:t>
            </w:r>
          </w:p>
        </w:tc>
        <w:tc>
          <w:tcPr>
            <w:tcW w:w="707" w:type="pct"/>
          </w:tcPr>
          <w:p w14:paraId="0E3C1307" w14:textId="77777777" w:rsidR="00A2170D" w:rsidRPr="00A2170D" w:rsidRDefault="00A2170D" w:rsidP="00A2170D">
            <w:pPr>
              <w:jc w:val="center"/>
            </w:pPr>
            <w:r w:rsidRPr="00A2170D">
              <w:t>98.78%</w:t>
            </w:r>
          </w:p>
        </w:tc>
        <w:tc>
          <w:tcPr>
            <w:tcW w:w="707" w:type="pct"/>
          </w:tcPr>
          <w:p w14:paraId="31B2B961" w14:textId="77777777" w:rsidR="00A2170D" w:rsidRPr="00A2170D" w:rsidRDefault="00A2170D" w:rsidP="00A2170D">
            <w:pPr>
              <w:jc w:val="center"/>
            </w:pPr>
            <w:r w:rsidRPr="00A2170D">
              <w:t>0.0122</w:t>
            </w:r>
          </w:p>
        </w:tc>
        <w:tc>
          <w:tcPr>
            <w:tcW w:w="707" w:type="pct"/>
          </w:tcPr>
          <w:p w14:paraId="307E7CCE" w14:textId="77777777" w:rsidR="00A2170D" w:rsidRPr="00A2170D" w:rsidRDefault="00A2170D" w:rsidP="00A2170D">
            <w:pPr>
              <w:jc w:val="center"/>
            </w:pPr>
            <w:r w:rsidRPr="00A2170D">
              <w:t>0.312</w:t>
            </w:r>
          </w:p>
        </w:tc>
      </w:tr>
      <w:tr w:rsidR="00A2170D" w:rsidRPr="00A2170D" w14:paraId="590ABC87" w14:textId="77777777" w:rsidTr="000A58A8">
        <w:tc>
          <w:tcPr>
            <w:tcW w:w="1067" w:type="pct"/>
          </w:tcPr>
          <w:p w14:paraId="6E4E2860" w14:textId="77777777" w:rsidR="00A2170D" w:rsidRPr="00A2170D" w:rsidRDefault="00A2170D" w:rsidP="00A2170D">
            <w:pPr>
              <w:jc w:val="both"/>
            </w:pPr>
            <w:r w:rsidRPr="00A2170D">
              <w:lastRenderedPageBreak/>
              <w:t>Total</w:t>
            </w:r>
          </w:p>
        </w:tc>
        <w:tc>
          <w:tcPr>
            <w:tcW w:w="307" w:type="pct"/>
          </w:tcPr>
          <w:p w14:paraId="476FCA42" w14:textId="77777777" w:rsidR="00A2170D" w:rsidRPr="00A2170D" w:rsidRDefault="00A2170D" w:rsidP="00A2170D">
            <w:pPr>
              <w:jc w:val="center"/>
            </w:pPr>
            <w:r w:rsidRPr="00A2170D">
              <w:t>209</w:t>
            </w:r>
          </w:p>
        </w:tc>
        <w:tc>
          <w:tcPr>
            <w:tcW w:w="707" w:type="pct"/>
          </w:tcPr>
          <w:p w14:paraId="26AF28A9" w14:textId="77777777" w:rsidR="00A2170D" w:rsidRPr="00A2170D" w:rsidRDefault="00A2170D" w:rsidP="00A2170D">
            <w:pPr>
              <w:jc w:val="center"/>
            </w:pPr>
            <w:r w:rsidRPr="00A2170D">
              <w:t>1243.437</w:t>
            </w:r>
          </w:p>
        </w:tc>
        <w:tc>
          <w:tcPr>
            <w:tcW w:w="800" w:type="pct"/>
          </w:tcPr>
          <w:p w14:paraId="28B79757" w14:textId="77777777" w:rsidR="00A2170D" w:rsidRPr="00A2170D" w:rsidRDefault="00A2170D" w:rsidP="00A2170D">
            <w:pPr>
              <w:jc w:val="center"/>
            </w:pPr>
            <w:r w:rsidRPr="00A2170D">
              <w:t>5.9731</w:t>
            </w:r>
          </w:p>
        </w:tc>
        <w:tc>
          <w:tcPr>
            <w:tcW w:w="707" w:type="pct"/>
          </w:tcPr>
          <w:p w14:paraId="2635A412" w14:textId="77777777" w:rsidR="00A2170D" w:rsidRPr="00A2170D" w:rsidRDefault="00A2170D" w:rsidP="00A2170D">
            <w:pPr>
              <w:jc w:val="both"/>
            </w:pPr>
            <w:r w:rsidRPr="00A2170D">
              <w:t>100%</w:t>
            </w:r>
          </w:p>
        </w:tc>
        <w:tc>
          <w:tcPr>
            <w:tcW w:w="707" w:type="pct"/>
          </w:tcPr>
          <w:p w14:paraId="72E41A9B" w14:textId="77777777" w:rsidR="00A2170D" w:rsidRPr="00A2170D" w:rsidRDefault="00A2170D" w:rsidP="00A2170D">
            <w:pPr>
              <w:jc w:val="center"/>
            </w:pPr>
          </w:p>
        </w:tc>
        <w:tc>
          <w:tcPr>
            <w:tcW w:w="707" w:type="pct"/>
          </w:tcPr>
          <w:p w14:paraId="33DDA4DF" w14:textId="77777777" w:rsidR="00A2170D" w:rsidRPr="00A2170D" w:rsidRDefault="00A2170D" w:rsidP="00A2170D">
            <w:pPr>
              <w:jc w:val="center"/>
            </w:pPr>
          </w:p>
        </w:tc>
      </w:tr>
    </w:tbl>
    <w:p w14:paraId="0BEF65C1" w14:textId="77777777" w:rsidR="00A2170D" w:rsidRPr="00A2170D" w:rsidRDefault="00A2170D" w:rsidP="00A2170D">
      <w:pPr>
        <w:jc w:val="both"/>
        <w:rPr>
          <w:kern w:val="2"/>
        </w:rPr>
      </w:pPr>
    </w:p>
    <w:p w14:paraId="7A1F675D" w14:textId="77777777" w:rsidR="00A2170D" w:rsidRPr="00A2170D" w:rsidRDefault="00A2170D" w:rsidP="00A2170D">
      <w:pPr>
        <w:jc w:val="both"/>
        <w:rPr>
          <w:kern w:val="2"/>
        </w:rPr>
      </w:pPr>
      <w:r w:rsidRPr="00A2170D">
        <w:rPr>
          <w:kern w:val="2"/>
        </w:rPr>
        <w:t xml:space="preserve">Sup. Mat. 7: Effective population size estimation-based Linkage Disequilibrium Method inferred on 15 microsatellite loci for the Arabian Gulf (35 individuals) and Red Sea (70 individuals) populations. Cis: Confidence Intervals.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1"/>
        <w:gridCol w:w="1017"/>
        <w:gridCol w:w="1210"/>
        <w:gridCol w:w="1268"/>
        <w:gridCol w:w="1268"/>
        <w:gridCol w:w="1183"/>
        <w:gridCol w:w="1183"/>
      </w:tblGrid>
      <w:tr w:rsidR="00A2170D" w:rsidRPr="00A2170D" w14:paraId="093288C4" w14:textId="77777777" w:rsidTr="000A58A8">
        <w:trPr>
          <w:trHeight w:val="288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5B37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 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0D58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  <w14:ligatures w14:val="none"/>
              </w:rPr>
              <w:t xml:space="preserve"> Arabian Gulf (N=35)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3EF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  <w14:ligatures w14:val="none"/>
              </w:rPr>
              <w:t>Red Sea (N=70)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6EEF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  <w14:ligatures w14:val="none"/>
              </w:rPr>
              <w:t>Overall (N=105)</w:t>
            </w:r>
          </w:p>
        </w:tc>
      </w:tr>
      <w:tr w:rsidR="00A2170D" w:rsidRPr="00A2170D" w14:paraId="14956BA6" w14:textId="77777777" w:rsidTr="000A58A8">
        <w:trPr>
          <w:trHeight w:val="288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74AF" w14:textId="77777777" w:rsidR="00A2170D" w:rsidRPr="00A2170D" w:rsidRDefault="00A2170D" w:rsidP="00A217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Lowest Allele Frequency Used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413B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0.05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3E63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0.02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4085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0.05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FF04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0.02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07FB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0.05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059E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0.02</w:t>
            </w:r>
          </w:p>
        </w:tc>
      </w:tr>
      <w:tr w:rsidR="00A2170D" w:rsidRPr="00A2170D" w14:paraId="189C3881" w14:textId="77777777" w:rsidTr="000A58A8">
        <w:trPr>
          <w:trHeight w:val="288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6C56" w14:textId="77777777" w:rsidR="00A2170D" w:rsidRPr="00A2170D" w:rsidRDefault="00A2170D" w:rsidP="00A217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Estimated N</w:t>
            </w:r>
            <w:r w:rsidRPr="00A2170D">
              <w:rPr>
                <w:rFonts w:ascii="Aptos Narrow" w:eastAsia="Times New Roman" w:hAnsi="Aptos Narrow" w:cs="Times New Roman"/>
                <w:color w:val="000000"/>
                <w:vertAlign w:val="subscript"/>
                <w:lang w:eastAsia="en-GB"/>
                <w14:ligatures w14:val="none"/>
              </w:rPr>
              <w:t>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FF73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125.6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C14F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232.6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C812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Infinite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223F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Infinite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9E34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3733.5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307E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1010.6</w:t>
            </w:r>
          </w:p>
        </w:tc>
      </w:tr>
      <w:tr w:rsidR="00A2170D" w:rsidRPr="00A2170D" w14:paraId="71643D34" w14:textId="77777777" w:rsidTr="000A58A8">
        <w:trPr>
          <w:trHeight w:val="288"/>
        </w:trPr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618A" w14:textId="77777777" w:rsidR="00A2170D" w:rsidRPr="00A2170D" w:rsidRDefault="00A2170D" w:rsidP="00A217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95% CIs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B936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66.3 - 619.4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0A6F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113.6-10728.8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188A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3438.9 - Infinite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6CA2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3345.9 - Infinite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3820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393.9 - Infinite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0315" w14:textId="77777777" w:rsidR="00A2170D" w:rsidRPr="00A2170D" w:rsidRDefault="00A2170D" w:rsidP="00A217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</w:pPr>
            <w:r w:rsidRPr="00A2170D">
              <w:rPr>
                <w:rFonts w:ascii="Aptos Narrow" w:eastAsia="Times New Roman" w:hAnsi="Aptos Narrow" w:cs="Times New Roman"/>
                <w:color w:val="000000"/>
                <w:lang w:eastAsia="en-GB"/>
                <w14:ligatures w14:val="none"/>
              </w:rPr>
              <w:t>437.9 - Infinite</w:t>
            </w:r>
          </w:p>
        </w:tc>
      </w:tr>
    </w:tbl>
    <w:p w14:paraId="2D8CE868" w14:textId="77777777" w:rsidR="00A2170D" w:rsidRPr="00A2170D" w:rsidRDefault="00A2170D" w:rsidP="00A2170D">
      <w:pPr>
        <w:jc w:val="both"/>
        <w:rPr>
          <w:kern w:val="2"/>
          <w:lang w:val="en-US"/>
        </w:rPr>
      </w:pPr>
    </w:p>
    <w:p w14:paraId="2C2AFB47" w14:textId="77777777" w:rsidR="008050E6" w:rsidRDefault="008050E6"/>
    <w:sectPr w:rsidR="008050E6" w:rsidSect="00A217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8C7"/>
    <w:multiLevelType w:val="hybridMultilevel"/>
    <w:tmpl w:val="9CFA8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7EBC"/>
    <w:multiLevelType w:val="hybridMultilevel"/>
    <w:tmpl w:val="870EBF4C"/>
    <w:lvl w:ilvl="0" w:tplc="3B5204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36C9"/>
    <w:multiLevelType w:val="hybridMultilevel"/>
    <w:tmpl w:val="F522B886"/>
    <w:lvl w:ilvl="0" w:tplc="BC60461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F3DD3"/>
    <w:multiLevelType w:val="hybridMultilevel"/>
    <w:tmpl w:val="C4DCD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F5A17"/>
    <w:multiLevelType w:val="hybridMultilevel"/>
    <w:tmpl w:val="5DA62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27660"/>
    <w:multiLevelType w:val="hybridMultilevel"/>
    <w:tmpl w:val="3EEC5878"/>
    <w:lvl w:ilvl="0" w:tplc="11C878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558370">
    <w:abstractNumId w:val="2"/>
  </w:num>
  <w:num w:numId="2" w16cid:durableId="993293405">
    <w:abstractNumId w:val="3"/>
  </w:num>
  <w:num w:numId="3" w16cid:durableId="820846387">
    <w:abstractNumId w:val="4"/>
  </w:num>
  <w:num w:numId="4" w16cid:durableId="579097573">
    <w:abstractNumId w:val="0"/>
  </w:num>
  <w:num w:numId="5" w16cid:durableId="88737268">
    <w:abstractNumId w:val="5"/>
  </w:num>
  <w:num w:numId="6" w16cid:durableId="113425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0D"/>
    <w:rsid w:val="000D2B86"/>
    <w:rsid w:val="004C2E97"/>
    <w:rsid w:val="005A1516"/>
    <w:rsid w:val="00647135"/>
    <w:rsid w:val="007328D7"/>
    <w:rsid w:val="007E1DC6"/>
    <w:rsid w:val="008050E6"/>
    <w:rsid w:val="008409A6"/>
    <w:rsid w:val="0086271B"/>
    <w:rsid w:val="008E22A1"/>
    <w:rsid w:val="00934237"/>
    <w:rsid w:val="00A2170D"/>
    <w:rsid w:val="00AD740F"/>
    <w:rsid w:val="00AE2B84"/>
    <w:rsid w:val="00B63853"/>
    <w:rsid w:val="00BA4D40"/>
    <w:rsid w:val="00BD2C8B"/>
    <w:rsid w:val="00EA346E"/>
    <w:rsid w:val="00EB1868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F871"/>
  <w15:chartTrackingRefBased/>
  <w15:docId w15:val="{2B15A600-8C8C-487D-86FE-E12E19B3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70D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2170D"/>
  </w:style>
  <w:style w:type="character" w:styleId="CommentReference">
    <w:name w:val="annotation reference"/>
    <w:basedOn w:val="DefaultParagraphFont"/>
    <w:uiPriority w:val="99"/>
    <w:semiHidden/>
    <w:unhideWhenUsed/>
    <w:rsid w:val="00A21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70D"/>
    <w:pPr>
      <w:spacing w:line="240" w:lineRule="auto"/>
      <w:jc w:val="both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70D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70D"/>
    <w:rPr>
      <w:b/>
      <w:bCs/>
      <w:kern w:val="2"/>
      <w:sz w:val="20"/>
      <w:szCs w:val="20"/>
    </w:rPr>
  </w:style>
  <w:style w:type="table" w:styleId="TableGrid">
    <w:name w:val="Table Grid"/>
    <w:basedOn w:val="TableNormal"/>
    <w:uiPriority w:val="39"/>
    <w:rsid w:val="00A2170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70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customStyle="1" w:styleId="highlight">
    <w:name w:val="highlight"/>
    <w:basedOn w:val="DefaultParagraphFont"/>
    <w:rsid w:val="00A2170D"/>
  </w:style>
  <w:style w:type="character" w:customStyle="1" w:styleId="citation">
    <w:name w:val="citation"/>
    <w:basedOn w:val="DefaultParagraphFont"/>
    <w:rsid w:val="00A2170D"/>
  </w:style>
  <w:style w:type="character" w:customStyle="1" w:styleId="citation-item">
    <w:name w:val="citation-item"/>
    <w:basedOn w:val="DefaultParagraphFont"/>
    <w:rsid w:val="00A2170D"/>
  </w:style>
  <w:style w:type="character" w:styleId="UnresolvedMention">
    <w:name w:val="Unresolved Mention"/>
    <w:basedOn w:val="DefaultParagraphFont"/>
    <w:uiPriority w:val="99"/>
    <w:semiHidden/>
    <w:unhideWhenUsed/>
    <w:rsid w:val="00A2170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A2170D"/>
    <w:pPr>
      <w:jc w:val="both"/>
    </w:pPr>
    <w:rPr>
      <w:kern w:val="2"/>
    </w:rPr>
  </w:style>
  <w:style w:type="paragraph" w:styleId="Header">
    <w:name w:val="header"/>
    <w:basedOn w:val="Normal"/>
    <w:link w:val="HeaderChar"/>
    <w:uiPriority w:val="99"/>
    <w:unhideWhenUsed/>
    <w:rsid w:val="00A2170D"/>
    <w:pPr>
      <w:tabs>
        <w:tab w:val="center" w:pos="4513"/>
        <w:tab w:val="right" w:pos="9026"/>
      </w:tabs>
      <w:spacing w:after="0" w:line="240" w:lineRule="auto"/>
      <w:jc w:val="both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A2170D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A2170D"/>
    <w:pPr>
      <w:tabs>
        <w:tab w:val="center" w:pos="4513"/>
        <w:tab w:val="right" w:pos="9026"/>
      </w:tabs>
      <w:spacing w:after="0" w:line="240" w:lineRule="auto"/>
      <w:jc w:val="both"/>
    </w:pPr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A2170D"/>
    <w:rPr>
      <w:kern w:val="2"/>
    </w:rPr>
  </w:style>
  <w:style w:type="character" w:styleId="LineNumber">
    <w:name w:val="line number"/>
    <w:basedOn w:val="DefaultParagraphFont"/>
    <w:uiPriority w:val="99"/>
    <w:semiHidden/>
    <w:unhideWhenUsed/>
    <w:rsid w:val="00A2170D"/>
  </w:style>
  <w:style w:type="paragraph" w:styleId="Revision">
    <w:name w:val="Revision"/>
    <w:hidden/>
    <w:uiPriority w:val="99"/>
    <w:semiHidden/>
    <w:rsid w:val="00A2170D"/>
    <w:pPr>
      <w:spacing w:after="0" w:line="240" w:lineRule="auto"/>
    </w:pPr>
    <w:rPr>
      <w:kern w:val="2"/>
    </w:rPr>
  </w:style>
  <w:style w:type="character" w:styleId="FollowedHyperlink">
    <w:name w:val="FollowedHyperlink"/>
    <w:basedOn w:val="DefaultParagraphFont"/>
    <w:uiPriority w:val="99"/>
    <w:semiHidden/>
    <w:unhideWhenUsed/>
    <w:rsid w:val="00A217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j.fishres.2006.04.0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11/j.1755-0998.2008.02278.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915D-4999-4695-84A2-0C166DD6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Couedel</dc:creator>
  <cp:keywords/>
  <dc:description/>
  <cp:lastModifiedBy>Marion Couedel</cp:lastModifiedBy>
  <cp:revision>1</cp:revision>
  <dcterms:created xsi:type="dcterms:W3CDTF">2026-04-21T08:35:00Z</dcterms:created>
  <dcterms:modified xsi:type="dcterms:W3CDTF">2026-04-21T08:36:00Z</dcterms:modified>
</cp:coreProperties>
</file>