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DF10" w14:textId="77777777" w:rsidR="008743FA" w:rsidRPr="00426CE4" w:rsidRDefault="008743FA" w:rsidP="008743FA">
      <w:pPr>
        <w:spacing w:line="480" w:lineRule="auto"/>
        <w:rPr>
          <w:rFonts w:ascii="Arial" w:hAnsi="Arial" w:cs="Arial"/>
          <w:b/>
          <w:bCs/>
          <w:lang w:val="en-AU"/>
        </w:rPr>
      </w:pPr>
      <w:r w:rsidRPr="00426CE4">
        <w:rPr>
          <w:rFonts w:ascii="Arial" w:hAnsi="Arial" w:cs="Arial"/>
          <w:b/>
          <w:bCs/>
          <w:lang w:val="en-AU"/>
        </w:rPr>
        <w:t>Supplemental information</w:t>
      </w:r>
    </w:p>
    <w:p w14:paraId="0B722EA6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Text: Supplementary methods</w:t>
      </w:r>
    </w:p>
    <w:p w14:paraId="367454DF" w14:textId="77777777" w:rsidR="008743FA" w:rsidRPr="00426CE4" w:rsidRDefault="008743FA" w:rsidP="008743FA">
      <w:pPr>
        <w:rPr>
          <w:rFonts w:ascii="Arial" w:hAnsi="Arial" w:cs="Arial"/>
          <w:lang w:val="en-AU"/>
        </w:rPr>
      </w:pPr>
    </w:p>
    <w:p w14:paraId="27E8BC31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S1: Children with neurodevelopmental regression and healthy controls</w:t>
      </w:r>
    </w:p>
    <w:p w14:paraId="26885ABA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S2: Clinical characteristics of children with neurodevelopmental regression</w:t>
      </w:r>
    </w:p>
    <w:p w14:paraId="580D4A84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 xml:space="preserve">Table S3: Bulk RNA sequencing pathway analysis </w:t>
      </w:r>
    </w:p>
    <w:p w14:paraId="10F08598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 xml:space="preserve">Table S4: Single-cell RNA seq pathway analysis – Cohort 1 </w:t>
      </w:r>
    </w:p>
    <w:p w14:paraId="7641D150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S5: Single-cell RNA seq pathway analysis – Cohort 2</w:t>
      </w:r>
    </w:p>
    <w:p w14:paraId="5607D3A3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 xml:space="preserve">Table S6: Proteomics pathway analysis </w:t>
      </w:r>
    </w:p>
    <w:p w14:paraId="054EEB83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S7: Bulk RNA and proteomics pathway analysis</w:t>
      </w:r>
    </w:p>
    <w:p w14:paraId="3FADA528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S8: Phosphoproteomics pathway analysis</w:t>
      </w:r>
    </w:p>
    <w:p w14:paraId="03A5BB96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S9: ATAC sequencing pathway analysis</w:t>
      </w:r>
    </w:p>
    <w:p w14:paraId="081A2AFC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Table S10: Bulk RNA and ATAC sequencing pathway analysis</w:t>
      </w:r>
    </w:p>
    <w:p w14:paraId="6EEFAF94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 xml:space="preserve">Table S11: </w:t>
      </w:r>
      <w:r w:rsidRPr="00426CE4">
        <w:rPr>
          <w:rFonts w:ascii="Arial" w:hAnsi="Arial" w:cs="Arial"/>
          <w:i/>
          <w:iCs/>
          <w:lang w:val="en-AU"/>
        </w:rPr>
        <w:t>In vitro</w:t>
      </w:r>
      <w:r w:rsidRPr="00426CE4">
        <w:rPr>
          <w:rFonts w:ascii="Arial" w:hAnsi="Arial" w:cs="Arial"/>
          <w:lang w:val="en-AU"/>
        </w:rPr>
        <w:t xml:space="preserve"> givinostat pathways analysis</w:t>
      </w:r>
    </w:p>
    <w:p w14:paraId="7C2FBD25" w14:textId="77777777" w:rsidR="008743FA" w:rsidRPr="00426CE4" w:rsidRDefault="008743FA" w:rsidP="008743FA">
      <w:pPr>
        <w:rPr>
          <w:rFonts w:ascii="Arial" w:hAnsi="Arial" w:cs="Arial"/>
          <w:lang w:val="en-AU"/>
        </w:rPr>
      </w:pPr>
    </w:p>
    <w:p w14:paraId="4E78225C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S1: Study workflow</w:t>
      </w:r>
    </w:p>
    <w:p w14:paraId="71CB0F3E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S2: Bulk RNA seq</w:t>
      </w:r>
    </w:p>
    <w:p w14:paraId="1614A5FA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S3: Single-cell RNA sequencing analysis – Cohort 1</w:t>
      </w:r>
    </w:p>
    <w:p w14:paraId="31302364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S4: Single-cell RNA sequencing analysis – Cohort 2</w:t>
      </w:r>
    </w:p>
    <w:p w14:paraId="1ECA7651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S5: Proteomics analysis – Cohort 2</w:t>
      </w:r>
    </w:p>
    <w:p w14:paraId="5829C3BC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 xml:space="preserve">Figure S6: Bulk RNA and proteomics pathway analysis </w:t>
      </w:r>
    </w:p>
    <w:p w14:paraId="5546F9FB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S7: Phosphoproteomics analysis – Cohort 2</w:t>
      </w:r>
    </w:p>
    <w:p w14:paraId="1EF10799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S8: ATAC sequencing pathway analysis</w:t>
      </w:r>
    </w:p>
    <w:p w14:paraId="1FBD4443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>Figure S9: Bulk RNA and ATAC sequencing pathway analysis</w:t>
      </w:r>
    </w:p>
    <w:p w14:paraId="3AF08359" w14:textId="77777777" w:rsidR="008743FA" w:rsidRPr="00426CE4" w:rsidRDefault="008743FA" w:rsidP="008743FA">
      <w:pPr>
        <w:rPr>
          <w:rFonts w:ascii="Arial" w:hAnsi="Arial" w:cs="Arial"/>
          <w:lang w:val="en-AU"/>
        </w:rPr>
      </w:pPr>
      <w:r w:rsidRPr="00426CE4">
        <w:rPr>
          <w:rFonts w:ascii="Arial" w:hAnsi="Arial" w:cs="Arial"/>
          <w:lang w:val="en-AU"/>
        </w:rPr>
        <w:t xml:space="preserve">Figure S10: </w:t>
      </w:r>
      <w:r w:rsidRPr="00426CE4">
        <w:rPr>
          <w:rFonts w:ascii="Arial" w:hAnsi="Arial" w:cs="Arial"/>
          <w:i/>
          <w:iCs/>
          <w:lang w:val="en-AU"/>
        </w:rPr>
        <w:t>In vitro</w:t>
      </w:r>
      <w:r w:rsidRPr="00426CE4">
        <w:rPr>
          <w:rFonts w:ascii="Arial" w:hAnsi="Arial" w:cs="Arial"/>
          <w:lang w:val="en-AU"/>
        </w:rPr>
        <w:t xml:space="preserve"> givinostat pathway analysis</w:t>
      </w:r>
    </w:p>
    <w:p w14:paraId="56AC2929" w14:textId="77777777" w:rsidR="00DE6AE2" w:rsidRPr="008743FA" w:rsidRDefault="00DE6AE2">
      <w:pPr>
        <w:rPr>
          <w:lang w:val="en-AU"/>
        </w:rPr>
      </w:pPr>
    </w:p>
    <w:sectPr w:rsidR="00DE6AE2" w:rsidRPr="0087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A"/>
    <w:rsid w:val="00195413"/>
    <w:rsid w:val="003D0186"/>
    <w:rsid w:val="007278E4"/>
    <w:rsid w:val="008743FA"/>
    <w:rsid w:val="00A3738C"/>
    <w:rsid w:val="00B73957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A9E2"/>
  <w15:chartTrackingRefBased/>
  <w15:docId w15:val="{4D376A7A-BA5A-4677-B34F-F634676B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FA"/>
    <w:pPr>
      <w:spacing w:after="0" w:line="240" w:lineRule="auto"/>
    </w:pPr>
    <w:rPr>
      <w:rFonts w:eastAsiaTheme="minorEastAsia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3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F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F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F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F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7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F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7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FA"/>
    <w:pPr>
      <w:spacing w:after="160" w:line="278" w:lineRule="auto"/>
      <w:ind w:left="720"/>
      <w:contextualSpacing/>
    </w:pPr>
    <w:rPr>
      <w:rFonts w:eastAsiaTheme="minorHAnsi"/>
      <w:lang w:val="en-US"/>
    </w:rPr>
  </w:style>
  <w:style w:type="character" w:styleId="IntenseEmphasis">
    <w:name w:val="Intense Emphasis"/>
    <w:basedOn w:val="DefaultParagraphFont"/>
    <w:uiPriority w:val="21"/>
    <w:qFormat/>
    <w:rsid w:val="0087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Springer Nature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2026-05-20T13:41:00Z</dcterms:created>
  <dcterms:modified xsi:type="dcterms:W3CDTF">2026-05-20T13:41:00Z</dcterms:modified>
</cp:coreProperties>
</file>