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DAF85" w14:textId="5FAA229A" w:rsidR="00DB5099" w:rsidRPr="00035A43" w:rsidRDefault="00DB5099" w:rsidP="00DB5099">
      <w:pPr>
        <w:pStyle w:val="NoSpacing"/>
        <w:jc w:val="both"/>
      </w:pPr>
      <w:r>
        <w:t xml:space="preserve">The GeoCTGAN methodology is a multi-stage pipeline to transform raw, point-level event data and </w:t>
      </w:r>
      <w:r w:rsidR="00357D90">
        <w:t xml:space="preserve">road </w:t>
      </w:r>
      <w:r>
        <w:t xml:space="preserve">network </w:t>
      </w:r>
      <w:r w:rsidR="00357D90">
        <w:t>(</w:t>
      </w:r>
      <w:r>
        <w:t>polylines</w:t>
      </w:r>
      <w:r w:rsidR="00357D90">
        <w:t>)</w:t>
      </w:r>
      <w:r>
        <w:t xml:space="preserve"> into a high-fidelity, privacy-preserving synthetic point dataset</w:t>
      </w:r>
      <w:r w:rsidR="00AE1E36">
        <w:t>, comprising:</w:t>
      </w:r>
    </w:p>
    <w:p w14:paraId="15D34A13" w14:textId="77777777" w:rsidR="00DB5099" w:rsidRDefault="00DB5099" w:rsidP="00DB5099">
      <w:pPr>
        <w:pStyle w:val="NoSpacing"/>
        <w:jc w:val="both"/>
      </w:pPr>
    </w:p>
    <w:p w14:paraId="65CD7CB0" w14:textId="0F4C94C0" w:rsidR="00DB5099" w:rsidRPr="00035A43" w:rsidRDefault="00DB5099" w:rsidP="00902F32">
      <w:pPr>
        <w:pStyle w:val="NoSpacing"/>
        <w:spacing w:after="240"/>
        <w:jc w:val="both"/>
      </w:pPr>
      <w:r w:rsidRPr="00035A43">
        <w:t xml:space="preserve">(1) </w:t>
      </w:r>
      <w:r w:rsidRPr="00BA7D89">
        <w:rPr>
          <w:i/>
          <w:iCs/>
        </w:rPr>
        <w:t>Geospatial Discretization</w:t>
      </w:r>
      <w:r w:rsidRPr="00035A43">
        <w:t xml:space="preserve">: </w:t>
      </w:r>
      <w:r>
        <w:t>T</w:t>
      </w:r>
      <w:r w:rsidRPr="00035A43">
        <w:t xml:space="preserve">he continuous road network </w:t>
      </w:r>
      <w:r w:rsidR="00E627CD">
        <w:t>was</w:t>
      </w:r>
      <w:r w:rsidRPr="00035A43">
        <w:t xml:space="preserve"> converted into a finite set of discrete spatial units (segments)</w:t>
      </w:r>
      <w:r w:rsidR="004E59AC">
        <w:t>.</w:t>
      </w:r>
      <w:r w:rsidRPr="00035A43">
        <w:t xml:space="preserve"> </w:t>
      </w:r>
    </w:p>
    <w:p w14:paraId="17355836" w14:textId="4DA0754F" w:rsidR="00DB5099" w:rsidRPr="00035A43" w:rsidRDefault="00DB5099" w:rsidP="00902F32">
      <w:pPr>
        <w:pStyle w:val="NoSpacing"/>
        <w:spacing w:after="240"/>
        <w:jc w:val="both"/>
      </w:pPr>
      <w:r w:rsidRPr="00035A43">
        <w:t xml:space="preserve">(2) </w:t>
      </w:r>
      <w:r>
        <w:rPr>
          <w:i/>
          <w:iCs/>
        </w:rPr>
        <w:t xml:space="preserve">DeepWalk </w:t>
      </w:r>
      <w:r w:rsidRPr="00EB688D">
        <w:rPr>
          <w:i/>
          <w:iCs/>
        </w:rPr>
        <w:t>Topological Encoding</w:t>
      </w:r>
      <w:r w:rsidRPr="00035A43">
        <w:t xml:space="preserve">: </w:t>
      </w:r>
      <w:r>
        <w:t xml:space="preserve">A </w:t>
      </w:r>
      <w:r w:rsidRPr="00035A43">
        <w:t xml:space="preserve">deep graph embedding </w:t>
      </w:r>
      <w:r w:rsidR="00E627CD">
        <w:t>was</w:t>
      </w:r>
      <w:r>
        <w:t xml:space="preserve"> constructed and</w:t>
      </w:r>
      <w:r w:rsidRPr="00035A43">
        <w:t xml:space="preserve"> learned for each spatial unit or segment</w:t>
      </w:r>
      <w:r>
        <w:t xml:space="preserve"> </w:t>
      </w:r>
      <w:r w:rsidRPr="002B7FE3">
        <w:t>using the DeepWalk algorithm</w:t>
      </w:r>
      <w:r w:rsidR="00BD3B45">
        <w:t xml:space="preserve"> </w:t>
      </w:r>
      <w:r w:rsidR="00BD3B45">
        <w:fldChar w:fldCharType="begin"/>
      </w:r>
      <w:r w:rsidR="00720F22">
        <w:instrText xml:space="preserve"> ADDIN EN.CITE &lt;EndNote&gt;&lt;Cite&gt;&lt;Author&gt;Perozzi&lt;/Author&gt;&lt;Year&gt;2014&lt;/Year&gt;&lt;RecNum&gt;11343&lt;/RecNum&gt;&lt;DisplayText&gt;&lt;style face="superscript"&gt;1&lt;/style&gt;&lt;/DisplayText&gt;&lt;record&gt;&lt;rec-number&gt;11343&lt;/rec-number&gt;&lt;foreign-keys&gt;&lt;key app="EN" db-id="ded9vtpt1d2wvmex2x0pddz9raws90dfwftf" timestamp="1762629388"&gt;11343&lt;/key&gt;&lt;/foreign-keys&gt;&lt;ref-type name="Conference Proceedings"&gt;10&lt;/ref-type&gt;&lt;contributors&gt;&lt;authors&gt;&lt;author&gt;Perozzi, Bryan&lt;/author&gt;&lt;author&gt;Al-Rfou, Rami&lt;/author&gt;&lt;author&gt;Skiena, Steven&lt;/author&gt;&lt;/authors&gt;&lt;/contributors&gt;&lt;titles&gt;&lt;title&gt;Deepwalk: Online learning of social representations&lt;/title&gt;&lt;secondary-title&gt;Proceedings of the 20th ACM SIGKDD international conference on Knowledge discovery and data mining&lt;/secondary-title&gt;&lt;/titles&gt;&lt;pages&gt;701-710&lt;/pages&gt;&lt;dates&gt;&lt;year&gt;2014&lt;/year&gt;&lt;/dates&gt;&lt;urls&gt;&lt;/urls&gt;&lt;/record&gt;&lt;/Cite&gt;&lt;/EndNote&gt;</w:instrText>
      </w:r>
      <w:r w:rsidR="00BD3B45">
        <w:fldChar w:fldCharType="separate"/>
      </w:r>
      <w:r w:rsidR="00720F22" w:rsidRPr="00720F22">
        <w:rPr>
          <w:noProof/>
          <w:vertAlign w:val="superscript"/>
        </w:rPr>
        <w:t>1</w:t>
      </w:r>
      <w:r w:rsidR="00BD3B45">
        <w:fldChar w:fldCharType="end"/>
      </w:r>
      <w:r w:rsidRPr="002B7FE3">
        <w:t>, capturing network connectivity based on random walks (15 walks of length 20).</w:t>
      </w:r>
    </w:p>
    <w:p w14:paraId="7485D526" w14:textId="28354B12" w:rsidR="00DB5099" w:rsidRPr="00035A43" w:rsidRDefault="00DB5099" w:rsidP="00902F32">
      <w:pPr>
        <w:pStyle w:val="NoSpacing"/>
        <w:spacing w:after="240"/>
        <w:jc w:val="both"/>
      </w:pPr>
      <w:r w:rsidRPr="00035A43">
        <w:t xml:space="preserve">(3) </w:t>
      </w:r>
      <w:r w:rsidRPr="00D70FA9">
        <w:rPr>
          <w:i/>
          <w:iCs/>
        </w:rPr>
        <w:t>Event Localization and Spatial Feature Engineering</w:t>
      </w:r>
      <w:r w:rsidRPr="00035A43">
        <w:t xml:space="preserve">: </w:t>
      </w:r>
      <w:r w:rsidRPr="009A0F7B">
        <w:t xml:space="preserve">Real events </w:t>
      </w:r>
      <w:r w:rsidR="00E627CD">
        <w:t>were</w:t>
      </w:r>
      <w:r w:rsidRPr="009A0F7B">
        <w:t xml:space="preserve"> snapped to the nearest spatial features (segments using a 20-meter tolerance), and all features </w:t>
      </w:r>
      <w:r w:rsidR="00E627CD">
        <w:t>were</w:t>
      </w:r>
      <w:r w:rsidRPr="009A0F7B">
        <w:t xml:space="preserve"> then transformed (e.g., cyclic for temporal data, logit for </w:t>
      </w:r>
      <w:r w:rsidR="006F6A2E">
        <w:t xml:space="preserve">segment </w:t>
      </w:r>
      <w:r w:rsidRPr="009A0F7B">
        <w:t>position) for modelling.</w:t>
      </w:r>
    </w:p>
    <w:p w14:paraId="4D4F0239" w14:textId="5A937E1D" w:rsidR="00DB5099" w:rsidRPr="00035A43" w:rsidRDefault="00DB5099" w:rsidP="00902F32">
      <w:pPr>
        <w:pStyle w:val="NoSpacing"/>
        <w:spacing w:after="240"/>
        <w:jc w:val="both"/>
      </w:pPr>
      <w:r w:rsidRPr="00035A43">
        <w:t xml:space="preserve">(4) </w:t>
      </w:r>
      <w:r w:rsidRPr="00F2049F">
        <w:rPr>
          <w:i/>
          <w:iCs/>
        </w:rPr>
        <w:t>Cohort-Based Conditional Generative Modelling</w:t>
      </w:r>
      <w:r w:rsidRPr="00035A43">
        <w:t xml:space="preserve">: </w:t>
      </w:r>
      <w:r>
        <w:t>A</w:t>
      </w:r>
      <w:r w:rsidRPr="00035A43">
        <w:t xml:space="preserve"> series of CTGAN models </w:t>
      </w:r>
      <w:r w:rsidR="005C7C67">
        <w:t>was</w:t>
      </w:r>
      <w:r w:rsidRPr="00035A43">
        <w:t xml:space="preserve"> trained on the spatially enriched tabular data</w:t>
      </w:r>
      <w:r w:rsidRPr="000F0E97">
        <w:t>, with the data stratified by year and month cohort.</w:t>
      </w:r>
      <w:r w:rsidRPr="00035A43">
        <w:t xml:space="preserve"> </w:t>
      </w:r>
    </w:p>
    <w:p w14:paraId="24D72BCF" w14:textId="18F4286B" w:rsidR="00DB5099" w:rsidRDefault="00DB5099" w:rsidP="005C7C67">
      <w:pPr>
        <w:pStyle w:val="NoSpacing"/>
        <w:spacing w:after="240"/>
        <w:jc w:val="both"/>
      </w:pPr>
      <w:r w:rsidRPr="00035A43">
        <w:t xml:space="preserve">(5) </w:t>
      </w:r>
      <w:r w:rsidRPr="00A31926">
        <w:rPr>
          <w:i/>
          <w:iCs/>
        </w:rPr>
        <w:t xml:space="preserve">Capacitated Assignment, Reconstruction, and Privacy Gating: </w:t>
      </w:r>
      <w:r w:rsidRPr="00A31926">
        <w:t xml:space="preserve">The Capacitated </w:t>
      </w:r>
      <w:r w:rsidRPr="00AF2F28">
        <w:rPr>
          <w:i/>
          <w:iCs/>
        </w:rPr>
        <w:t>k</w:t>
      </w:r>
      <w:r w:rsidRPr="00A31926">
        <w:t>-Nearest Neighbo</w:t>
      </w:r>
      <w:r w:rsidR="00AF2F28">
        <w:t>u</w:t>
      </w:r>
      <w:r w:rsidRPr="00A31926">
        <w:t xml:space="preserve">r (CaNN) algorithm </w:t>
      </w:r>
      <w:r w:rsidR="005C7C67">
        <w:t>was</w:t>
      </w:r>
      <w:r w:rsidRPr="00A31926">
        <w:t xml:space="preserve"> used to assign synthetic events to the network, reconstruct point geometries, and apply privacy filters (</w:t>
      </w:r>
      <w:r w:rsidR="004E49BA">
        <w:rPr>
          <w:i/>
          <w:iCs/>
        </w:rPr>
        <w:t>k</w:t>
      </w:r>
      <w:r w:rsidRPr="00A31926">
        <w:t>-anonymity and Distance-to-Closest-Record).</w:t>
      </w:r>
    </w:p>
    <w:p w14:paraId="6DB86742" w14:textId="48FC2AAD" w:rsidR="00DB5099" w:rsidRDefault="00DB5099" w:rsidP="00DB5099">
      <w:pPr>
        <w:pStyle w:val="NoSpacing"/>
        <w:jc w:val="both"/>
      </w:pPr>
      <w:r w:rsidRPr="00E32739">
        <w:t>The framework utilize</w:t>
      </w:r>
      <w:r w:rsidR="005C7C67">
        <w:t>d</w:t>
      </w:r>
      <w:r w:rsidRPr="00E32739">
        <w:t xml:space="preserve"> two primary geospatial datasets. The Major Crime Indicators (MCI) from the Toronto Police Service Public Safety Data Portal </w:t>
      </w:r>
      <w:r>
        <w:fldChar w:fldCharType="begin"/>
      </w:r>
      <w:r w:rsidR="00720F22">
        <w:instrText xml:space="preserve"> ADDIN EN.CITE &lt;EndNote&gt;&lt;Cite&gt;&lt;Author&gt;Toronto Police Service&lt;/Author&gt;&lt;Year&gt;2025&lt;/Year&gt;&lt;RecNum&gt;11328&lt;/RecNum&gt;&lt;DisplayText&gt;&lt;style face="superscript"&gt;2&lt;/style&gt;&lt;/DisplayText&gt;&lt;record&gt;&lt;rec-number&gt;11328&lt;/rec-number&gt;&lt;foreign-keys&gt;&lt;key app="EN" db-id="ded9vtpt1d2wvmex2x0pddz9raws90dfwftf" timestamp="1762110388"&gt;11328&lt;/key&gt;&lt;/foreign-keys&gt;&lt;ref-type name="Web Page"&gt;12&lt;/ref-type&gt;&lt;contributors&gt;&lt;authors&gt;&lt;author&gt;Toronto Police Service,&lt;/author&gt;&lt;/authors&gt;&lt;/contributors&gt;&lt;titles&gt;&lt;title&gt;Toronto Police Service Public Safety Data Portal&lt;/title&gt;&lt;/titles&gt;&lt;dates&gt;&lt;year&gt;2025&lt;/year&gt;&lt;/dates&gt;&lt;urls&gt;&lt;related-urls&gt;&lt;url&gt;https://data.torontopolice.on.ca/pages/open-data&lt;/url&gt;&lt;/related-urls&gt;&lt;/urls&gt;&lt;/record&gt;&lt;/Cite&gt;&lt;/EndNote&gt;</w:instrText>
      </w:r>
      <w:r>
        <w:fldChar w:fldCharType="separate"/>
      </w:r>
      <w:r w:rsidR="00720F22" w:rsidRPr="00720F22">
        <w:rPr>
          <w:noProof/>
          <w:vertAlign w:val="superscript"/>
        </w:rPr>
        <w:t>2</w:t>
      </w:r>
      <w:r>
        <w:fldChar w:fldCharType="end"/>
      </w:r>
      <w:r w:rsidRPr="00E32739">
        <w:t xml:space="preserve"> </w:t>
      </w:r>
      <w:r w:rsidR="0033151D">
        <w:t>was</w:t>
      </w:r>
      <w:r w:rsidRPr="00E32739">
        <w:t xml:space="preserve"> a point-feature dataset containing records of individual crime events, including temporal attributes (e.g., date of occurrence), categorical descriptors (e.g., MCI category, premises type), and spatial coordinates. For this study, 413,858 individual events, comprising 31 columns, were extracted for the period from 2014 to 2024. The original data provider note</w:t>
      </w:r>
      <w:r w:rsidR="0033151D">
        <w:t>d</w:t>
      </w:r>
      <w:r w:rsidRPr="00E32739">
        <w:t xml:space="preserve"> that locations </w:t>
      </w:r>
      <w:r w:rsidR="0033151D">
        <w:t>were</w:t>
      </w:r>
      <w:r w:rsidRPr="00E32739">
        <w:t xml:space="preserve"> offset to the nearest road intersection to protect privacy, but this </w:t>
      </w:r>
      <w:r w:rsidR="0033151D">
        <w:t>did</w:t>
      </w:r>
      <w:r w:rsidRPr="00E32739">
        <w:t xml:space="preserve"> not affect this study, as the primary objective </w:t>
      </w:r>
      <w:r w:rsidR="0033151D">
        <w:t>was</w:t>
      </w:r>
      <w:r w:rsidRPr="00E32739">
        <w:t xml:space="preserve"> to construct a </w:t>
      </w:r>
      <w:r>
        <w:t xml:space="preserve">spatial feature-aware </w:t>
      </w:r>
      <w:r w:rsidRPr="00E32739">
        <w:t xml:space="preserve">CTGAN that </w:t>
      </w:r>
      <w:r w:rsidR="0033151D">
        <w:t>could</w:t>
      </w:r>
      <w:r w:rsidRPr="00E32739">
        <w:t xml:space="preserve"> faithfully reproduce both the spatial and non-spatial attributes of the real data. Hence, a spatially rich event dataset (i.e., point-wise </w:t>
      </w:r>
      <w:r>
        <w:t xml:space="preserve">locations with non-spatial attributes) </w:t>
      </w:r>
      <w:r w:rsidR="00F2731F">
        <w:t>was</w:t>
      </w:r>
      <w:r>
        <w:t xml:space="preserve"> more important than precise event locations</w:t>
      </w:r>
      <w:r w:rsidRPr="00E32739">
        <w:t xml:space="preserve">, which </w:t>
      </w:r>
      <w:r w:rsidR="00800C8B">
        <w:t>would have been</w:t>
      </w:r>
      <w:r w:rsidRPr="00E32739">
        <w:t xml:space="preserve"> more relevant </w:t>
      </w:r>
      <w:r w:rsidR="00800C8B">
        <w:t>for</w:t>
      </w:r>
      <w:r w:rsidRPr="00E32739">
        <w:t xml:space="preserve"> risk factor analyses or crime causality investigations. </w:t>
      </w:r>
      <w:r w:rsidR="00145236">
        <w:t xml:space="preserve">The road network data were downloaded from OpenStreetMap (OSM) using the OSMnx Python library </w:t>
      </w:r>
      <w:r w:rsidR="00145236">
        <w:fldChar w:fldCharType="begin"/>
      </w:r>
      <w:r w:rsidR="00720F22">
        <w:instrText xml:space="preserve"> ADDIN EN.CITE &lt;EndNote&gt;&lt;Cite&gt;&lt;Author&gt;Boeing&lt;/Author&gt;&lt;Year&gt;2025&lt;/Year&gt;&lt;RecNum&gt;11412&lt;/RecNum&gt;&lt;DisplayText&gt;&lt;style face="superscript"&gt;3&lt;/style&gt;&lt;/DisplayText&gt;&lt;record&gt;&lt;rec-number&gt;11412&lt;/rec-number&gt;&lt;foreign-keys&gt;&lt;key app="EN" db-id="ded9vtpt1d2wvmex2x0pddz9raws90dfwftf" timestamp="1769497072"&gt;11412&lt;/key&gt;&lt;/foreign-keys&gt;&lt;ref-type name="Journal Article"&gt;17&lt;/ref-type&gt;&lt;contributors&gt;&lt;authors&gt;&lt;author&gt;Boeing, Geoff&lt;/author&gt;&lt;/authors&gt;&lt;/contributors&gt;&lt;titles&gt;&lt;title&gt;Modeling and analyzing urban networks and amenities with OSMnx&lt;/title&gt;&lt;secondary-title&gt;Geographical Analysis&lt;/secondary-title&gt;&lt;/titles&gt;&lt;periodical&gt;&lt;full-title&gt;Geographical Analysis&lt;/full-title&gt;&lt;/periodical&gt;&lt;dates&gt;&lt;year&gt;2025&lt;/year&gt;&lt;/dates&gt;&lt;isbn&gt;0016-7363&lt;/isbn&gt;&lt;urls&gt;&lt;/urls&gt;&lt;/record&gt;&lt;/Cite&gt;&lt;/EndNote&gt;</w:instrText>
      </w:r>
      <w:r w:rsidR="00145236">
        <w:fldChar w:fldCharType="separate"/>
      </w:r>
      <w:r w:rsidR="00720F22" w:rsidRPr="00720F22">
        <w:rPr>
          <w:noProof/>
          <w:vertAlign w:val="superscript"/>
        </w:rPr>
        <w:t>3</w:t>
      </w:r>
      <w:r w:rsidR="00145236">
        <w:fldChar w:fldCharType="end"/>
      </w:r>
      <w:r w:rsidR="00145236">
        <w:t xml:space="preserve"> and exported as a vector road network layer for use as</w:t>
      </w:r>
      <w:r w:rsidR="00E5366D">
        <w:t xml:space="preserve"> input in GeoCTGAN</w:t>
      </w:r>
      <w:r w:rsidR="002B65CA" w:rsidRPr="002B65CA">
        <w:t>. A topologically connected street network for the City of Toronto was downloaded using place-based queries and simplified to retain navigable road segments. The resulting graph was converted into node and edge GeoDataFrames, preserving standard OSM attributes (e.g., road type, directionality, and segment length). The network was exported to GraphML and GeoPackage formats and subsequently processed into discretized road segments for spatial analysis and modelling</w:t>
      </w:r>
      <w:r>
        <w:t xml:space="preserve">. </w:t>
      </w:r>
    </w:p>
    <w:p w14:paraId="1D2FBDC2" w14:textId="77777777" w:rsidR="00A47C10" w:rsidRDefault="00A47C10" w:rsidP="00DB5099">
      <w:pPr>
        <w:pStyle w:val="NoSpacing"/>
        <w:jc w:val="both"/>
      </w:pPr>
    </w:p>
    <w:p w14:paraId="5A4CA50B" w14:textId="5CEA692B" w:rsidR="00A47C10" w:rsidRDefault="00A47C10" w:rsidP="00A47C10">
      <w:pPr>
        <w:pStyle w:val="NoSpacing"/>
        <w:jc w:val="both"/>
      </w:pPr>
      <w:r>
        <w:t xml:space="preserve">The GeoCTGAN data generation and evaluation pipelines were run </w:t>
      </w:r>
      <w:r w:rsidR="006E62C6" w:rsidRPr="006E62C6">
        <w:t>on a Linux server running Ubuntu 22.04.5 LTS, equipped with a dual-socket AMD EPYC 9254 processor (48 cores, 96 threads) and 256 GB RAM. The system included an NVIDIA H100 NVL GPU with 96 GB of dedicated VRAM, operating on NVIDIA driver 580.126.09. The software environment utilized Python 3.10.12 with PyTorch 2.9.0 (</w:t>
      </w:r>
      <w:r w:rsidR="000763C3" w:rsidRPr="000763C3">
        <w:t>built with CUDA 12.8</w:t>
      </w:r>
      <w:r w:rsidR="006E62C6" w:rsidRPr="006E62C6">
        <w:t>), scikit-learn 1.7.2, NumPy 1.26.4, Pandas 2.3.3, SciPy 1.15.3, and SDV 1.28.0.</w:t>
      </w:r>
    </w:p>
    <w:p w14:paraId="7895261C" w14:textId="332DC97A" w:rsidR="00DB5099" w:rsidRPr="003F30C7" w:rsidRDefault="00DB5099" w:rsidP="00DB5099">
      <w:pPr>
        <w:pStyle w:val="NoSpacing"/>
        <w:jc w:val="both"/>
        <w:rPr>
          <w:b/>
          <w:bCs/>
        </w:rPr>
      </w:pPr>
      <w:r w:rsidRPr="003F30C7">
        <w:rPr>
          <w:b/>
          <w:bCs/>
        </w:rPr>
        <w:lastRenderedPageBreak/>
        <w:t>1 Geospatial Discretization</w:t>
      </w:r>
      <w:r>
        <w:rPr>
          <w:b/>
          <w:bCs/>
        </w:rPr>
        <w:t xml:space="preserve"> (Road Network Segmentation)</w:t>
      </w:r>
    </w:p>
    <w:p w14:paraId="0CE403E6" w14:textId="77777777" w:rsidR="00DB5099" w:rsidRDefault="00DB5099" w:rsidP="00DB5099">
      <w:pPr>
        <w:pStyle w:val="NoSpacing"/>
        <w:jc w:val="both"/>
      </w:pPr>
    </w:p>
    <w:p w14:paraId="22764E9F" w14:textId="455F0B85" w:rsidR="00DB5099" w:rsidRDefault="00DB5099" w:rsidP="00DB5099">
      <w:pPr>
        <w:pStyle w:val="NoSpacing"/>
        <w:jc w:val="both"/>
      </w:pPr>
      <w:r>
        <w:t>The first stage involve</w:t>
      </w:r>
      <w:r w:rsidR="005D3863">
        <w:t>d</w:t>
      </w:r>
      <w:r>
        <w:t xml:space="preserve"> discretizing the continuous spatial environment defined by the road network. The raw network polylines, which include</w:t>
      </w:r>
      <w:r w:rsidR="00071ECD">
        <w:t>d</w:t>
      </w:r>
      <w:r>
        <w:t xml:space="preserve"> both LineString and MultiLineString geometries, </w:t>
      </w:r>
      <w:r w:rsidR="00071ECD">
        <w:t>were</w:t>
      </w:r>
      <w:r>
        <w:t xml:space="preserve"> flattened into a single collection of simple LineString features. Each LineString </w:t>
      </w:r>
      <w:r w:rsidR="00071ECD">
        <w:t>was</w:t>
      </w:r>
      <w:r>
        <w:t xml:space="preserve"> then recursively subdivided using a process that ensure</w:t>
      </w:r>
      <w:r w:rsidR="00071ECD">
        <w:t>d</w:t>
      </w:r>
      <w:r>
        <w:t xml:space="preserve"> no resulting segment exceed</w:t>
      </w:r>
      <w:r w:rsidR="00071ECD">
        <w:t>ed</w:t>
      </w:r>
      <w:r>
        <w:t xml:space="preserve"> a predefined maximum length. </w:t>
      </w:r>
      <w:r w:rsidRPr="009F6B58">
        <w:t>In our implementation, the hyperparameter (</w:t>
      </w:r>
      <w:r w:rsidRPr="00C9526A">
        <w:rPr>
          <w:rFonts w:ascii="Courier New" w:hAnsi="Courier New" w:cs="Courier New"/>
        </w:rPr>
        <w:t>MAX_SEG_LEN_M</w:t>
      </w:r>
      <w:r w:rsidRPr="009F6B58">
        <w:t xml:space="preserve">) was explicitly set to 40 </w:t>
      </w:r>
      <w:r>
        <w:t>m</w:t>
      </w:r>
      <w:r w:rsidRPr="009F6B58">
        <w:t xml:space="preserve">. This maximum length </w:t>
      </w:r>
      <w:r w:rsidR="00071ECD">
        <w:t>was</w:t>
      </w:r>
      <w:r w:rsidRPr="009F6B58">
        <w:t xml:space="preserve"> computed in a metric </w:t>
      </w:r>
      <w:r w:rsidR="009665DE">
        <w:t>Coordinate Reference System</w:t>
      </w:r>
      <w:r w:rsidRPr="009F6B58">
        <w:t xml:space="preserve"> (</w:t>
      </w:r>
      <w:r w:rsidRPr="00C9526A">
        <w:rPr>
          <w:rFonts w:ascii="Courier New" w:hAnsi="Courier New" w:cs="Courier New"/>
        </w:rPr>
        <w:t>EPSG:32617</w:t>
      </w:r>
      <w:r w:rsidRPr="009F6B58">
        <w:t>)</w:t>
      </w:r>
      <w:r>
        <w:t>,</w:t>
      </w:r>
      <w:r w:rsidRPr="009F6B58">
        <w:t xml:space="preserve"> and the subdivision </w:t>
      </w:r>
      <w:r w:rsidR="00DD268C">
        <w:t>was</w:t>
      </w:r>
      <w:r w:rsidRPr="009F6B58">
        <w:t xml:space="preserve"> performed </w:t>
      </w:r>
      <w:r>
        <w:t>through</w:t>
      </w:r>
      <w:r w:rsidRPr="009F6B58">
        <w:t xml:space="preserve"> proportional splits along the native geometry. This process transform</w:t>
      </w:r>
      <w:r w:rsidR="00DD268C">
        <w:t>ed</w:t>
      </w:r>
      <w:r w:rsidRPr="009F6B58">
        <w:t xml:space="preserve"> the continuous network into a finite library of </w:t>
      </w:r>
      <w:r w:rsidRPr="00CE49A0">
        <w:rPr>
          <w:i/>
          <w:iCs/>
        </w:rPr>
        <w:t>N</w:t>
      </w:r>
      <w:r w:rsidRPr="009F6B58">
        <w:t xml:space="preserve"> road segments, </w:t>
      </w:r>
      <w:r w:rsidR="00081199">
        <w:t>each assigned</w:t>
      </w:r>
      <w:r w:rsidR="00DD268C">
        <w:t xml:space="preserve"> </w:t>
      </w:r>
      <w:r w:rsidR="00081199">
        <w:t>a unique segment ID (</w:t>
      </w:r>
      <w:r w:rsidR="00081199" w:rsidRPr="00081199">
        <w:rPr>
          <w:rFonts w:ascii="Courier New" w:hAnsi="Courier New" w:cs="Courier New"/>
        </w:rPr>
        <w:t>segment_id</w:t>
      </w:r>
      <w:r w:rsidR="00081199">
        <w:t>), which</w:t>
      </w:r>
      <w:r w:rsidRPr="009F6B58">
        <w:t xml:space="preserve"> serve</w:t>
      </w:r>
      <w:r w:rsidR="001E10D3">
        <w:t>d</w:t>
      </w:r>
      <w:r w:rsidRPr="009F6B58">
        <w:t xml:space="preserve"> as the fundamental spatial unit for all subsequent analysis and the basis for the topological encoding. The process resulted in the creation of </w:t>
      </w:r>
      <w:r w:rsidRPr="004A1387">
        <w:t>964,834</w:t>
      </w:r>
      <w:r w:rsidR="001E10D3">
        <w:t xml:space="preserve"> </w:t>
      </w:r>
      <w:r w:rsidRPr="009F6B58">
        <w:t>segments within the entire road network.</w:t>
      </w:r>
    </w:p>
    <w:p w14:paraId="2FB2E8DA" w14:textId="77777777" w:rsidR="00DB5099" w:rsidRDefault="00DB5099" w:rsidP="00DB5099">
      <w:pPr>
        <w:pStyle w:val="NoSpacing"/>
        <w:jc w:val="both"/>
      </w:pPr>
    </w:p>
    <w:p w14:paraId="7D9BCAC8" w14:textId="439B900E" w:rsidR="00DB5099" w:rsidRPr="007702F7" w:rsidRDefault="00DB5099" w:rsidP="00DB5099">
      <w:pPr>
        <w:pStyle w:val="NoSpacing"/>
        <w:jc w:val="both"/>
        <w:rPr>
          <w:b/>
          <w:bCs/>
        </w:rPr>
      </w:pPr>
      <w:r w:rsidRPr="007702F7">
        <w:rPr>
          <w:b/>
          <w:bCs/>
        </w:rPr>
        <w:t>2 Topological Encoding: DeepWalk Graph Embeddings</w:t>
      </w:r>
    </w:p>
    <w:p w14:paraId="5CBF67D2" w14:textId="77777777" w:rsidR="00DB5099" w:rsidRDefault="00DB5099" w:rsidP="00DB5099">
      <w:pPr>
        <w:pStyle w:val="NoSpacing"/>
        <w:jc w:val="both"/>
      </w:pPr>
    </w:p>
    <w:p w14:paraId="35FEC539" w14:textId="04DBFCD6" w:rsidR="00DB5099" w:rsidRPr="007702F7" w:rsidRDefault="00DB5099" w:rsidP="00DB5099">
      <w:pPr>
        <w:pStyle w:val="NoSpacing"/>
        <w:jc w:val="both"/>
        <w:rPr>
          <w:b/>
          <w:bCs/>
        </w:rPr>
      </w:pPr>
      <w:r>
        <w:rPr>
          <w:b/>
          <w:bCs/>
        </w:rPr>
        <w:t xml:space="preserve">2.1 </w:t>
      </w:r>
      <w:r w:rsidRPr="007702F7">
        <w:rPr>
          <w:b/>
          <w:bCs/>
        </w:rPr>
        <w:t>Graph Construction</w:t>
      </w:r>
    </w:p>
    <w:p w14:paraId="09E0DEB2" w14:textId="77777777" w:rsidR="00DB5099" w:rsidRDefault="00DB5099" w:rsidP="00DB5099">
      <w:pPr>
        <w:pStyle w:val="NoSpacing"/>
        <w:jc w:val="both"/>
      </w:pPr>
    </w:p>
    <w:p w14:paraId="12CC14FB" w14:textId="3B994D3F" w:rsidR="00DB5099" w:rsidRPr="00E937F4" w:rsidRDefault="00DB5099" w:rsidP="00DB5099">
      <w:pPr>
        <w:pStyle w:val="NoSpacing"/>
        <w:jc w:val="both"/>
      </w:pPr>
      <w:r>
        <w:t xml:space="preserve">An undirected, unweighted adjacency graph, </w:t>
      </w:r>
      <m:oMath>
        <m:r>
          <w:rPr>
            <w:rFonts w:ascii="Cambria Math" w:hAnsi="Cambria Math"/>
          </w:rPr>
          <m:t>G=(V,E)</m:t>
        </m:r>
      </m:oMath>
      <w:r>
        <w:t xml:space="preserve">, </w:t>
      </w:r>
      <w:r w:rsidR="001E10D3">
        <w:t>wa</w:t>
      </w:r>
      <w:r>
        <w:t xml:space="preserve">s constructed from the </w:t>
      </w:r>
      <w:r w:rsidRPr="0074636A">
        <w:rPr>
          <w:i/>
          <w:iCs/>
        </w:rPr>
        <w:t>N</w:t>
      </w:r>
      <w:r>
        <w:t xml:space="preserve"> segments. The set of vertices </w:t>
      </w:r>
      <w:r w:rsidRPr="0074636A">
        <w:rPr>
          <w:i/>
          <w:iCs/>
        </w:rPr>
        <w:t>V</w:t>
      </w:r>
      <w:r>
        <w:t xml:space="preserve"> (or, nodes) represent</w:t>
      </w:r>
      <w:r w:rsidR="001E10D3">
        <w:t>ed</w:t>
      </w:r>
      <w:r>
        <w:t xml:space="preserve"> the </w:t>
      </w:r>
      <w:r w:rsidRPr="009349FB">
        <w:rPr>
          <w:i/>
          <w:iCs/>
        </w:rPr>
        <w:t>N</w:t>
      </w:r>
      <w:r>
        <w:t xml:space="preserve"> total segment IDs. An edge </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∈E</m:t>
        </m:r>
      </m:oMath>
      <w:r>
        <w:rPr>
          <w:rFonts w:eastAsiaTheme="minorEastAsia"/>
        </w:rPr>
        <w:t xml:space="preserve"> </w:t>
      </w:r>
      <w:r>
        <w:t>exist</w:t>
      </w:r>
      <w:r w:rsidR="00C27096">
        <w:t>ed</w:t>
      </w:r>
      <w:r>
        <w:t xml:space="preserve"> if and only if the segment </w:t>
      </w:r>
      <w:r>
        <w:rPr>
          <w:i/>
          <w:iCs/>
        </w:rPr>
        <w:t>i</w:t>
      </w:r>
      <w:r>
        <w:t xml:space="preserve"> and segment </w:t>
      </w:r>
      <w:r>
        <w:rPr>
          <w:i/>
          <w:iCs/>
        </w:rPr>
        <w:t xml:space="preserve">j </w:t>
      </w:r>
      <w:r w:rsidR="00C27096">
        <w:t>were</w:t>
      </w:r>
      <w:r>
        <w:t xml:space="preserve"> spatially adjacent. Adjacency </w:t>
      </w:r>
      <w:r w:rsidR="00C27096">
        <w:t>wa</w:t>
      </w:r>
      <w:r>
        <w:t xml:space="preserve">s defined by shared endpoints (vertices). The hyperparameter settings outlined below </w:t>
      </w:r>
      <w:r w:rsidR="00C27096">
        <w:t>were</w:t>
      </w:r>
      <w:r>
        <w:t xml:space="preserve"> selected based on a </w:t>
      </w:r>
      <w:r>
        <w:rPr>
          <w:i/>
          <w:iCs/>
        </w:rPr>
        <w:t>priori</w:t>
      </w:r>
      <w:r>
        <w:t xml:space="preserve"> knowledge from established crime literature, and each spatial issue </w:t>
      </w:r>
      <w:r w:rsidR="00825917">
        <w:t xml:space="preserve">was </w:t>
      </w:r>
      <w:r>
        <w:t xml:space="preserve">addressed through the constructed graph components.  </w:t>
      </w:r>
    </w:p>
    <w:p w14:paraId="3A4D8B25" w14:textId="77777777" w:rsidR="00DB5099" w:rsidRDefault="00DB5099" w:rsidP="00DB5099">
      <w:pPr>
        <w:pStyle w:val="NoSpacing"/>
        <w:jc w:val="both"/>
      </w:pPr>
    </w:p>
    <w:p w14:paraId="4BDFD97E" w14:textId="17A49373" w:rsidR="00DB5099" w:rsidRDefault="00DB5099" w:rsidP="00DB5099">
      <w:pPr>
        <w:pStyle w:val="NoSpacing"/>
        <w:jc w:val="both"/>
      </w:pPr>
      <w:r>
        <w:t>The start-point (</w:t>
      </w:r>
      <m:oMath>
        <m:sSub>
          <m:sSubPr>
            <m:ctrlPr>
              <w:rPr>
                <w:rFonts w:ascii="Cambria Math" w:hAnsi="Cambria Math" w:cs="Courier New"/>
                <w:i/>
              </w:rPr>
            </m:ctrlPr>
          </m:sSubPr>
          <m:e>
            <m:r>
              <w:rPr>
                <w:rFonts w:ascii="Cambria Math" w:hAnsi="Cambria Math" w:cs="Courier New"/>
              </w:rPr>
              <m:t>coords</m:t>
            </m:r>
          </m:e>
          <m:sub>
            <m:r>
              <w:rPr>
                <w:rFonts w:ascii="Cambria Math" w:hAnsi="Cambria Math" w:cs="Courier New"/>
              </w:rPr>
              <m:t>0</m:t>
            </m:r>
          </m:sub>
        </m:sSub>
      </m:oMath>
      <w:r>
        <w:t>) and endpoint (</w:t>
      </w:r>
      <m:oMath>
        <m:sSub>
          <m:sSubPr>
            <m:ctrlPr>
              <w:rPr>
                <w:rFonts w:ascii="Cambria Math" w:hAnsi="Cambria Math"/>
                <w:i/>
              </w:rPr>
            </m:ctrlPr>
          </m:sSubPr>
          <m:e>
            <m:r>
              <w:rPr>
                <w:rFonts w:ascii="Cambria Math" w:hAnsi="Cambria Math"/>
              </w:rPr>
              <m:t>coords</m:t>
            </m:r>
          </m:e>
          <m:sub>
            <m:r>
              <w:rPr>
                <w:rFonts w:ascii="Cambria Math" w:hAnsi="Cambria Math"/>
              </w:rPr>
              <m:t>1</m:t>
            </m:r>
          </m:sub>
        </m:sSub>
      </m:oMath>
      <w:r>
        <w:t xml:space="preserve">) coordinates </w:t>
      </w:r>
      <w:r w:rsidR="00825917">
        <w:t>were</w:t>
      </w:r>
      <w:r>
        <w:t xml:space="preserve"> extracted for every segment. These endpoint coordinates </w:t>
      </w:r>
      <w:r w:rsidR="00825917">
        <w:t>were</w:t>
      </w:r>
      <w:r>
        <w:t xml:space="preserve"> then snapped to a grid defined by a tolerance, </w:t>
      </w:r>
      <w:r w:rsidRPr="00DF7029">
        <w:rPr>
          <w:rFonts w:ascii="Courier New" w:hAnsi="Courier New" w:cs="Courier New"/>
        </w:rPr>
        <w:t>NODE_SNAP_TOL_M</w:t>
      </w:r>
      <w:r>
        <w:t xml:space="preserve"> (set to 0.75 m), using a rounding function (</w:t>
      </w:r>
      <w:r w:rsidRPr="00DF7029">
        <w:rPr>
          <w:rFonts w:ascii="Courier New" w:hAnsi="Courier New" w:cs="Courier New"/>
        </w:rPr>
        <w:t>snap_key</w:t>
      </w:r>
      <w:r>
        <w:t>). A dictionary (</w:t>
      </w:r>
      <w:r w:rsidRPr="00DF7029">
        <w:rPr>
          <w:rFonts w:ascii="Courier New" w:hAnsi="Courier New" w:cs="Courier New"/>
        </w:rPr>
        <w:t>node_map</w:t>
      </w:r>
      <w:r>
        <w:t>) map</w:t>
      </w:r>
      <w:r w:rsidR="00A55CC7">
        <w:t>ped</w:t>
      </w:r>
      <w:r>
        <w:t xml:space="preserve"> these snapped coordinate tuples to unique integer IDs, effectively representing the network's intersections. An adjacency list (</w:t>
      </w:r>
      <w:r w:rsidRPr="00DF7029">
        <w:rPr>
          <w:rFonts w:ascii="Courier New" w:hAnsi="Courier New" w:cs="Courier New"/>
        </w:rPr>
        <w:t>adj</w:t>
      </w:r>
      <w:r>
        <w:t xml:space="preserve">) </w:t>
      </w:r>
      <w:r w:rsidR="009F7546">
        <w:t>was</w:t>
      </w:r>
      <w:r>
        <w:t xml:space="preserve"> then constructed by iterating through all segments, where if two segments share</w:t>
      </w:r>
      <w:r w:rsidR="009F7546">
        <w:t>d</w:t>
      </w:r>
      <w:r>
        <w:t xml:space="preserve"> a common </w:t>
      </w:r>
      <w:r w:rsidRPr="00DF7029">
        <w:rPr>
          <w:rFonts w:ascii="Courier New" w:hAnsi="Courier New" w:cs="Courier New"/>
        </w:rPr>
        <w:t>node_id</w:t>
      </w:r>
      <w:r>
        <w:t xml:space="preserve"> from the </w:t>
      </w:r>
      <w:r w:rsidRPr="00DF7029">
        <w:rPr>
          <w:rFonts w:ascii="Courier New" w:hAnsi="Courier New" w:cs="Courier New"/>
        </w:rPr>
        <w:t>node_map</w:t>
      </w:r>
      <w:r>
        <w:t xml:space="preserve">, they </w:t>
      </w:r>
      <w:r w:rsidR="009F7546">
        <w:t>we</w:t>
      </w:r>
      <w:r>
        <w:t xml:space="preserve">re considered adjacent, and an edge </w:t>
      </w:r>
      <w:r w:rsidR="009F7546">
        <w:t>wa</w:t>
      </w:r>
      <w:r>
        <w:t>s added to the graph.</w:t>
      </w:r>
    </w:p>
    <w:p w14:paraId="65A78273" w14:textId="77777777" w:rsidR="00DB5099" w:rsidRDefault="00DB5099" w:rsidP="00DB5099">
      <w:pPr>
        <w:pStyle w:val="NoSpacing"/>
        <w:jc w:val="both"/>
      </w:pPr>
    </w:p>
    <w:p w14:paraId="66446126" w14:textId="5C6D0DC0" w:rsidR="00DB5099" w:rsidRPr="008D2F02" w:rsidRDefault="00DB5099" w:rsidP="00DB5099">
      <w:pPr>
        <w:pStyle w:val="NoSpacing"/>
        <w:jc w:val="both"/>
        <w:rPr>
          <w:b/>
          <w:bCs/>
        </w:rPr>
      </w:pPr>
      <w:r w:rsidRPr="008D2F02">
        <w:rPr>
          <w:b/>
          <w:bCs/>
        </w:rPr>
        <w:t>2.2 Representation Learning via DeepWalk</w:t>
      </w:r>
    </w:p>
    <w:p w14:paraId="684FD3CE" w14:textId="77777777" w:rsidR="00DB5099" w:rsidRDefault="00DB5099" w:rsidP="00DB5099">
      <w:pPr>
        <w:pStyle w:val="NoSpacing"/>
        <w:jc w:val="both"/>
      </w:pPr>
    </w:p>
    <w:p w14:paraId="597D8058" w14:textId="431FF84B" w:rsidR="00DB5099" w:rsidRDefault="00DB5099" w:rsidP="00DB5099">
      <w:pPr>
        <w:pStyle w:val="NoSpacing"/>
        <w:jc w:val="both"/>
      </w:pPr>
      <w:r>
        <w:t xml:space="preserve">With the topology formally defined as a graph </w:t>
      </w:r>
      <w:r>
        <w:rPr>
          <w:i/>
          <w:iCs/>
        </w:rPr>
        <w:t>G</w:t>
      </w:r>
      <w:r>
        <w:t xml:space="preserve">, a low-dimensional feature representation </w:t>
      </w:r>
      <w:r w:rsidR="0063738C">
        <w:t>wa</w:t>
      </w:r>
      <w:r>
        <w:t xml:space="preserve">s learned for each vertex (segment) using the DeepWalk algorithm </w:t>
      </w:r>
      <w:r>
        <w:fldChar w:fldCharType="begin"/>
      </w:r>
      <w:r w:rsidR="00720F22">
        <w:instrText xml:space="preserve"> ADDIN EN.CITE &lt;EndNote&gt;&lt;Cite&gt;&lt;Author&gt;Perozzi&lt;/Author&gt;&lt;Year&gt;2014&lt;/Year&gt;&lt;RecNum&gt;11343&lt;/RecNum&gt;&lt;DisplayText&gt;&lt;style face="superscript"&gt;1&lt;/style&gt;&lt;/DisplayText&gt;&lt;record&gt;&lt;rec-number&gt;11343&lt;/rec-number&gt;&lt;foreign-keys&gt;&lt;key app="EN" db-id="ded9vtpt1d2wvmex2x0pddz9raws90dfwftf" timestamp="1762629388"&gt;11343&lt;/key&gt;&lt;/foreign-keys&gt;&lt;ref-type name="Conference Proceedings"&gt;10&lt;/ref-type&gt;&lt;contributors&gt;&lt;authors&gt;&lt;author&gt;Perozzi, Bryan&lt;/author&gt;&lt;author&gt;Al-Rfou, Rami&lt;/author&gt;&lt;author&gt;Skiena, Steven&lt;/author&gt;&lt;/authors&gt;&lt;/contributors&gt;&lt;titles&gt;&lt;title&gt;Deepwalk: Online learning of social representations&lt;/title&gt;&lt;secondary-title&gt;Proceedings of the 20th ACM SIGKDD international conference on Knowledge discovery and data mining&lt;/secondary-title&gt;&lt;/titles&gt;&lt;pages&gt;701-710&lt;/pages&gt;&lt;dates&gt;&lt;year&gt;2014&lt;/year&gt;&lt;/dates&gt;&lt;urls&gt;&lt;/urls&gt;&lt;/record&gt;&lt;/Cite&gt;&lt;/EndNote&gt;</w:instrText>
      </w:r>
      <w:r>
        <w:fldChar w:fldCharType="separate"/>
      </w:r>
      <w:r w:rsidR="00720F22" w:rsidRPr="00720F22">
        <w:rPr>
          <w:noProof/>
          <w:vertAlign w:val="superscript"/>
        </w:rPr>
        <w:t>1</w:t>
      </w:r>
      <w:r>
        <w:fldChar w:fldCharType="end"/>
      </w:r>
      <w:r>
        <w:t>. DeepWalk learn</w:t>
      </w:r>
      <w:r w:rsidR="0063738C">
        <w:t>ed</w:t>
      </w:r>
      <w:r>
        <w:t xml:space="preserve"> latent representations by modelling a stream of truncated random walks. </w:t>
      </w:r>
      <w:r w:rsidRPr="00C420B3">
        <w:t xml:space="preserve">First, a collection of graph traversal sequences </w:t>
      </w:r>
      <w:r w:rsidR="0063738C">
        <w:t>wa</w:t>
      </w:r>
      <w:r w:rsidRPr="00C420B3">
        <w:t xml:space="preserve">s generated using the </w:t>
      </w:r>
      <w:r w:rsidRPr="00AB5F65">
        <w:rPr>
          <w:rFonts w:ascii="Courier New" w:hAnsi="Courier New" w:cs="Courier New"/>
        </w:rPr>
        <w:t>deepwalk_sequences</w:t>
      </w:r>
      <w:r w:rsidRPr="00C420B3">
        <w:t xml:space="preserve"> function, capturing the structural context of each node within the urban road network</w:t>
      </w:r>
      <w:r>
        <w:t>. This function iterate</w:t>
      </w:r>
      <w:r w:rsidR="0063738C">
        <w:t>d</w:t>
      </w:r>
      <w:r>
        <w:t xml:space="preserve"> </w:t>
      </w:r>
      <m:oMath>
        <m:sSub>
          <m:sSubPr>
            <m:ctrlPr>
              <w:rPr>
                <w:rFonts w:ascii="Cambria Math" w:hAnsi="Cambria Math"/>
                <w:i/>
              </w:rPr>
            </m:ctrlPr>
          </m:sSubPr>
          <m:e>
            <m:r>
              <w:rPr>
                <w:rFonts w:ascii="Cambria Math" w:hAnsi="Cambria Math"/>
              </w:rPr>
              <m:t>N</m:t>
            </m:r>
          </m:e>
          <m:sub>
            <m:r>
              <w:rPr>
                <w:rFonts w:ascii="Cambria Math" w:hAnsi="Cambria Math"/>
              </w:rPr>
              <m:t>walks</m:t>
            </m:r>
          </m:sub>
        </m:sSub>
      </m:oMath>
      <w:r>
        <w:rPr>
          <w:rFonts w:eastAsiaTheme="minorEastAsia"/>
        </w:rPr>
        <w:t xml:space="preserve"> </w:t>
      </w:r>
      <w:r>
        <w:t xml:space="preserve">times over all </w:t>
      </w:r>
      <w:r>
        <w:rPr>
          <w:i/>
          <w:iCs/>
        </w:rPr>
        <w:t>N</w:t>
      </w:r>
      <w:r>
        <w:t xml:space="preserve"> nodes. From each node, it initiate</w:t>
      </w:r>
      <w:r w:rsidR="005311A1">
        <w:t>d</w:t>
      </w:r>
      <w:r>
        <w:t xml:space="preserve"> a random walk of length </w:t>
      </w:r>
      <m:oMath>
        <m:sSub>
          <m:sSubPr>
            <m:ctrlPr>
              <w:rPr>
                <w:rFonts w:ascii="Cambria Math" w:hAnsi="Cambria Math"/>
                <w:i/>
              </w:rPr>
            </m:ctrlPr>
          </m:sSubPr>
          <m:e>
            <m:r>
              <w:rPr>
                <w:rFonts w:ascii="Cambria Math" w:hAnsi="Cambria Math"/>
              </w:rPr>
              <m:t>L</m:t>
            </m:r>
          </m:e>
          <m:sub>
            <m:r>
              <w:rPr>
                <w:rFonts w:ascii="Cambria Math" w:hAnsi="Cambria Math"/>
              </w:rPr>
              <m:t>walk</m:t>
            </m:r>
          </m:sub>
        </m:sSub>
      </m:oMath>
      <w:r>
        <w:t xml:space="preserve">. At each step, the next node </w:t>
      </w:r>
      <w:r w:rsidR="005311A1">
        <w:t>wa</w:t>
      </w:r>
      <w:r>
        <w:t xml:space="preserve">s chosen uniformly at random from the adjacency list of the current node. For this study, the hyperparameters </w:t>
      </w:r>
      <w:r w:rsidRPr="00192F59">
        <w:rPr>
          <w:rFonts w:ascii="Courier New" w:hAnsi="Courier New" w:cs="Courier New"/>
        </w:rPr>
        <w:t>N_WALKS</w:t>
      </w:r>
      <w:r>
        <w:t xml:space="preserve"> (</w:t>
      </w:r>
      <m:oMath>
        <m:sSub>
          <m:sSubPr>
            <m:ctrlPr>
              <w:rPr>
                <w:rFonts w:ascii="Cambria Math" w:hAnsi="Cambria Math"/>
                <w:i/>
              </w:rPr>
            </m:ctrlPr>
          </m:sSubPr>
          <m:e>
            <m:r>
              <w:rPr>
                <w:rFonts w:ascii="Cambria Math" w:hAnsi="Cambria Math"/>
              </w:rPr>
              <m:t>N</m:t>
            </m:r>
          </m:e>
          <m:sub>
            <m:r>
              <w:rPr>
                <w:rFonts w:ascii="Cambria Math" w:hAnsi="Cambria Math"/>
              </w:rPr>
              <m:t>walks</m:t>
            </m:r>
          </m:sub>
        </m:sSub>
      </m:oMath>
      <w:r>
        <w:t xml:space="preserve">) and </w:t>
      </w:r>
      <w:r w:rsidRPr="00192F59">
        <w:rPr>
          <w:rFonts w:ascii="Courier New" w:hAnsi="Courier New" w:cs="Courier New"/>
        </w:rPr>
        <w:t>WALK_LEN</w:t>
      </w:r>
      <w:r>
        <w:t xml:space="preserve"> (</w:t>
      </w:r>
      <m:oMath>
        <m:sSub>
          <m:sSubPr>
            <m:ctrlPr>
              <w:rPr>
                <w:rFonts w:ascii="Cambria Math" w:hAnsi="Cambria Math"/>
                <w:i/>
              </w:rPr>
            </m:ctrlPr>
          </m:sSubPr>
          <m:e>
            <m:r>
              <w:rPr>
                <w:rFonts w:ascii="Cambria Math" w:hAnsi="Cambria Math"/>
              </w:rPr>
              <m:t>L</m:t>
            </m:r>
          </m:e>
          <m:sub>
            <m:r>
              <w:rPr>
                <w:rFonts w:ascii="Cambria Math" w:hAnsi="Cambria Math"/>
              </w:rPr>
              <m:t>walks</m:t>
            </m:r>
          </m:sub>
        </m:sSub>
      </m:oMath>
      <w:r>
        <w:t>) were set to 15 and 20, respectively. In simple terms, e</w:t>
      </w:r>
      <w:r w:rsidRPr="007B5D02">
        <w:t>ach segment start</w:t>
      </w:r>
      <w:r w:rsidR="005311A1">
        <w:t>ed</w:t>
      </w:r>
      <w:r w:rsidRPr="007B5D02">
        <w:t xml:space="preserve"> 15 random walks of length 20 nodes (up to 19 random steps through adjacent segments)</w:t>
      </w:r>
      <w:r>
        <w:t xml:space="preserve">. </w:t>
      </w:r>
    </w:p>
    <w:p w14:paraId="3EB18922" w14:textId="77777777" w:rsidR="00DB5099" w:rsidRDefault="00DB5099" w:rsidP="00DB5099">
      <w:pPr>
        <w:pStyle w:val="NoSpacing"/>
        <w:jc w:val="both"/>
      </w:pPr>
    </w:p>
    <w:p w14:paraId="3BE6BD09" w14:textId="64358EA5" w:rsidR="00DB5099" w:rsidRDefault="00DB5099" w:rsidP="00DB5099">
      <w:pPr>
        <w:pStyle w:val="NoSpacing"/>
        <w:jc w:val="both"/>
      </w:pPr>
      <w:r>
        <w:lastRenderedPageBreak/>
        <w:t xml:space="preserve">This sequence of walks (e.g., [seg_A, seg_C, seg_F and onwards]) </w:t>
      </w:r>
      <w:r w:rsidR="005311A1">
        <w:t>wa</w:t>
      </w:r>
      <w:r>
        <w:t xml:space="preserve">s then used to train a Word2Vec (skip-gram) model, implemented via the gensim library </w:t>
      </w:r>
      <w:r>
        <w:fldChar w:fldCharType="begin"/>
      </w:r>
      <w:r w:rsidR="00720F22">
        <w:instrText xml:space="preserve"> ADDIN EN.CITE &lt;EndNote&gt;&lt;Cite&gt;&lt;Author&gt;Řehůřek&lt;/Author&gt;&lt;Year&gt;2010&lt;/Year&gt;&lt;RecNum&gt;11344&lt;/RecNum&gt;&lt;DisplayText&gt;&lt;style face="superscript"&gt;4&lt;/style&gt;&lt;/DisplayText&gt;&lt;record&gt;&lt;rec-number&gt;11344&lt;/rec-number&gt;&lt;foreign-keys&gt;&lt;key app="EN" db-id="ded9vtpt1d2wvmex2x0pddz9raws90dfwftf" timestamp="1762632771"&gt;11344&lt;/key&gt;&lt;/foreign-keys&gt;&lt;ref-type name="Journal Article"&gt;17&lt;/ref-type&gt;&lt;contributors&gt;&lt;authors&gt;&lt;author&gt;Řehůřek, Radim&lt;/author&gt;&lt;author&gt;Sojka, Petr&lt;/author&gt;&lt;/authors&gt;&lt;/contributors&gt;&lt;titles&gt;&lt;title&gt;Software framework for topic modelling with large corpora&lt;/title&gt;&lt;/titles&gt;&lt;dates&gt;&lt;year&gt;2010&lt;/year&gt;&lt;/dates&gt;&lt;isbn&gt;2951740867&lt;/isbn&gt;&lt;urls&gt;&lt;/urls&gt;&lt;/record&gt;&lt;/Cite&gt;&lt;/EndNote&gt;</w:instrText>
      </w:r>
      <w:r>
        <w:fldChar w:fldCharType="separate"/>
      </w:r>
      <w:r w:rsidR="00720F22" w:rsidRPr="00720F22">
        <w:rPr>
          <w:noProof/>
          <w:vertAlign w:val="superscript"/>
        </w:rPr>
        <w:t>4</w:t>
      </w:r>
      <w:r>
        <w:fldChar w:fldCharType="end"/>
      </w:r>
      <w:r>
        <w:t>. The model learn</w:t>
      </w:r>
      <w:r w:rsidR="00943538">
        <w:t>ed</w:t>
      </w:r>
      <w:r>
        <w:t xml:space="preserve"> a mapping from each </w:t>
      </w:r>
      <w:r w:rsidRPr="00FC5757">
        <w:rPr>
          <w:rFonts w:ascii="Courier New" w:hAnsi="Courier New" w:cs="Courier New"/>
        </w:rPr>
        <w:t>segment_id</w:t>
      </w:r>
      <w:r>
        <w:t xml:space="preserve"> to a vector in a latent space, optimized to predict a node's context (nearby nodes) within the random walks. Key hyperparameters for this model were: </w:t>
      </w:r>
      <w:r w:rsidRPr="005E24A5">
        <w:rPr>
          <w:rFonts w:ascii="Courier New" w:hAnsi="Courier New" w:cs="Courier New"/>
        </w:rPr>
        <w:t>vector_size</w:t>
      </w:r>
      <w:r>
        <w:t xml:space="preserve"> (</w:t>
      </w:r>
      <w:r w:rsidRPr="005E24A5">
        <w:rPr>
          <w:rFonts w:ascii="Courier New" w:hAnsi="Courier New" w:cs="Courier New"/>
        </w:rPr>
        <w:t>EMB_DIM</w:t>
      </w:r>
      <w:r>
        <w:t xml:space="preserve">) = 16, </w:t>
      </w:r>
      <w:r w:rsidRPr="005E24A5">
        <w:rPr>
          <w:rFonts w:ascii="Courier New" w:hAnsi="Courier New" w:cs="Courier New"/>
        </w:rPr>
        <w:t>window (W2V_WINDOW)</w:t>
      </w:r>
      <w:r>
        <w:t xml:space="preserve"> = 10, </w:t>
      </w:r>
      <w:r w:rsidRPr="005E24A5">
        <w:rPr>
          <w:rFonts w:ascii="Courier New" w:hAnsi="Courier New" w:cs="Courier New"/>
        </w:rPr>
        <w:t>sg</w:t>
      </w:r>
      <w:r>
        <w:t xml:space="preserve"> = 1 (</w:t>
      </w:r>
      <w:r w:rsidRPr="00F1246C">
        <w:rPr>
          <w:i/>
          <w:iCs/>
        </w:rPr>
        <w:t>skip-gram</w:t>
      </w:r>
      <w:r>
        <w:t xml:space="preserve">), and </w:t>
      </w:r>
      <w:r w:rsidRPr="00594DC3">
        <w:rPr>
          <w:rFonts w:ascii="Courier New" w:hAnsi="Courier New" w:cs="Courier New"/>
        </w:rPr>
        <w:t>epochs</w:t>
      </w:r>
      <w:r>
        <w:t xml:space="preserve"> (</w:t>
      </w:r>
      <w:r w:rsidRPr="005E24A5">
        <w:rPr>
          <w:rFonts w:ascii="Courier New" w:hAnsi="Courier New" w:cs="Courier New"/>
        </w:rPr>
        <w:t>W2V_EPOCHS</w:t>
      </w:r>
      <w:r>
        <w:t xml:space="preserve">) = 6. </w:t>
      </w:r>
      <w:r w:rsidRPr="00BA6798">
        <w:t xml:space="preserve">Given </w:t>
      </w:r>
      <w:r w:rsidRPr="004A1387">
        <w:t>964,834</w:t>
      </w:r>
      <w:r w:rsidRPr="00BA6798">
        <w:t xml:space="preserve"> road segments, with 15 random walks per segment (</w:t>
      </w:r>
      <m:oMath>
        <m:sSub>
          <m:sSubPr>
            <m:ctrlPr>
              <w:rPr>
                <w:rFonts w:ascii="Cambria Math" w:hAnsi="Cambria Math"/>
                <w:i/>
              </w:rPr>
            </m:ctrlPr>
          </m:sSubPr>
          <m:e>
            <m:r>
              <w:rPr>
                <w:rFonts w:ascii="Cambria Math" w:hAnsi="Cambria Math"/>
              </w:rPr>
              <m:t>N</m:t>
            </m:r>
          </m:e>
          <m:sub>
            <m:r>
              <w:rPr>
                <w:rFonts w:ascii="Cambria Math" w:hAnsi="Cambria Math"/>
              </w:rPr>
              <m:t>w</m:t>
            </m:r>
          </m:sub>
        </m:sSub>
      </m:oMath>
      <w:r w:rsidRPr="00BA6798">
        <w:t xml:space="preserve"> = 15), each of length 20 (</w:t>
      </w:r>
      <m:oMath>
        <m:sSub>
          <m:sSubPr>
            <m:ctrlPr>
              <w:rPr>
                <w:rFonts w:ascii="Cambria Math" w:hAnsi="Cambria Math"/>
                <w:i/>
              </w:rPr>
            </m:ctrlPr>
          </m:sSubPr>
          <m:e>
            <m:r>
              <w:rPr>
                <w:rFonts w:ascii="Cambria Math" w:hAnsi="Cambria Math"/>
              </w:rPr>
              <m:t>L</m:t>
            </m:r>
          </m:e>
          <m:sub>
            <m:r>
              <w:rPr>
                <w:rFonts w:ascii="Cambria Math" w:hAnsi="Cambria Math"/>
              </w:rPr>
              <m:t>w</m:t>
            </m:r>
          </m:sub>
        </m:sSub>
      </m:oMath>
      <w:r w:rsidRPr="00BA6798">
        <w:t xml:space="preserve"> = 20), and trained over 6 epochs, the model learned the spatial structure of the road network from approximately </w:t>
      </w:r>
      <w:r w:rsidRPr="003C569D">
        <w:t>290 million</w:t>
      </w:r>
      <w:r w:rsidRPr="00BA6798">
        <w:t xml:space="preserve"> token segments (</w:t>
      </w:r>
      <w:r w:rsidRPr="004A1387">
        <w:t>964,834</w:t>
      </w:r>
      <w:r w:rsidR="00F36742">
        <w:t xml:space="preserve"> </w:t>
      </w:r>
      <w:r w:rsidRPr="00BA6798">
        <w:t xml:space="preserve">× 15 × 20 = </w:t>
      </w:r>
      <w:r>
        <w:t>289,450,200</w:t>
      </w:r>
      <w:r w:rsidRPr="00BA6798">
        <w:t xml:space="preserve">), corresponding to about </w:t>
      </w:r>
      <w:r w:rsidRPr="00E02C19">
        <w:t>1.74 billion</w:t>
      </w:r>
      <w:r w:rsidRPr="00BA6798">
        <w:t xml:space="preserve"> </w:t>
      </w:r>
      <w:r>
        <w:t>token exposures</w:t>
      </w:r>
      <w:r w:rsidRPr="00BA6798">
        <w:t xml:space="preserve"> across all epochs (6 × </w:t>
      </w:r>
      <w:r w:rsidRPr="007B636B">
        <w:t>290 million</w:t>
      </w:r>
      <w:r w:rsidRPr="00BA6798">
        <w:t>).</w:t>
      </w:r>
      <w:r>
        <w:t xml:space="preserve"> </w:t>
      </w:r>
      <w:r w:rsidRPr="002965F5">
        <w:t>This provide</w:t>
      </w:r>
      <w:r w:rsidR="00E97365">
        <w:t>d</w:t>
      </w:r>
      <w:r w:rsidRPr="002965F5">
        <w:t xml:space="preserve"> enough structural information to learn how segments </w:t>
      </w:r>
      <w:r w:rsidR="00E97365">
        <w:t>were</w:t>
      </w:r>
      <w:r w:rsidRPr="002965F5">
        <w:t xml:space="preserve"> related within the city network</w:t>
      </w:r>
      <w:r>
        <w:t xml:space="preserve">. </w:t>
      </w:r>
    </w:p>
    <w:p w14:paraId="1DEEDA63" w14:textId="77777777" w:rsidR="00DB5099" w:rsidRDefault="00DB5099" w:rsidP="00DB5099">
      <w:pPr>
        <w:pStyle w:val="NoSpacing"/>
        <w:jc w:val="both"/>
      </w:pPr>
    </w:p>
    <w:p w14:paraId="1F4CFE12" w14:textId="11D40584" w:rsidR="00486093" w:rsidRDefault="00DB5099" w:rsidP="00FD1303">
      <w:pPr>
        <w:pStyle w:val="NoSpacing"/>
        <w:jc w:val="both"/>
        <w:rPr>
          <w:rFonts w:cs="Times New Roman"/>
          <w:noProof/>
        </w:rPr>
      </w:pPr>
      <w:r>
        <w:t xml:space="preserve">The representation learning produced an embedding matrix of </w:t>
      </w:r>
      <w:r w:rsidRPr="0025789D">
        <w:rPr>
          <w:i/>
          <w:iCs/>
        </w:rPr>
        <w:t>N</w:t>
      </w:r>
      <w:r>
        <w:t xml:space="preserve"> x 16, where each road segment </w:t>
      </w:r>
      <w:r w:rsidRPr="0059220B">
        <w:rPr>
          <w:i/>
          <w:iCs/>
        </w:rPr>
        <w:t>i</w:t>
      </w:r>
      <w:r>
        <w:t xml:space="preserve"> </w:t>
      </w:r>
      <w:r w:rsidR="00E97365">
        <w:t>wa</w:t>
      </w:r>
      <w:r>
        <w:t xml:space="preserve">s represented by a 16-dimensional feature vector,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(gemb</m:t>
            </m:r>
          </m:e>
          <m:sub>
            <m:r>
              <w:rPr>
                <w:rFonts w:ascii="Cambria Math" w:eastAsiaTheme="minorEastAsia" w:hAnsi="Cambria Math"/>
              </w:rPr>
              <m:t>o</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gemb</m:t>
            </m:r>
          </m:e>
          <m:sub>
            <m:r>
              <w:rPr>
                <w:rFonts w:ascii="Cambria Math" w:eastAsiaTheme="minorEastAsia" w:hAnsi="Cambria Math"/>
              </w:rPr>
              <m:t>15</m:t>
            </m:r>
          </m:sub>
        </m:sSub>
        <m:r>
          <w:rPr>
            <w:rFonts w:ascii="Cambria Math" w:eastAsiaTheme="minorEastAsia" w:hAnsi="Cambria Math"/>
          </w:rPr>
          <m:t>)</m:t>
        </m:r>
      </m:oMath>
      <w:r>
        <w:t>. This vector replace</w:t>
      </w:r>
      <w:r w:rsidR="00D50D15">
        <w:t>d</w:t>
      </w:r>
      <w:r>
        <w:t xml:space="preserve"> simplistic spatial features (such as spatial lags) by encoding the rich, global topological role of each road segment, capturing its relationship to hubs, bridges, and peripheries within the network. </w:t>
      </w:r>
      <w:r w:rsidRPr="00AA4642">
        <w:t xml:space="preserve">Incorporating these embeddings into the model </w:t>
      </w:r>
      <w:r w:rsidR="00D50D15">
        <w:t>wa</w:t>
      </w:r>
      <w:r w:rsidRPr="00AA4642">
        <w:t>s crucial, as crime events occurring along similar network topologies often exhibit strong spatiotemporal autocorrelation</w:t>
      </w:r>
      <w:r>
        <w:rPr>
          <w:rFonts w:cs="Times New Roman"/>
          <w:noProof/>
        </w:rPr>
        <w:t xml:space="preserve"> </w:t>
      </w:r>
      <w:r w:rsidRPr="00F762A5">
        <w:rPr>
          <w:rFonts w:cs="Times New Roman"/>
          <w:noProof/>
        </w:rPr>
        <w:fldChar w:fldCharType="begin"/>
      </w:r>
      <w:r w:rsidR="00720F22">
        <w:rPr>
          <w:rFonts w:cs="Times New Roman"/>
          <w:noProof/>
        </w:rPr>
        <w:instrText xml:space="preserve"> ADDIN EN.CITE &lt;EndNote&gt;&lt;Cite&gt;&lt;Author&gt;Johnson&lt;/Author&gt;&lt;Year&gt;2015&lt;/Year&gt;&lt;RecNum&gt;10278&lt;/RecNum&gt;&lt;DisplayText&gt;&lt;style face="superscript"&gt;5&lt;/style&gt;&lt;/DisplayText&gt;&lt;record&gt;&lt;rec-number&gt;10278&lt;/rec-number&gt;&lt;foreign-keys&gt;&lt;key app="EN" db-id="ded9vtpt1d2wvmex2x0pddz9raws90dfwftf" timestamp="1583376264"&gt;10278&lt;/key&gt;&lt;/foreign-keys&gt;&lt;ref-type name="Journal Article"&gt;17&lt;/ref-type&gt;&lt;contributors&gt;&lt;authors&gt;&lt;author&gt;Johnson, Shane D&lt;/author&gt;&lt;author&gt;Summers, Lucia&lt;/author&gt;&lt;/authors&gt;&lt;/contributors&gt;&lt;titles&gt;&lt;title&gt;Testing ecological theories of offender spatial decision making using a discrete choice model&lt;/title&gt;&lt;secondary-title&gt;Crime &amp;amp; Delinquency&lt;/secondary-title&gt;&lt;/titles&gt;&lt;pages&gt;454-480&lt;/pages&gt;&lt;volume&gt;61&lt;/volume&gt;&lt;number&gt;3&lt;/number&gt;&lt;dates&gt;&lt;year&gt;2015&lt;/year&gt;&lt;/dates&gt;&lt;isbn&gt;0011-1287&lt;/isbn&gt;&lt;urls&gt;&lt;/urls&gt;&lt;/record&gt;&lt;/Cite&gt;&lt;/EndNote&gt;</w:instrText>
      </w:r>
      <w:r w:rsidRPr="00F762A5">
        <w:rPr>
          <w:rFonts w:cs="Times New Roman"/>
          <w:noProof/>
        </w:rPr>
        <w:fldChar w:fldCharType="separate"/>
      </w:r>
      <w:r w:rsidR="00720F22" w:rsidRPr="00720F22">
        <w:rPr>
          <w:rFonts w:cs="Times New Roman"/>
          <w:noProof/>
          <w:vertAlign w:val="superscript"/>
        </w:rPr>
        <w:t>5</w:t>
      </w:r>
      <w:r w:rsidRPr="00F762A5">
        <w:rPr>
          <w:rFonts w:cs="Times New Roman"/>
          <w:noProof/>
        </w:rPr>
        <w:fldChar w:fldCharType="end"/>
      </w:r>
      <w:r>
        <w:t xml:space="preserve">. </w:t>
      </w:r>
      <w:r w:rsidRPr="00076179">
        <w:t xml:space="preserve">Previous studies have </w:t>
      </w:r>
      <w:r>
        <w:t>also demonstrated that road network topology can influence the movement patterns of both offenders and victims, affect</w:t>
      </w:r>
      <w:r w:rsidRPr="00076179">
        <w:t>ing where</w:t>
      </w:r>
      <w:r>
        <w:t xml:space="preserve"> (space)</w:t>
      </w:r>
      <w:r w:rsidRPr="00076179">
        <w:t xml:space="preserve"> and when</w:t>
      </w:r>
      <w:r>
        <w:t xml:space="preserve"> (time)</w:t>
      </w:r>
      <w:r w:rsidRPr="00076179">
        <w:t xml:space="preserve"> crimes occur</w:t>
      </w:r>
      <w:r>
        <w:t xml:space="preserve"> </w:t>
      </w:r>
      <w:r w:rsidRPr="00F762A5">
        <w:rPr>
          <w:rFonts w:cs="Times New Roman"/>
          <w:noProof/>
        </w:rPr>
        <w:fldChar w:fldCharType="begin">
          <w:fldData xml:space="preserve">PEVuZE5vdGU+PENpdGU+PEF1dGhvcj5Kb2huc29uPC9BdXRob3I+PFllYXI+MjAxNTwvWWVhcj48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</w:fldData>
        </w:fldChar>
      </w:r>
      <w:r w:rsidR="00720F22">
        <w:rPr>
          <w:rFonts w:cs="Times New Roman"/>
          <w:noProof/>
        </w:rPr>
        <w:instrText xml:space="preserve"> ADDIN EN.CITE </w:instrText>
      </w:r>
      <w:r w:rsidR="00720F22">
        <w:rPr>
          <w:rFonts w:cs="Times New Roman"/>
          <w:noProof/>
        </w:rPr>
        <w:fldChar w:fldCharType="begin">
          <w:fldData xml:space="preserve">PEVuZE5vdGU+PENpdGU+PEF1dGhvcj5Kb2huc29uPC9BdXRob3I+PFllYXI+MjAxNTwvWWVhcj48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</w:fldData>
        </w:fldChar>
      </w:r>
      <w:r w:rsidR="00720F22">
        <w:rPr>
          <w:rFonts w:cs="Times New Roman"/>
          <w:noProof/>
        </w:rPr>
        <w:instrText xml:space="preserve"> ADDIN EN.CITE.DATA </w:instrText>
      </w:r>
      <w:r w:rsidR="00720F22">
        <w:rPr>
          <w:rFonts w:cs="Times New Roman"/>
          <w:noProof/>
        </w:rPr>
      </w:r>
      <w:r w:rsidR="00720F22">
        <w:rPr>
          <w:rFonts w:cs="Times New Roman"/>
          <w:noProof/>
        </w:rPr>
        <w:fldChar w:fldCharType="end"/>
      </w:r>
      <w:r w:rsidRPr="00F762A5">
        <w:rPr>
          <w:rFonts w:cs="Times New Roman"/>
          <w:noProof/>
        </w:rPr>
      </w:r>
      <w:r w:rsidRPr="00F762A5">
        <w:rPr>
          <w:rFonts w:cs="Times New Roman"/>
          <w:noProof/>
        </w:rPr>
        <w:fldChar w:fldCharType="separate"/>
      </w:r>
      <w:r w:rsidR="00720F22" w:rsidRPr="00720F22">
        <w:rPr>
          <w:rFonts w:cs="Times New Roman"/>
          <w:noProof/>
          <w:vertAlign w:val="superscript"/>
        </w:rPr>
        <w:t>5-7</w:t>
      </w:r>
      <w:r w:rsidRPr="00F762A5">
        <w:rPr>
          <w:rFonts w:cs="Times New Roman"/>
          <w:noProof/>
        </w:rPr>
        <w:fldChar w:fldCharType="end"/>
      </w:r>
      <w:r w:rsidRPr="00F762A5">
        <w:rPr>
          <w:rFonts w:cs="Times New Roman"/>
          <w:noProof/>
        </w:rPr>
        <w:t>.</w:t>
      </w:r>
    </w:p>
    <w:p w14:paraId="05AEEF50" w14:textId="77777777" w:rsidR="00D50D15" w:rsidRDefault="00D50D15" w:rsidP="00FD1303">
      <w:pPr>
        <w:pStyle w:val="NoSpacing"/>
        <w:jc w:val="both"/>
        <w:rPr>
          <w:rFonts w:cs="Times New Roman"/>
          <w:noProof/>
        </w:rPr>
      </w:pPr>
    </w:p>
    <w:p w14:paraId="0367C07E" w14:textId="77777777" w:rsidR="003F53EC" w:rsidRDefault="00501844" w:rsidP="00501844">
      <w:pPr>
        <w:jc w:val="center"/>
      </w:pPr>
      <w:r>
        <w:rPr>
          <w:noProof/>
        </w:rPr>
        <w:lastRenderedPageBreak/>
        <w:drawing>
          <wp:inline distT="0" distB="0" distL="0" distR="0" wp14:anchorId="46DE3C35" wp14:editId="050EFD6F">
            <wp:extent cx="5595796" cy="6624084"/>
            <wp:effectExtent l="0" t="0" r="5080" b="5715"/>
            <wp:docPr id="1360146006" name="Picture 1" descr="A collage of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46006" name="Picture 1" descr="A collage of diagram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8674" cy="6674841"/>
                    </a:xfrm>
                    <a:prstGeom prst="rect">
                      <a:avLst/>
                    </a:prstGeom>
                  </pic:spPr>
                </pic:pic>
              </a:graphicData>
            </a:graphic>
          </wp:inline>
        </w:drawing>
      </w:r>
    </w:p>
    <w:p w14:paraId="34139B79" w14:textId="77777777" w:rsidR="00CB49BD" w:rsidRDefault="003F53EC" w:rsidP="00D6600A">
      <w:pPr>
        <w:pStyle w:val="NoSpacing"/>
      </w:pPr>
      <w:r w:rsidRPr="00FA51B6">
        <w:rPr>
          <w:b/>
          <w:bCs/>
        </w:rPr>
        <w:t xml:space="preserve">Supplementary Fig. 1 | </w:t>
      </w:r>
      <w:r w:rsidR="00D6600A" w:rsidRPr="00FA51B6">
        <w:rPr>
          <w:b/>
          <w:bCs/>
        </w:rPr>
        <w:t>Geospatial discretization, graph construction, and DeepWalk-based topological embedding steps in GeoCTGAN</w:t>
      </w:r>
      <w:r w:rsidRPr="00D6600A">
        <w:t>.</w:t>
      </w:r>
      <w:r>
        <w:t xml:space="preserve"> </w:t>
      </w:r>
    </w:p>
    <w:p w14:paraId="0B708760" w14:textId="03D0AEAB" w:rsidR="00501844" w:rsidRDefault="00547E53" w:rsidP="00FD1303">
      <w:pPr>
        <w:pStyle w:val="NoSpacing"/>
        <w:jc w:val="both"/>
      </w:pPr>
      <w:r>
        <w:t>T</w:t>
      </w:r>
      <w:r w:rsidR="00C35E3B" w:rsidRPr="00C35E3B">
        <w:t xml:space="preserve">he core stages of the geospatial preprocessing and topological encoding </w:t>
      </w:r>
      <w:r w:rsidR="00C35E3B">
        <w:t>processes, showing</w:t>
      </w:r>
      <w:r w:rsidR="00C35E3B" w:rsidRPr="00C35E3B">
        <w:t xml:space="preserve"> </w:t>
      </w:r>
      <w:r w:rsidR="00C35E3B">
        <w:t>(</w:t>
      </w:r>
      <w:r w:rsidR="00C35E3B" w:rsidRPr="00C35E3B">
        <w:t>a</w:t>
      </w:r>
      <w:r w:rsidR="00C35E3B">
        <w:t>)</w:t>
      </w:r>
      <w:r w:rsidR="00C35E3B" w:rsidRPr="00C35E3B">
        <w:t xml:space="preserve"> continuous road network</w:t>
      </w:r>
      <w:r w:rsidR="00C35E3B">
        <w:t>, (</w:t>
      </w:r>
      <w:r w:rsidR="00C35E3B" w:rsidRPr="00C35E3B">
        <w:t>b</w:t>
      </w:r>
      <w:r w:rsidR="00C35E3B">
        <w:t>)</w:t>
      </w:r>
      <w:r w:rsidR="00C35E3B" w:rsidRPr="00C35E3B">
        <w:t xml:space="preserve"> discretization into road segments</w:t>
      </w:r>
      <w:r>
        <w:t>,</w:t>
      </w:r>
      <w:r w:rsidR="00C35E3B" w:rsidRPr="00C35E3B">
        <w:t xml:space="preserve"> </w:t>
      </w:r>
      <w:r w:rsidR="00C35E3B">
        <w:t>(</w:t>
      </w:r>
      <w:r w:rsidR="00C35E3B" w:rsidRPr="00C35E3B">
        <w:t>c</w:t>
      </w:r>
      <w:r w:rsidR="00C35E3B">
        <w:t>)</w:t>
      </w:r>
      <w:r w:rsidR="00C35E3B" w:rsidRPr="00C35E3B">
        <w:t xml:space="preserve"> node snapping using a spatial tolerance</w:t>
      </w:r>
      <w:r>
        <w:t>,</w:t>
      </w:r>
      <w:r w:rsidR="00C35E3B" w:rsidRPr="00C35E3B">
        <w:t xml:space="preserve"> </w:t>
      </w:r>
      <w:r w:rsidR="00C35E3B">
        <w:t>(</w:t>
      </w:r>
      <w:r w:rsidR="00C35E3B" w:rsidRPr="00C35E3B">
        <w:t>d</w:t>
      </w:r>
      <w:r w:rsidR="00C35E3B">
        <w:t>)</w:t>
      </w:r>
      <w:r w:rsidR="00C35E3B" w:rsidRPr="00C35E3B">
        <w:t xml:space="preserve"> construction of the adjacency graph</w:t>
      </w:r>
      <w:r w:rsidR="00FD1303">
        <w:t>,</w:t>
      </w:r>
      <w:r w:rsidR="007034A8">
        <w:t xml:space="preserve"> (</w:t>
      </w:r>
      <w:r w:rsidR="00C35E3B" w:rsidRPr="00C35E3B">
        <w:t>e</w:t>
      </w:r>
      <w:r w:rsidR="007034A8">
        <w:t>)</w:t>
      </w:r>
      <w:r w:rsidR="00C35E3B" w:rsidRPr="00C35E3B">
        <w:t xml:space="preserve"> DeepWalk random-walk generation and </w:t>
      </w:r>
      <w:r w:rsidR="007034A8">
        <w:t>(</w:t>
      </w:r>
      <w:r w:rsidR="00C35E3B" w:rsidRPr="00C35E3B">
        <w:t>f</w:t>
      </w:r>
      <w:r w:rsidR="007034A8">
        <w:t>)</w:t>
      </w:r>
      <w:r w:rsidR="00C35E3B" w:rsidRPr="00C35E3B">
        <w:t xml:space="preserve"> the resulting latent topological feature space.</w:t>
      </w:r>
      <w:r w:rsidR="00501844">
        <w:br w:type="page"/>
      </w:r>
    </w:p>
    <w:p w14:paraId="668700A0" w14:textId="77777777" w:rsidR="00DB5099" w:rsidRDefault="00DB5099" w:rsidP="00DB5099">
      <w:pPr>
        <w:pStyle w:val="NoSpacing"/>
        <w:jc w:val="both"/>
      </w:pPr>
    </w:p>
    <w:p w14:paraId="770633A1" w14:textId="6DE012CD" w:rsidR="00DB5099" w:rsidRPr="00400149" w:rsidRDefault="00DB5099" w:rsidP="00DB5099">
      <w:pPr>
        <w:pStyle w:val="NoSpacing"/>
        <w:jc w:val="both"/>
        <w:rPr>
          <w:b/>
          <w:bCs/>
        </w:rPr>
      </w:pPr>
      <w:r w:rsidRPr="00400149">
        <w:rPr>
          <w:b/>
          <w:bCs/>
        </w:rPr>
        <w:t xml:space="preserve">3 Event Localization and </w:t>
      </w:r>
      <w:r>
        <w:rPr>
          <w:b/>
          <w:bCs/>
        </w:rPr>
        <w:t xml:space="preserve">Spatial </w:t>
      </w:r>
      <w:r w:rsidRPr="00400149">
        <w:rPr>
          <w:b/>
          <w:bCs/>
        </w:rPr>
        <w:t>Feature Engineering</w:t>
      </w:r>
    </w:p>
    <w:p w14:paraId="43F7ABD0" w14:textId="77777777" w:rsidR="00DB5099" w:rsidRDefault="00DB5099" w:rsidP="00DB5099">
      <w:pPr>
        <w:pStyle w:val="NoSpacing"/>
        <w:jc w:val="both"/>
      </w:pPr>
    </w:p>
    <w:p w14:paraId="0F871C03" w14:textId="483E26A7" w:rsidR="00DB5099" w:rsidRPr="00746BA2" w:rsidRDefault="00DB5099" w:rsidP="00DB5099">
      <w:pPr>
        <w:pStyle w:val="NoSpacing"/>
        <w:jc w:val="both"/>
        <w:rPr>
          <w:b/>
          <w:bCs/>
        </w:rPr>
      </w:pPr>
      <w:r w:rsidRPr="00746BA2">
        <w:rPr>
          <w:b/>
          <w:bCs/>
        </w:rPr>
        <w:t>3.1 Map-Matching</w:t>
      </w:r>
    </w:p>
    <w:p w14:paraId="4D4A6393" w14:textId="77777777" w:rsidR="00DB5099" w:rsidRDefault="00DB5099" w:rsidP="00DB5099">
      <w:pPr>
        <w:pStyle w:val="NoSpacing"/>
        <w:jc w:val="both"/>
      </w:pPr>
    </w:p>
    <w:p w14:paraId="39DAD8FE" w14:textId="7A37AD9E" w:rsidR="00DB5099" w:rsidRDefault="00DB5099" w:rsidP="00DB5099">
      <w:pPr>
        <w:pStyle w:val="NoSpacing"/>
        <w:jc w:val="both"/>
      </w:pPr>
      <w:r>
        <w:t xml:space="preserve">Real event points from the cleaned MCI dataset </w:t>
      </w:r>
      <w:r w:rsidR="00F66AB9">
        <w:t>were</w:t>
      </w:r>
      <w:r>
        <w:t xml:space="preserve"> snapped to their nearest network segment. This </w:t>
      </w:r>
      <w:r w:rsidR="00F66AB9">
        <w:t>was</w:t>
      </w:r>
      <w:r>
        <w:t xml:space="preserve"> accomplished using the geopandas library (through </w:t>
      </w:r>
      <w:r w:rsidRPr="00FD1303">
        <w:rPr>
          <w:rFonts w:ascii="Courier New" w:hAnsi="Courier New" w:cs="Courier New"/>
        </w:rPr>
        <w:t>geopandas.sjoin_nearest</w:t>
      </w:r>
      <w:r>
        <w:t>) (</w:t>
      </w:r>
      <w:hyperlink r:id="rId8" w:history="1">
        <w:r w:rsidRPr="00753D2B">
          <w:rPr>
            <w:rStyle w:val="Hyperlink"/>
          </w:rPr>
          <w:t>https://geopandas.org/en/stable/</w:t>
        </w:r>
      </w:hyperlink>
      <w:r>
        <w:t xml:space="preserve">), which </w:t>
      </w:r>
      <w:r w:rsidR="00EC5E43">
        <w:t>searched and</w:t>
      </w:r>
      <w:r>
        <w:t xml:space="preserve"> </w:t>
      </w:r>
      <w:r w:rsidR="00F66AB9">
        <w:t>found</w:t>
      </w:r>
      <w:r>
        <w:t xml:space="preserve"> the closest segment for each point. This operation </w:t>
      </w:r>
      <w:r w:rsidR="00EC5E43">
        <w:t>wa</w:t>
      </w:r>
      <w:r>
        <w:t>s constrained by a maximum search radius (</w:t>
      </w:r>
      <w:r w:rsidRPr="00FD1303">
        <w:rPr>
          <w:rFonts w:ascii="Courier New" w:hAnsi="Courier New" w:cs="Courier New"/>
        </w:rPr>
        <w:t>SNAP_MAX_M</w:t>
      </w:r>
      <w:r w:rsidRPr="007739BB">
        <w:t>)</w:t>
      </w:r>
      <w:r>
        <w:t xml:space="preserve">,  which was </w:t>
      </w:r>
      <w:r w:rsidRPr="00F602AD">
        <w:t>set to 20 m</w:t>
      </w:r>
      <w:r>
        <w:t xml:space="preserve">. </w:t>
      </w:r>
      <w:r w:rsidRPr="00707C3C">
        <w:t xml:space="preserve">In dense cities like Toronto, typical road spacing is </w:t>
      </w:r>
      <w:r w:rsidR="0045230E">
        <w:t>20</w:t>
      </w:r>
      <w:r w:rsidR="00EC5E43">
        <w:t>-</w:t>
      </w:r>
      <w:r w:rsidR="0045230E">
        <w:t>60 m between parallel streets, so a 20 m threshold was used to capture points plausibly on or near the street network without spilling over in</w:t>
      </w:r>
      <w:r w:rsidRPr="00707C3C">
        <w:t>to adjacent streets.</w:t>
      </w:r>
      <w:r>
        <w:t xml:space="preserve"> In this process, e</w:t>
      </w:r>
      <w:r w:rsidRPr="005653D2">
        <w:t xml:space="preserve">vents with no segment within </w:t>
      </w:r>
      <w:r>
        <w:t xml:space="preserve">a </w:t>
      </w:r>
      <w:r w:rsidRPr="007C25FB">
        <w:t>20 m</w:t>
      </w:r>
      <w:r>
        <w:t xml:space="preserve"> radius or with insufficient geometry to compute </w:t>
      </w:r>
      <w:r w:rsidRPr="0045230E">
        <w:rPr>
          <w:rFonts w:ascii="Courier New" w:hAnsi="Courier New" w:cs="Courier New"/>
        </w:rPr>
        <w:t>seg_pos</w:t>
      </w:r>
      <w:r>
        <w:t xml:space="preserve"> were dropped, resulting in the exclusion of 3956 events. This left a final dataset of 409,902 events. These events were then split into </w:t>
      </w:r>
      <w:r w:rsidRPr="006F2A79">
        <w:t>train</w:t>
      </w:r>
      <w:r>
        <w:t xml:space="preserve"> (</w:t>
      </w:r>
      <w:r w:rsidRPr="006F2A79">
        <w:t>327,921</w:t>
      </w:r>
      <w:r>
        <w:t>) and</w:t>
      </w:r>
      <w:r w:rsidRPr="006F2A79">
        <w:t xml:space="preserve"> test</w:t>
      </w:r>
      <w:r>
        <w:t xml:space="preserve"> (</w:t>
      </w:r>
      <w:r w:rsidRPr="006F2A79">
        <w:t>81,981</w:t>
      </w:r>
      <w:r>
        <w:t>) datasets using an 80-20 split.</w:t>
      </w:r>
    </w:p>
    <w:p w14:paraId="1BC352E8" w14:textId="77777777" w:rsidR="00DB5099" w:rsidRDefault="00DB5099" w:rsidP="00DB5099">
      <w:pPr>
        <w:pStyle w:val="NoSpacing"/>
        <w:jc w:val="both"/>
      </w:pPr>
    </w:p>
    <w:p w14:paraId="2F503E76" w14:textId="38A462C8" w:rsidR="00DB5099" w:rsidRDefault="00DB5099" w:rsidP="00DB5099">
      <w:pPr>
        <w:pStyle w:val="NoSpacing"/>
        <w:jc w:val="both"/>
      </w:pPr>
      <w:r>
        <w:t>This map-matching process generate</w:t>
      </w:r>
      <w:r w:rsidR="00981652">
        <w:t>d</w:t>
      </w:r>
      <w:r>
        <w:t xml:space="preserve"> two new crucial spatial features for each event, in addition to its assigned </w:t>
      </w:r>
      <w:r w:rsidRPr="0045230E">
        <w:rPr>
          <w:rFonts w:ascii="Courier New" w:hAnsi="Courier New" w:cs="Courier New"/>
        </w:rPr>
        <w:t>segment_id</w:t>
      </w:r>
      <w:r>
        <w:t xml:space="preserve">: </w:t>
      </w:r>
    </w:p>
    <w:p w14:paraId="347906D7" w14:textId="1F5775F6" w:rsidR="00DB5099" w:rsidRDefault="00DB5099" w:rsidP="00981652">
      <w:pPr>
        <w:pStyle w:val="NoSpacing"/>
        <w:spacing w:before="240"/>
        <w:jc w:val="both"/>
      </w:pPr>
      <w:r>
        <w:t>(1) Segment position (</w:t>
      </w:r>
      <w:r w:rsidRPr="00772D85">
        <w:rPr>
          <w:rFonts w:ascii="Courier New" w:hAnsi="Courier New" w:cs="Courier New"/>
        </w:rPr>
        <w:t>seg_pos</w:t>
      </w:r>
      <w:r>
        <w:t xml:space="preserve">): A continuous numerical value in the range [0,1] (where 0 </w:t>
      </w:r>
      <w:r w:rsidR="00981652">
        <w:t>wa</w:t>
      </w:r>
      <w:r>
        <w:t xml:space="preserve">s near the start of the segment and 1 </w:t>
      </w:r>
      <w:r w:rsidR="00DE088D">
        <w:t>wa</w:t>
      </w:r>
      <w:r>
        <w:t xml:space="preserve">s near the end of the segment), representing the fractional distance of the event's projected (snapped) location along the length of its assigned segment. </w:t>
      </w:r>
    </w:p>
    <w:p w14:paraId="22083502" w14:textId="77777777" w:rsidR="00DB5099" w:rsidRDefault="00DB5099" w:rsidP="00981652">
      <w:pPr>
        <w:pStyle w:val="NoSpacing"/>
        <w:spacing w:before="240"/>
        <w:jc w:val="both"/>
      </w:pPr>
      <w:r>
        <w:t>(2) Offset distance (</w:t>
      </w:r>
      <w:r w:rsidRPr="00772D85">
        <w:rPr>
          <w:rFonts w:ascii="Courier New" w:hAnsi="Courier New" w:cs="Courier New"/>
        </w:rPr>
        <w:t>SEG_MAP_DIST_M</w:t>
      </w:r>
      <w:r>
        <w:t>): The Euclidean distance (in meters) between the event's original coordinates and its snapped location on the line, serving as a measure of snapping quality.</w:t>
      </w:r>
    </w:p>
    <w:p w14:paraId="2FE64B78" w14:textId="77777777" w:rsidR="00DB5099" w:rsidRDefault="00DB5099" w:rsidP="00DB5099">
      <w:pPr>
        <w:pStyle w:val="NoSpacing"/>
        <w:jc w:val="both"/>
      </w:pPr>
    </w:p>
    <w:p w14:paraId="30EA07D9" w14:textId="135DA8F7" w:rsidR="00DB5099" w:rsidRPr="00A07426" w:rsidRDefault="00DB5099" w:rsidP="00DB5099">
      <w:pPr>
        <w:pStyle w:val="NoSpacing"/>
        <w:jc w:val="both"/>
        <w:rPr>
          <w:b/>
          <w:bCs/>
        </w:rPr>
      </w:pPr>
      <w:r w:rsidRPr="00A07426">
        <w:rPr>
          <w:b/>
          <w:bCs/>
        </w:rPr>
        <w:t>3.2 Feature Transformation</w:t>
      </w:r>
    </w:p>
    <w:p w14:paraId="1D3BCDBA" w14:textId="77777777" w:rsidR="00DB5099" w:rsidRDefault="00DB5099" w:rsidP="00DB5099">
      <w:pPr>
        <w:pStyle w:val="NoSpacing"/>
        <w:jc w:val="both"/>
      </w:pPr>
    </w:p>
    <w:p w14:paraId="1A500D66" w14:textId="42071B88" w:rsidR="00DB5099" w:rsidRDefault="00DB5099" w:rsidP="00DB5099">
      <w:pPr>
        <w:pStyle w:val="NoSpacing"/>
        <w:jc w:val="both"/>
      </w:pPr>
      <w:r w:rsidRPr="00641AEE">
        <w:t xml:space="preserve">The resulting tabular dataset (containing event attributes, </w:t>
      </w:r>
      <w:r w:rsidRPr="00772D85">
        <w:rPr>
          <w:rFonts w:ascii="Courier New" w:hAnsi="Courier New" w:cs="Courier New"/>
        </w:rPr>
        <w:t>seg_pos</w:t>
      </w:r>
      <w:r w:rsidRPr="00641AEE">
        <w:t xml:space="preserve">, and </w:t>
      </w:r>
      <w:r w:rsidRPr="00772D85">
        <w:rPr>
          <w:rFonts w:ascii="Courier New" w:hAnsi="Courier New" w:cs="Courier New"/>
        </w:rPr>
        <w:t>SEG_MAP_DIST_M</w:t>
      </w:r>
      <w:r w:rsidRPr="00641AEE">
        <w:t xml:space="preserve">) </w:t>
      </w:r>
      <w:r w:rsidR="00C51B46">
        <w:t>was</w:t>
      </w:r>
      <w:r w:rsidRPr="00641AEE">
        <w:t xml:space="preserve"> then prepared for the CTGAN. To prevent leakage, the 80/20 split (stratified by Year</w:t>
      </w:r>
      <w:r w:rsidR="00EC5E43">
        <w:t>-</w:t>
      </w:r>
      <w:r w:rsidRPr="00641AEE">
        <w:t xml:space="preserve">Month) </w:t>
      </w:r>
      <w:r w:rsidR="00C51B46">
        <w:t>was</w:t>
      </w:r>
      <w:r w:rsidRPr="00641AEE">
        <w:t xml:space="preserve"> executed immediately after snapping and before any feature encoding or embedding merge. The 16‑dimensional segment embeddings (</w:t>
      </w:r>
      <m:oMath>
        <m:sSub>
          <m:sSubPr>
            <m:ctrlPr>
              <w:rPr>
                <w:rFonts w:ascii="Cambria Math" w:hAnsi="Cambria Math"/>
                <w:i/>
              </w:rPr>
            </m:ctrlPr>
          </m:sSubPr>
          <m:e>
            <m:r>
              <w:rPr>
                <w:rFonts w:ascii="Cambria Math" w:hAnsi="Cambria Math"/>
              </w:rPr>
              <m:t>gemb</m:t>
            </m:r>
          </m:e>
          <m:sub>
            <m:r>
              <w:rPr>
                <w:rFonts w:ascii="Cambria Math" w:hAnsi="Cambria Math"/>
              </w:rPr>
              <m:t>0</m:t>
            </m:r>
          </m:sub>
        </m:sSub>
      </m:oMath>
      <w:r w:rsidRPr="00641AEE">
        <w:t>,…,</w:t>
      </w:r>
      <m:oMath>
        <m:sSub>
          <m:sSubPr>
            <m:ctrlPr>
              <w:rPr>
                <w:rFonts w:ascii="Cambria Math" w:hAnsi="Cambria Math"/>
                <w:i/>
              </w:rPr>
            </m:ctrlPr>
          </m:sSubPr>
          <m:e>
            <m:r>
              <w:rPr>
                <w:rFonts w:ascii="Cambria Math" w:hAnsi="Cambria Math"/>
              </w:rPr>
              <m:t>gemb</m:t>
            </m:r>
          </m:e>
          <m:sub>
            <m:r>
              <w:rPr>
                <w:rFonts w:ascii="Cambria Math" w:hAnsi="Cambria Math"/>
              </w:rPr>
              <m:t>15</m:t>
            </m:r>
          </m:sub>
        </m:sSub>
      </m:oMath>
      <w:r w:rsidRPr="00641AEE">
        <w:t xml:space="preserve">) </w:t>
      </w:r>
      <w:r w:rsidR="003D64E3">
        <w:t>were</w:t>
      </w:r>
      <w:r w:rsidRPr="00641AEE">
        <w:t xml:space="preserve"> merged onto the </w:t>
      </w:r>
      <w:r w:rsidR="002F0A44">
        <w:t>train</w:t>
      </w:r>
      <w:r w:rsidRPr="00641AEE">
        <w:t xml:space="preserve"> split only</w:t>
      </w:r>
      <w:r>
        <w:t>. T</w:t>
      </w:r>
      <w:r w:rsidRPr="00641AEE">
        <w:t xml:space="preserve">he </w:t>
      </w:r>
      <w:r w:rsidR="002F0A44">
        <w:t>test</w:t>
      </w:r>
      <w:r w:rsidRPr="00641AEE">
        <w:t xml:space="preserve"> split </w:t>
      </w:r>
      <w:r w:rsidR="003D64E3">
        <w:t>was</w:t>
      </w:r>
      <w:r w:rsidRPr="00641AEE">
        <w:t xml:space="preserve"> held out and left unmerged for downstream evaluation. The encodings used to fit CTGAN </w:t>
      </w:r>
      <w:r w:rsidR="003D64E3">
        <w:t>were</w:t>
      </w:r>
      <w:r w:rsidRPr="00641AEE">
        <w:t xml:space="preserve"> computed on the training table and applied accordingly. We maintain</w:t>
      </w:r>
      <w:r w:rsidR="003D64E3">
        <w:t>ed</w:t>
      </w:r>
      <w:r w:rsidRPr="00641AEE">
        <w:t xml:space="preserve"> two synchronized training tables: (i) a raw table (keep</w:t>
      </w:r>
      <w:r>
        <w:t>ing</w:t>
      </w:r>
      <w:r w:rsidRPr="00641AEE">
        <w:t xml:space="preserve"> </w:t>
      </w:r>
      <w:r w:rsidRPr="002F0A44">
        <w:rPr>
          <w:rFonts w:ascii="Courier New" w:hAnsi="Courier New" w:cs="Courier New"/>
        </w:rPr>
        <w:t>segment_id</w:t>
      </w:r>
      <w:r w:rsidRPr="00641AEE">
        <w:t xml:space="preserve">, original time fields, and diagnostics for reconstruction and </w:t>
      </w:r>
      <w:r>
        <w:t xml:space="preserve">event </w:t>
      </w:r>
      <w:r w:rsidRPr="00641AEE">
        <w:t>capacit</w:t>
      </w:r>
      <w:r>
        <w:t>y calculations</w:t>
      </w:r>
      <w:r w:rsidRPr="00641AEE">
        <w:t>), and (ii) a mode</w:t>
      </w:r>
      <w:r w:rsidR="002F0A44">
        <w:t>l</w:t>
      </w:r>
      <w:r w:rsidRPr="00641AEE">
        <w:t>ling table (for CTGAN) that exclude</w:t>
      </w:r>
      <w:r w:rsidR="003D64E3">
        <w:t>d</w:t>
      </w:r>
      <w:r w:rsidRPr="00641AEE">
        <w:t xml:space="preserve"> </w:t>
      </w:r>
      <w:r w:rsidRPr="002F0A44">
        <w:rPr>
          <w:rFonts w:ascii="Courier New" w:hAnsi="Courier New" w:cs="Courier New"/>
        </w:rPr>
        <w:t>segment_id</w:t>
      </w:r>
      <w:r w:rsidRPr="00641AEE">
        <w:t xml:space="preserve"> and contain</w:t>
      </w:r>
      <w:r w:rsidR="003D64E3">
        <w:t>ed</w:t>
      </w:r>
      <w:r w:rsidRPr="00641AEE">
        <w:t xml:space="preserve"> only encoded</w:t>
      </w:r>
      <w:r>
        <w:t xml:space="preserve"> or </w:t>
      </w:r>
      <w:r w:rsidRPr="00641AEE">
        <w:t>continuous features. We also carr</w:t>
      </w:r>
      <w:r w:rsidR="00A517BA">
        <w:t>ied</w:t>
      </w:r>
      <w:r w:rsidRPr="00641AEE">
        <w:t xml:space="preserve"> an explicit cohort label to coordinate cohort‑level training and sampling.</w:t>
      </w:r>
    </w:p>
    <w:p w14:paraId="0C1EB7B5" w14:textId="77777777" w:rsidR="00DB5099" w:rsidRDefault="00DB5099" w:rsidP="00DB5099">
      <w:pPr>
        <w:pStyle w:val="NoSpacing"/>
        <w:jc w:val="both"/>
      </w:pPr>
    </w:p>
    <w:p w14:paraId="117A5055" w14:textId="05950D9E" w:rsidR="00DB5099" w:rsidRDefault="00DB5099" w:rsidP="00DB5099">
      <w:pPr>
        <w:pStyle w:val="NoSpacing"/>
        <w:jc w:val="both"/>
      </w:pPr>
      <w:r>
        <w:t xml:space="preserve">The </w:t>
      </w:r>
      <w:r w:rsidRPr="002F0A44">
        <w:rPr>
          <w:rFonts w:ascii="Courier New" w:hAnsi="Courier New" w:cs="Courier New"/>
        </w:rPr>
        <w:t>segment_id</w:t>
      </w:r>
      <w:r>
        <w:t xml:space="preserve"> itself </w:t>
      </w:r>
      <w:r w:rsidR="00A517BA">
        <w:t>wa</w:t>
      </w:r>
      <w:r>
        <w:t>s removed from the modelling table to avoid a high-cardinality segment identifier, and also because the GAN learn</w:t>
      </w:r>
      <w:r w:rsidR="00A517BA">
        <w:t>ed</w:t>
      </w:r>
      <w:r>
        <w:t xml:space="preserve"> to associate event types with the topological embedding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making the arbitrary, high-cardinality segment identifier redundant. Furthermore, several features in the dataset exhibit</w:t>
      </w:r>
      <w:r w:rsidR="00A517BA">
        <w:t>ed</w:t>
      </w:r>
      <w:r>
        <w:t xml:space="preserve"> non-Gaussian, bounded, or cyclic properties, which standard GANs may struggle to model effectively. </w:t>
      </w:r>
      <w:r w:rsidRPr="004A6F0D">
        <w:t>In CTGAN</w:t>
      </w:r>
      <w:r>
        <w:t xml:space="preserve"> (implemented using the SDV library)</w:t>
      </w:r>
      <w:r w:rsidRPr="004A6F0D">
        <w:t xml:space="preserve">, continuous variables are passed through </w:t>
      </w:r>
      <w:r>
        <w:t xml:space="preserve">Gaussian-mixture-based </w:t>
      </w:r>
      <w:r w:rsidRPr="004A6F0D">
        <w:t xml:space="preserve">transforms (rather than </w:t>
      </w:r>
      <w:r w:rsidR="003F5B4E">
        <w:t>being left raw), which necessitate</w:t>
      </w:r>
      <w:r w:rsidR="00A517BA">
        <w:t>d</w:t>
      </w:r>
      <w:r w:rsidR="003F5B4E">
        <w:t xml:space="preserve"> transforming</w:t>
      </w:r>
      <w:r w:rsidRPr="004A6F0D">
        <w:t xml:space="preserve"> bounded</w:t>
      </w:r>
      <w:r>
        <w:t xml:space="preserve"> or </w:t>
      </w:r>
      <w:r w:rsidRPr="004A6F0D">
        <w:t xml:space="preserve">circular variables into unbounded </w:t>
      </w:r>
      <w:r w:rsidRPr="004A6F0D">
        <w:lastRenderedPageBreak/>
        <w:t>spaces</w:t>
      </w:r>
      <w:r>
        <w:t xml:space="preserve"> </w:t>
      </w:r>
      <w:r>
        <w:fldChar w:fldCharType="begin"/>
      </w:r>
      <w:r w:rsidR="00720F22">
        <w:instrText xml:space="preserve"> ADDIN EN.CITE &lt;EndNote&gt;&lt;Cite&gt;&lt;Author&gt;Xu&lt;/Author&gt;&lt;Year&gt;2019&lt;/Year&gt;&lt;RecNum&gt;11333&lt;/RecNum&gt;&lt;DisplayText&gt;&lt;style face="superscript"&gt;8&lt;/style&gt;&lt;/DisplayText&gt;&lt;record&gt;&lt;rec-number&gt;11333&lt;/rec-number&gt;&lt;foreign-keys&gt;&lt;key app="EN" db-id="ded9vtpt1d2wvmex2x0pddz9raws90dfwftf" timestamp="1762115781"&gt;11333&lt;/key&gt;&lt;/foreign-keys&gt;&lt;ref-type name="Journal Article"&gt;17&lt;/ref-type&gt;&lt;contributors&gt;&lt;authors&gt;&lt;author&gt;Xu, Lei&lt;/author&gt;&lt;author&gt;Skoularidou, Maria&lt;/author&gt;&lt;author&gt;Cuesta-Infante, Alfredo&lt;/author&gt;&lt;author&gt;Veeramachaneni, Kalyan&lt;/author&gt;&lt;/authors&gt;&lt;/contributors&gt;&lt;titles&gt;&lt;title&gt;Modeling tabular data using conditional gan&lt;/title&gt;&lt;secondary-title&gt;Advances in neural information processing systems&lt;/secondary-title&gt;&lt;/titles&gt;&lt;periodical&gt;&lt;full-title&gt;Advances in Neural Information Processing Systems&lt;/full-title&gt;&lt;abbr-1&gt;Adv. Neural Inf. Process. Syst.&lt;/abbr-1&gt;&lt;abbr-2&gt;Adv Neural Inf Process Syst&lt;/abbr-2&gt;&lt;/periodical&gt;&lt;volume&gt;32&lt;/volume&gt;&lt;dates&gt;&lt;year&gt;2019&lt;/year&gt;&lt;/dates&gt;&lt;urls&gt;&lt;/urls&gt;&lt;/record&gt;&lt;/Cite&gt;&lt;/EndNote&gt;</w:instrText>
      </w:r>
      <w:r>
        <w:fldChar w:fldCharType="separate"/>
      </w:r>
      <w:r w:rsidR="00720F22" w:rsidRPr="00720F22">
        <w:rPr>
          <w:noProof/>
          <w:vertAlign w:val="superscript"/>
        </w:rPr>
        <w:t>8</w:t>
      </w:r>
      <w:r>
        <w:fldChar w:fldCharType="end"/>
      </w:r>
      <w:r>
        <w:t xml:space="preserve">. </w:t>
      </w:r>
      <w:r w:rsidRPr="003F4E12">
        <w:t xml:space="preserve">Temporal variables with natural periodicity </w:t>
      </w:r>
      <w:r w:rsidR="00A517BA">
        <w:t>were</w:t>
      </w:r>
      <w:r w:rsidRPr="003F4E12">
        <w:t xml:space="preserve"> encoded via sine</w:t>
      </w:r>
      <w:r w:rsidR="003F5B4E">
        <w:t>-</w:t>
      </w:r>
      <w:r w:rsidRPr="003F4E12">
        <w:t xml:space="preserve">cosine pairs (Hour: </w:t>
      </w:r>
      <m:oMath>
        <m:r>
          <w:rPr>
            <w:rFonts w:ascii="Cambria Math" w:hAnsi="Cambria Math"/>
          </w:rPr>
          <m:t>P=24</m:t>
        </m:r>
      </m:oMath>
      <w:r w:rsidRPr="003F4E12">
        <w:t>; Day</w:t>
      </w:r>
      <w:r w:rsidRPr="003F4E12">
        <w:noBreakHyphen/>
        <w:t>of</w:t>
      </w:r>
      <w:r w:rsidRPr="003F4E12">
        <w:noBreakHyphen/>
        <w:t xml:space="preserve">Week: </w:t>
      </w:r>
      <m:oMath>
        <m:r>
          <w:rPr>
            <w:rFonts w:ascii="Cambria Math" w:hAnsi="Cambria Math"/>
          </w:rPr>
          <m:t>P=7</m:t>
        </m:r>
      </m:oMath>
      <w:r w:rsidRPr="003F4E12">
        <w:t xml:space="preserve">; Month: </w:t>
      </w:r>
      <m:oMath>
        <m:r>
          <w:rPr>
            <w:rFonts w:ascii="Cambria Math" w:hAnsi="Cambria Math"/>
          </w:rPr>
          <m:t>P=12</m:t>
        </m:r>
      </m:oMath>
      <w:r w:rsidRPr="003F4E12">
        <w:t>)</w:t>
      </w:r>
      <w:r>
        <w:t xml:space="preserve"> </w:t>
      </w:r>
      <w:r w:rsidRPr="00A527B4">
        <w:t xml:space="preserve">and the original integer columns </w:t>
      </w:r>
      <w:r w:rsidR="006D74CA">
        <w:t>were</w:t>
      </w:r>
      <w:r w:rsidRPr="00A527B4">
        <w:t xml:space="preserve"> dropped after encoding</w:t>
      </w:r>
      <w:r>
        <w:t xml:space="preserve"> in the training data</w:t>
      </w:r>
      <w:r w:rsidR="002C3A53">
        <w:t xml:space="preserve"> </w:t>
      </w:r>
      <w:r w:rsidR="002C3A53">
        <w:fldChar w:fldCharType="begin"/>
      </w:r>
      <w:r w:rsidR="00720F22">
        <w:instrText xml:space="preserve"> ADDIN EN.CITE &lt;EndNote&gt;&lt;Cite&gt;&lt;Author&gt;Scikit-learn Developers&lt;/Author&gt;&lt;Year&gt;2025&lt;/Year&gt;&lt;RecNum&gt;11354&lt;/RecNum&gt;&lt;DisplayText&gt;&lt;style face="superscript"&gt;9&lt;/style&gt;&lt;/DisplayText&gt;&lt;record&gt;&lt;rec-number&gt;11354&lt;/rec-number&gt;&lt;foreign-keys&gt;&lt;key app="EN" db-id="ded9vtpt1d2wvmex2x0pddz9raws90dfwftf" timestamp="1764551051"&gt;11354&lt;/key&gt;&lt;/foreign-keys&gt;&lt;ref-type name="Web Page"&gt;12&lt;/ref-type&gt;&lt;contributors&gt;&lt;authors&gt;&lt;author&gt;Scikit-learn Developers,&lt;/author&gt;&lt;/authors&gt;&lt;/contributors&gt;&lt;titles&gt;&lt;title&gt;Time-related feature engineering&lt;/title&gt;&lt;/titles&gt;&lt;dates&gt;&lt;year&gt;2025&lt;/year&gt;&lt;/dates&gt;&lt;publisher&gt;Scikit-learn 1.7.2 documentation&lt;/publisher&gt;&lt;urls&gt;&lt;related-urls&gt;&lt;url&gt;https://scikit-learn.org/stable/auto_examples/applications/plot_cyclical_feature_engineering.html?utm_source=chatgpt.com&lt;/url&gt;&lt;/related-urls&gt;&lt;/urls&gt;&lt;/record&gt;&lt;/Cite&gt;&lt;/EndNote&gt;</w:instrText>
      </w:r>
      <w:r w:rsidR="002C3A53">
        <w:fldChar w:fldCharType="separate"/>
      </w:r>
      <w:r w:rsidR="00720F22" w:rsidRPr="00720F22">
        <w:rPr>
          <w:noProof/>
          <w:vertAlign w:val="superscript"/>
        </w:rPr>
        <w:t>9</w:t>
      </w:r>
      <w:r w:rsidR="002C3A53">
        <w:fldChar w:fldCharType="end"/>
      </w:r>
      <w:r w:rsidRPr="00A527B4">
        <w:t>.</w:t>
      </w:r>
    </w:p>
    <w:p w14:paraId="1C687B7D" w14:textId="77777777" w:rsidR="00DB5099" w:rsidRDefault="00DB5099" w:rsidP="00DB5099">
      <w:pPr>
        <w:pStyle w:val="NoSpacing"/>
        <w:jc w:val="both"/>
      </w:pPr>
    </w:p>
    <w:p w14:paraId="6F561D22" w14:textId="0CE5CC78" w:rsidR="009D3B60" w:rsidRDefault="00DB5099" w:rsidP="00DB5099">
      <w:pPr>
        <w:pStyle w:val="NoSpacing"/>
        <w:jc w:val="both"/>
      </w:pPr>
      <w:r w:rsidRPr="003F4E12">
        <w:t xml:space="preserve">The bounded </w:t>
      </w:r>
      <w:r w:rsidRPr="000811D7">
        <w:rPr>
          <w:rFonts w:ascii="Courier New" w:hAnsi="Courier New" w:cs="Courier New"/>
        </w:rPr>
        <w:t>seg_pos</w:t>
      </w:r>
      <w:r w:rsidRPr="003F4E12">
        <w:t xml:space="preserve"> </w:t>
      </w:r>
      <w:r w:rsidR="006D74CA">
        <w:t>was</w:t>
      </w:r>
      <w:r w:rsidRPr="003F4E12">
        <w:t xml:space="preserve"> clipped to </w:t>
      </w:r>
      <m:oMath>
        <m:d>
          <m:dPr>
            <m:begChr m:val="["/>
            <m:endChr m:val="]"/>
            <m:ctrlPr>
              <w:rPr>
                <w:rFonts w:ascii="Cambria Math" w:hAnsi="Cambria Math"/>
                <w:i/>
              </w:rPr>
            </m:ctrlPr>
          </m:dPr>
          <m:e>
            <m:r>
              <w:rPr>
                <w:rFonts w:ascii="Cambria Math" w:hAnsi="Cambria Math"/>
              </w:rPr>
              <m:t>ε,1-ε</m:t>
            </m:r>
          </m:e>
        </m:d>
        <m:r>
          <w:rPr>
            <w:rFonts w:ascii="Cambria Math" w:hAnsi="Cambria Math"/>
          </w:rPr>
          <m:t xml:space="preserve"> </m:t>
        </m:r>
      </m:oMath>
      <w:r w:rsidRPr="003F4E12">
        <w:t xml:space="preserve">with </w:t>
      </w:r>
      <m:oMath>
        <m:r>
          <w:rPr>
            <w:rFonts w:ascii="Cambria Math" w:hAnsi="Cambria Math"/>
          </w:rPr>
          <m:t>ε=</m:t>
        </m:r>
        <m:sSup>
          <m:sSupPr>
            <m:ctrlPr>
              <w:rPr>
                <w:rFonts w:ascii="Cambria Math" w:hAnsi="Cambria Math"/>
              </w:rPr>
            </m:ctrlPr>
          </m:sSupPr>
          <m:e>
            <m:r>
              <w:rPr>
                <w:rFonts w:ascii="Cambria Math" w:hAnsi="Cambria Math"/>
              </w:rPr>
              <m:t>10</m:t>
            </m:r>
          </m:e>
          <m:sup>
            <m:r>
              <w:rPr>
                <w:rFonts w:ascii="Cambria Math" w:hAnsi="Cambria Math"/>
              </w:rPr>
              <m:t>-6</m:t>
            </m:r>
          </m:sup>
        </m:sSup>
      </m:oMath>
      <w:r w:rsidRPr="003F4E12">
        <w:t xml:space="preserve">and transformed using the logit to yield an unbounded </w:t>
      </w:r>
      <w:r w:rsidRPr="000811D7">
        <w:rPr>
          <w:rFonts w:ascii="Courier New" w:hAnsi="Courier New" w:cs="Courier New"/>
        </w:rPr>
        <w:t>seg_pos_logit</w:t>
      </w:r>
      <w:r w:rsidRPr="003F4E12">
        <w:t xml:space="preserve">. </w:t>
      </w:r>
      <w:r w:rsidRPr="000811D7">
        <w:rPr>
          <w:rFonts w:ascii="Courier New" w:hAnsi="Courier New" w:cs="Courier New"/>
        </w:rPr>
        <w:t>SEG_MAP_DIST_M</w:t>
      </w:r>
      <w:r w:rsidRPr="003F4E12">
        <w:t xml:space="preserve"> </w:t>
      </w:r>
      <w:r w:rsidR="006D74CA">
        <w:t>wa</w:t>
      </w:r>
      <w:r w:rsidRPr="003F4E12">
        <w:t xml:space="preserve">s stabilized via </w:t>
      </w:r>
      <m:oMath>
        <m:r>
          <m:rPr>
            <m:sty m:val="p"/>
          </m:rPr>
          <w:rPr>
            <w:rFonts w:ascii="Cambria Math" w:hAnsi="Cambria Math"/>
          </w:rPr>
          <m:t>log</m:t>
        </m:r>
        <m:r>
          <w:rPr>
            <w:rFonts w:ascii="Cambria Math" w:hAnsi="Cambria Math"/>
          </w:rPr>
          <m:t>⁡(1+x)</m:t>
        </m:r>
      </m:oMath>
      <w:r>
        <w:rPr>
          <w:rFonts w:eastAsiaTheme="minorEastAsia"/>
        </w:rPr>
        <w:t xml:space="preserve"> </w:t>
      </w:r>
      <w:r w:rsidRPr="001E04A6">
        <w:rPr>
          <w:rFonts w:eastAsiaTheme="minorEastAsia"/>
        </w:rPr>
        <w:t xml:space="preserve">and stored as </w:t>
      </w:r>
      <w:r w:rsidRPr="000811D7">
        <w:rPr>
          <w:rFonts w:ascii="Courier New" w:eastAsiaTheme="minorEastAsia" w:hAnsi="Courier New" w:cs="Courier New"/>
        </w:rPr>
        <w:t>SEG_MAP_DIST_M_log1p</w:t>
      </w:r>
      <w:r w:rsidRPr="003F4E12">
        <w:t>.</w:t>
      </w:r>
      <w:r>
        <w:t xml:space="preserve"> </w:t>
      </w:r>
      <w:r w:rsidRPr="001573FE">
        <w:t>These transformations ensure</w:t>
      </w:r>
      <w:r w:rsidR="00E4026A">
        <w:t>d</w:t>
      </w:r>
      <w:r w:rsidRPr="001573FE">
        <w:t xml:space="preserve"> that bounded and right-skewed spatial variables </w:t>
      </w:r>
      <w:r w:rsidR="00E4026A">
        <w:t>were</w:t>
      </w:r>
      <w:r w:rsidRPr="001573FE">
        <w:t xml:space="preserve"> mapped </w:t>
      </w:r>
      <w:r w:rsidR="00552245">
        <w:t xml:space="preserve">to numerically stable, approximately unbounded spaces that </w:t>
      </w:r>
      <w:r w:rsidR="00E4026A">
        <w:t>were</w:t>
      </w:r>
      <w:r w:rsidR="00552245">
        <w:t xml:space="preserve"> better suited</w:t>
      </w:r>
      <w:r w:rsidRPr="001573FE">
        <w:t xml:space="preserve"> for Gaussian</w:t>
      </w:r>
      <w:r w:rsidR="00EC5E43">
        <w:t>-</w:t>
      </w:r>
      <w:r w:rsidRPr="001573FE">
        <w:t>mixture</w:t>
      </w:r>
      <w:r w:rsidR="00EC5E43">
        <w:t>-</w:t>
      </w:r>
      <w:r w:rsidRPr="001573FE">
        <w:t>based preprocessing and adversarial training.</w:t>
      </w:r>
      <w:r w:rsidRPr="003F4E12">
        <w:t xml:space="preserve"> </w:t>
      </w:r>
      <w:r>
        <w:t>The segment position (</w:t>
      </w:r>
      <w:r w:rsidRPr="00552245">
        <w:rPr>
          <w:rFonts w:ascii="Courier New" w:hAnsi="Courier New" w:cs="Courier New"/>
        </w:rPr>
        <w:t>seg_pos</w:t>
      </w:r>
      <w:r>
        <w:t>) feature represent</w:t>
      </w:r>
      <w:r w:rsidR="00D914E8">
        <w:t>ed</w:t>
      </w:r>
      <w:r>
        <w:t xml:space="preserve"> the normalized position of an event along a road segment, </w:t>
      </w:r>
      <w:r w:rsidR="00552245">
        <w:t>ranging from 0 to</w:t>
      </w:r>
      <w:r>
        <w:t xml:space="preserve"> 1. This bounded nature </w:t>
      </w:r>
      <w:r w:rsidR="00D914E8">
        <w:t>could</w:t>
      </w:r>
      <w:r>
        <w:t xml:space="preserve"> make it difficult for a CTGAN to model effectively, because GANs generally operate more efficiently when input variables have unbounded or approximately Gaussian-like distributions </w:t>
      </w:r>
      <w:r>
        <w:fldChar w:fldCharType="begin"/>
      </w:r>
      <w:r w:rsidR="00720F22">
        <w:instrText xml:space="preserve"> ADDIN EN.CITE &lt;EndNote&gt;&lt;Cite&gt;&lt;Author&gt;Xu&lt;/Author&gt;&lt;Year&gt;2019&lt;/Year&gt;&lt;RecNum&gt;11331&lt;/RecNum&gt;&lt;DisplayText&gt;&lt;style face="superscript"&gt;8&lt;/style&gt;&lt;/DisplayText&gt;&lt;record&gt;&lt;rec-number&gt;11331&lt;/rec-number&gt;&lt;foreign-keys&gt;&lt;key app="EN" db-id="ded9vtpt1d2wvmex2x0pddz9raws90dfwftf" timestamp="1762111450"&gt;11331&lt;/key&gt;&lt;/foreign-keys&gt;&lt;ref-type name="Journal Article"&gt;17&lt;/ref-type&gt;&lt;contributors&gt;&lt;authors&gt;&lt;author&gt;Xu, Lei&lt;/author&gt;&lt;author&gt;Skoularidou, Maria&lt;/author&gt;&lt;author&gt;Cuesta-Infante, Alfredo&lt;/author&gt;&lt;author&gt;Veeramachaneni, Kalyan&lt;/author&gt;&lt;/authors&gt;&lt;/contributors&gt;&lt;titles&gt;&lt;title&gt;Modeling tabular data using conditional gan&lt;/title&gt;&lt;secondary-title&gt;Advances in neural information processing systems&lt;/secondary-title&gt;&lt;/titles&gt;&lt;periodical&gt;&lt;full-title&gt;Advances in Neural Information Processing Systems&lt;/full-title&gt;&lt;abbr-1&gt;Adv. Neural Inf. Process. Syst.&lt;/abbr-1&gt;&lt;abbr-2&gt;Adv Neural Inf Process Syst&lt;/abbr-2&gt;&lt;/periodical&gt;&lt;volume&gt;32&lt;/volume&gt;&lt;dates&gt;&lt;year&gt;2019&lt;/year&gt;&lt;/dates&gt;&lt;urls&gt;&lt;/urls&gt;&lt;/record&gt;&lt;/Cite&gt;&lt;/EndNote&gt;</w:instrText>
      </w:r>
      <w:r>
        <w:fldChar w:fldCharType="separate"/>
      </w:r>
      <w:r w:rsidR="00720F22" w:rsidRPr="00720F22">
        <w:rPr>
          <w:noProof/>
          <w:vertAlign w:val="superscript"/>
        </w:rPr>
        <w:t>8</w:t>
      </w:r>
      <w:r>
        <w:fldChar w:fldCharType="end"/>
      </w:r>
      <w:r>
        <w:t>. Hence, the logit transformation enable</w:t>
      </w:r>
      <w:r w:rsidR="00D914E8">
        <w:t>d</w:t>
      </w:r>
      <w:r>
        <w:t xml:space="preserve"> the generator and discriminator within the GAN to capture continuous variability and gradients during training more effectively. Before applying the logit transformation, all values of </w:t>
      </w:r>
      <w:r w:rsidRPr="00DE5780">
        <w:rPr>
          <w:rFonts w:ascii="Courier New" w:hAnsi="Courier New" w:cs="Courier New"/>
        </w:rPr>
        <w:t>seg_pos</w:t>
      </w:r>
      <w:r>
        <w:t xml:space="preserve"> </w:t>
      </w:r>
      <w:r w:rsidR="00802891">
        <w:t>were</w:t>
      </w:r>
      <w:r>
        <w:t xml:space="preserve"> clipped slightly away from 0 and 1 (i.e., in</w:t>
      </w:r>
      <w:r w:rsidRPr="003F4E12">
        <w:t xml:space="preserve">to </w:t>
      </w:r>
      <m:oMath>
        <m:d>
          <m:dPr>
            <m:begChr m:val="["/>
            <m:endChr m:val="]"/>
            <m:ctrlPr>
              <w:rPr>
                <w:rFonts w:ascii="Cambria Math" w:hAnsi="Cambria Math"/>
                <w:i/>
              </w:rPr>
            </m:ctrlPr>
          </m:dPr>
          <m:e>
            <m:r>
              <w:rPr>
                <w:rFonts w:ascii="Cambria Math" w:hAnsi="Cambria Math"/>
              </w:rPr>
              <m:t>ε,1-ε</m:t>
            </m:r>
          </m:e>
        </m:d>
        <m:r>
          <w:rPr>
            <w:rFonts w:ascii="Cambria Math" w:hAnsi="Cambria Math"/>
          </w:rPr>
          <m:t xml:space="preserve"> </m:t>
        </m:r>
      </m:oMath>
      <w:r w:rsidRPr="003F4E12">
        <w:t xml:space="preserve">with </w:t>
      </w:r>
      <m:oMath>
        <m:r>
          <w:rPr>
            <w:rFonts w:ascii="Cambria Math" w:hAnsi="Cambria Math"/>
          </w:rPr>
          <m:t>ε=</m:t>
        </m:r>
        <m:sSup>
          <m:sSupPr>
            <m:ctrlPr>
              <w:rPr>
                <w:rFonts w:ascii="Cambria Math" w:hAnsi="Cambria Math"/>
              </w:rPr>
            </m:ctrlPr>
          </m:sSupPr>
          <m:e>
            <m:r>
              <w:rPr>
                <w:rFonts w:ascii="Cambria Math" w:hAnsi="Cambria Math"/>
              </w:rPr>
              <m:t>10</m:t>
            </m:r>
          </m:e>
          <m:sup>
            <m:r>
              <w:rPr>
                <w:rFonts w:ascii="Cambria Math" w:hAnsi="Cambria Math"/>
              </w:rPr>
              <m:t>-6</m:t>
            </m:r>
          </m:sup>
        </m:sSup>
      </m:oMath>
      <w:r>
        <w:t xml:space="preserve">) to prevent division by zero or infinite outputs. This clipping </w:t>
      </w:r>
      <w:r w:rsidR="00867EFB">
        <w:t>was</w:t>
      </w:r>
      <w:r>
        <w:t xml:space="preserve"> important because events that snap</w:t>
      </w:r>
      <w:r w:rsidR="00BC38C0">
        <w:t>ped</w:t>
      </w:r>
      <w:r>
        <w:t xml:space="preserve"> precisely to the start or end of a segment (i.e., </w:t>
      </w:r>
      <w:r w:rsidRPr="00DE5780">
        <w:rPr>
          <w:rFonts w:ascii="Courier New" w:hAnsi="Courier New" w:cs="Courier New"/>
        </w:rPr>
        <w:t>seg_pos</w:t>
      </w:r>
      <w:r>
        <w:t xml:space="preserve"> = 0 or 1) would otherwise produce infinite or undefined logit values. These positions are quite common in real-world event coordinates occurring in or near dense urban networks with many intersections. Similarly, t</w:t>
      </w:r>
      <w:r w:rsidRPr="00CE610C">
        <w:t xml:space="preserve">he </w:t>
      </w:r>
      <w:r>
        <w:t>offset distance (</w:t>
      </w:r>
      <w:r w:rsidRPr="003725CD">
        <w:rPr>
          <w:rFonts w:ascii="Courier New" w:hAnsi="Courier New" w:cs="Courier New"/>
        </w:rPr>
        <w:t>SEG_MAP_DIST_M</w:t>
      </w:r>
      <w:r>
        <w:t xml:space="preserve"> or </w:t>
      </w:r>
      <w:r w:rsidRPr="00CE610C">
        <w:t>the map-matching distance between an event and its nearest road segment) tends to be highly right-skewed</w:t>
      </w:r>
      <w:r>
        <w:t xml:space="preserve"> as </w:t>
      </w:r>
      <w:r w:rsidRPr="00CE610C">
        <w:t xml:space="preserve">most events are snapped very close to the network, while a few lie farther away. To normalize this distribution, a logarithmic transformation </w:t>
      </w:r>
      <w:r w:rsidR="00BC38C0">
        <w:t>was</w:t>
      </w:r>
      <w:r w:rsidRPr="00CE610C">
        <w:t xml:space="preserve"> applied. This reduce</w:t>
      </w:r>
      <w:r w:rsidR="00BC38C0">
        <w:t>d</w:t>
      </w:r>
      <w:r w:rsidRPr="00CE610C">
        <w:t xml:space="preserve"> the influence of extreme distances and improve</w:t>
      </w:r>
      <w:r w:rsidR="00BC38C0">
        <w:t>d</w:t>
      </w:r>
      <w:r w:rsidRPr="00CE610C">
        <w:t xml:space="preserve"> numerical stability for both model training and evaluation.</w:t>
      </w:r>
    </w:p>
    <w:p w14:paraId="0716393C" w14:textId="77777777" w:rsidR="00BC38C0" w:rsidRDefault="00BC38C0" w:rsidP="00DB5099">
      <w:pPr>
        <w:pStyle w:val="NoSpacing"/>
        <w:jc w:val="both"/>
      </w:pPr>
    </w:p>
    <w:p w14:paraId="55B2A810" w14:textId="3CD8A680" w:rsidR="00501844" w:rsidRDefault="00501844" w:rsidP="009D3B60">
      <w:pPr>
        <w:pStyle w:val="NoSpacing"/>
        <w:jc w:val="center"/>
      </w:pPr>
      <w:r>
        <w:rPr>
          <w:noProof/>
        </w:rPr>
        <w:lastRenderedPageBreak/>
        <w:drawing>
          <wp:inline distT="0" distB="0" distL="0" distR="0" wp14:anchorId="5E78579C" wp14:editId="16092761">
            <wp:extent cx="5989517" cy="3698655"/>
            <wp:effectExtent l="0" t="0" r="0" b="0"/>
            <wp:docPr id="396909951" name="Picture 2" descr="A collage of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9951" name="Picture 2" descr="A collage of diagram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9517" cy="3698655"/>
                    </a:xfrm>
                    <a:prstGeom prst="rect">
                      <a:avLst/>
                    </a:prstGeom>
                  </pic:spPr>
                </pic:pic>
              </a:graphicData>
            </a:graphic>
          </wp:inline>
        </w:drawing>
      </w:r>
    </w:p>
    <w:p w14:paraId="41CD7766" w14:textId="77777777" w:rsidR="006B528D" w:rsidRDefault="006B528D" w:rsidP="00DB5099">
      <w:pPr>
        <w:pStyle w:val="NoSpacing"/>
        <w:jc w:val="both"/>
        <w:rPr>
          <w:b/>
          <w:bCs/>
        </w:rPr>
      </w:pPr>
    </w:p>
    <w:p w14:paraId="00BDB81C" w14:textId="70F9FF8B" w:rsidR="009D3B60" w:rsidRDefault="009D3B60" w:rsidP="00DB5099">
      <w:pPr>
        <w:pStyle w:val="NoSpacing"/>
        <w:jc w:val="both"/>
        <w:rPr>
          <w:b/>
          <w:bCs/>
        </w:rPr>
      </w:pPr>
      <w:r w:rsidRPr="009D3B60">
        <w:rPr>
          <w:b/>
          <w:bCs/>
        </w:rPr>
        <w:t>Supplementary Fig. 2 | Event localization, spatial feature extraction, and feature transformations for GeoCTGAN preprocessing.</w:t>
      </w:r>
    </w:p>
    <w:p w14:paraId="55A8A06E" w14:textId="304AED0F" w:rsidR="00DB5099" w:rsidRDefault="00E87E55" w:rsidP="00DB5099">
      <w:pPr>
        <w:pStyle w:val="NoSpacing"/>
        <w:jc w:val="both"/>
      </w:pPr>
      <w:r>
        <w:t>(</w:t>
      </w:r>
      <w:r w:rsidRPr="00E87E55">
        <w:t>a</w:t>
      </w:r>
      <w:r>
        <w:t>)</w:t>
      </w:r>
      <w:r w:rsidRPr="00E87E55">
        <w:t xml:space="preserve"> Event localization and filtering, showing how raw point events </w:t>
      </w:r>
      <w:r w:rsidR="00071EBC">
        <w:t>were</w:t>
      </w:r>
      <w:r w:rsidRPr="00E87E55">
        <w:t xml:space="preserve"> snapped to their nearest road segment within the search tolerance, with out-of-range events discarded</w:t>
      </w:r>
      <w:r w:rsidR="006412DE">
        <w:t>,</w:t>
      </w:r>
      <w:r w:rsidRPr="00E87E55">
        <w:t xml:space="preserve"> </w:t>
      </w:r>
      <w:r>
        <w:t>(</w:t>
      </w:r>
      <w:r w:rsidRPr="00E87E55">
        <w:t>b</w:t>
      </w:r>
      <w:r>
        <w:t>)</w:t>
      </w:r>
      <w:r w:rsidRPr="00E87E55">
        <w:t xml:space="preserve"> Spatial feature extraction, depicting the computation of the normalized segment position (</w:t>
      </w:r>
      <w:r w:rsidRPr="00E87E55">
        <w:rPr>
          <w:rFonts w:ascii="Courier New" w:hAnsi="Courier New" w:cs="Courier New"/>
        </w:rPr>
        <w:t>seg_pos</w:t>
      </w:r>
      <w:r w:rsidRPr="00E87E55">
        <w:t>) and the perpendicular offset distance (</w:t>
      </w:r>
      <w:r w:rsidRPr="00E87E55">
        <w:rPr>
          <w:rFonts w:ascii="Courier New" w:hAnsi="Courier New" w:cs="Courier New"/>
        </w:rPr>
        <w:t>SEG_MAP_DIST_M</w:t>
      </w:r>
      <w:r w:rsidRPr="00E87E55">
        <w:t>)</w:t>
      </w:r>
      <w:r w:rsidR="006412DE">
        <w:t>,</w:t>
      </w:r>
      <w:r w:rsidRPr="00E87E55">
        <w:t xml:space="preserve"> </w:t>
      </w:r>
      <w:r w:rsidR="006412DE">
        <w:t>(</w:t>
      </w:r>
      <w:r w:rsidRPr="00E87E55">
        <w:t>c</w:t>
      </w:r>
      <w:r w:rsidR="006412DE">
        <w:t>)</w:t>
      </w:r>
      <w:r w:rsidRPr="00E87E55">
        <w:t xml:space="preserve"> Feature transformations applied to stabilize bounded and skewed variables before CTGAN training, including the logit mapping of </w:t>
      </w:r>
      <w:r w:rsidRPr="006412DE">
        <w:rPr>
          <w:rFonts w:ascii="Courier New" w:hAnsi="Courier New" w:cs="Courier New"/>
        </w:rPr>
        <w:t>seg_pos</w:t>
      </w:r>
      <w:r w:rsidRPr="00E87E55">
        <w:t xml:space="preserve"> and log1p transformation of offset distances</w:t>
      </w:r>
      <w:r w:rsidR="006412DE">
        <w:t>,</w:t>
      </w:r>
      <w:r w:rsidRPr="00E87E55">
        <w:t xml:space="preserve"> </w:t>
      </w:r>
      <w:r w:rsidR="006412DE">
        <w:t>(</w:t>
      </w:r>
      <w:r w:rsidRPr="00E87E55">
        <w:t>d</w:t>
      </w:r>
      <w:r w:rsidR="006412DE">
        <w:t>)</w:t>
      </w:r>
      <w:r w:rsidRPr="00E87E55">
        <w:t xml:space="preserve"> Cyclic temporal encoding, demonstrating how periodic time attributes </w:t>
      </w:r>
      <w:r w:rsidR="008D15A6">
        <w:t>were</w:t>
      </w:r>
      <w:r w:rsidRPr="00E87E55">
        <w:t xml:space="preserve"> converted to sine</w:t>
      </w:r>
      <w:r w:rsidR="00EC5E43">
        <w:t>-</w:t>
      </w:r>
      <w:r w:rsidRPr="00E87E55">
        <w:t>cosine representations to preserve circular proximity.</w:t>
      </w:r>
    </w:p>
    <w:p w14:paraId="1A8299A1" w14:textId="77777777" w:rsidR="00E87E55" w:rsidRDefault="00E87E55" w:rsidP="00DB5099">
      <w:pPr>
        <w:pStyle w:val="NoSpacing"/>
        <w:jc w:val="both"/>
      </w:pPr>
    </w:p>
    <w:p w14:paraId="411F7833" w14:textId="0B27CC79" w:rsidR="00DB5099" w:rsidRPr="00735688" w:rsidRDefault="00DB5099" w:rsidP="00DB5099">
      <w:pPr>
        <w:pStyle w:val="NoSpacing"/>
        <w:jc w:val="both"/>
        <w:rPr>
          <w:b/>
          <w:bCs/>
        </w:rPr>
      </w:pPr>
      <w:r w:rsidRPr="00735688">
        <w:rPr>
          <w:b/>
          <w:bCs/>
        </w:rPr>
        <w:t>4 Cohort-Based Conditional Generative Mode</w:t>
      </w:r>
      <w:r>
        <w:rPr>
          <w:b/>
          <w:bCs/>
        </w:rPr>
        <w:t>l</w:t>
      </w:r>
      <w:r w:rsidRPr="00735688">
        <w:rPr>
          <w:b/>
          <w:bCs/>
        </w:rPr>
        <w:t>ling</w:t>
      </w:r>
    </w:p>
    <w:p w14:paraId="6F530701" w14:textId="77777777" w:rsidR="00DB5099" w:rsidRDefault="00DB5099" w:rsidP="00DB5099">
      <w:pPr>
        <w:pStyle w:val="NoSpacing"/>
        <w:jc w:val="both"/>
      </w:pPr>
    </w:p>
    <w:p w14:paraId="5F40A055" w14:textId="10DBEF0A" w:rsidR="00DB5099" w:rsidRPr="00735688" w:rsidRDefault="00DB5099" w:rsidP="00DB5099">
      <w:pPr>
        <w:pStyle w:val="NoSpacing"/>
        <w:jc w:val="both"/>
        <w:rPr>
          <w:b/>
          <w:bCs/>
        </w:rPr>
      </w:pPr>
      <w:r w:rsidRPr="00735688">
        <w:rPr>
          <w:b/>
          <w:bCs/>
        </w:rPr>
        <w:t>4.1 Model Architecture</w:t>
      </w:r>
    </w:p>
    <w:p w14:paraId="4D53B72B" w14:textId="77777777" w:rsidR="00DB5099" w:rsidRDefault="00DB5099" w:rsidP="00DB5099">
      <w:pPr>
        <w:pStyle w:val="NoSpacing"/>
        <w:jc w:val="both"/>
      </w:pPr>
    </w:p>
    <w:p w14:paraId="1FA6C1BE" w14:textId="2BBDD53F" w:rsidR="00DB5099" w:rsidRDefault="00DB5099" w:rsidP="00DB5099">
      <w:pPr>
        <w:pStyle w:val="NoSpacing"/>
        <w:jc w:val="both"/>
      </w:pPr>
      <w:r>
        <w:t xml:space="preserve">The core generative model </w:t>
      </w:r>
      <w:r w:rsidR="00015FD3">
        <w:t>wa</w:t>
      </w:r>
      <w:r>
        <w:t>s the Conditional Tabular GAN (CTGAN), implemented via the CTGANSynthesizer class from the SDV library. CTGAN is specifically designed for tabular data, employing a conditional generator and training-by-sampling to handle highly imbalanced categorical data</w:t>
      </w:r>
      <w:r w:rsidR="00F347C9">
        <w:t xml:space="preserve"> </w:t>
      </w:r>
      <w:r w:rsidR="00F347C9">
        <w:fldChar w:fldCharType="begin"/>
      </w:r>
      <w:r w:rsidR="00720F22">
        <w:instrText xml:space="preserve"> ADDIN EN.CITE &lt;EndNote&gt;&lt;Cite&gt;&lt;Author&gt;Xu&lt;/Author&gt;&lt;Year&gt;2019&lt;/Year&gt;&lt;RecNum&gt;10917&lt;/RecNum&gt;&lt;DisplayText&gt;&lt;style face="superscript"&gt;8&lt;/style&gt;&lt;/DisplayText&gt;&lt;record&gt;&lt;rec-number&gt;10917&lt;/rec-number&gt;&lt;foreign-keys&gt;&lt;key app="EN" db-id="ded9vtpt1d2wvmex2x0pddz9raws90dfwftf" timestamp="1690943055"&gt;10917&lt;/key&gt;&lt;/foreign-keys&gt;&lt;ref-type name="Journal Article"&gt;17&lt;/ref-type&gt;&lt;contributors&gt;&lt;authors&gt;&lt;author&gt;Xu, Lei&lt;/author&gt;&lt;author&gt;Skoularidou, Maria&lt;/author&gt;&lt;author&gt;Cuesta-Infante, Alfredo&lt;/author&gt;&lt;author&gt;Veeramachaneni, Kalyan&lt;/author&gt;&lt;/authors&gt;&lt;/contributors&gt;&lt;titles&gt;&lt;title&gt;Modeling tabular data using conditional gan&lt;/title&gt;&lt;secondary-title&gt;Advances in neural information processing systems&lt;/secondary-title&gt;&lt;/titles&gt;&lt;periodical&gt;&lt;full-title&gt;Advances in Neural Information Processing Systems&lt;/full-title&gt;&lt;abbr-1&gt;Adv. Neural Inf. Process. Syst.&lt;/abbr-1&gt;&lt;abbr-2&gt;Adv Neural Inf Process Syst&lt;/abbr-2&gt;&lt;/periodical&gt;&lt;volume&gt;32&lt;/volume&gt;&lt;dates&gt;&lt;year&gt;2019&lt;/year&gt;&lt;/dates&gt;&lt;urls&gt;&lt;/urls&gt;&lt;/record&gt;&lt;/Cite&gt;&lt;/EndNote&gt;</w:instrText>
      </w:r>
      <w:r w:rsidR="00F347C9">
        <w:fldChar w:fldCharType="separate"/>
      </w:r>
      <w:r w:rsidR="00720F22" w:rsidRPr="00720F22">
        <w:rPr>
          <w:noProof/>
          <w:vertAlign w:val="superscript"/>
        </w:rPr>
        <w:t>8</w:t>
      </w:r>
      <w:r w:rsidR="00F347C9">
        <w:fldChar w:fldCharType="end"/>
      </w:r>
      <w:r>
        <w:t xml:space="preserve">. A metadata object is created for the training data, </w:t>
      </w:r>
      <w:r w:rsidRPr="00F62643">
        <w:t>in which all transformed continuous features (including the 16 embedding features and the sine</w:t>
      </w:r>
      <w:r w:rsidR="00EC5E43">
        <w:t>-</w:t>
      </w:r>
      <w:r w:rsidRPr="00F62643">
        <w:t xml:space="preserve">cosine cyclic encodings) </w:t>
      </w:r>
      <w:r w:rsidR="00576CD4">
        <w:t>were</w:t>
      </w:r>
      <w:r w:rsidRPr="00F62643">
        <w:t xml:space="preserve"> explicitly declared as sdtype='numerical', and all discrete attributes (e.g., </w:t>
      </w:r>
      <w:r>
        <w:t>MCI categories</w:t>
      </w:r>
      <w:r w:rsidRPr="00F62643">
        <w:t xml:space="preserve">, premises type, location type) </w:t>
      </w:r>
      <w:r w:rsidR="00576CD4">
        <w:t>were</w:t>
      </w:r>
      <w:r w:rsidRPr="00F62643">
        <w:t xml:space="preserve"> </w:t>
      </w:r>
      <w:r w:rsidR="00576CD4">
        <w:t>specified</w:t>
      </w:r>
      <w:r w:rsidRPr="00F62643">
        <w:t xml:space="preserve"> as sdtype='categorical'. This ensure</w:t>
      </w:r>
      <w:r w:rsidR="00576CD4">
        <w:t>d</w:t>
      </w:r>
      <w:r w:rsidRPr="00F62643">
        <w:t xml:space="preserve"> that </w:t>
      </w:r>
      <w:r>
        <w:t xml:space="preserve">the </w:t>
      </w:r>
      <w:r w:rsidRPr="00F62643">
        <w:t xml:space="preserve">reversible data transformers </w:t>
      </w:r>
      <w:r>
        <w:t xml:space="preserve">of SDV </w:t>
      </w:r>
      <w:r w:rsidRPr="00F62643">
        <w:t>appl</w:t>
      </w:r>
      <w:r w:rsidR="00576CD4">
        <w:t>ied</w:t>
      </w:r>
      <w:r w:rsidRPr="00F62643">
        <w:t xml:space="preserve"> the appropriate GMM-based continuous transforms and one-hot encodings in a leakage-free manner</w:t>
      </w:r>
      <w:r>
        <w:t xml:space="preserve"> </w:t>
      </w:r>
      <w:r>
        <w:fldChar w:fldCharType="begin"/>
      </w:r>
      <w:r w:rsidR="00720F22">
        <w:instrText xml:space="preserve"> ADDIN EN.CITE &lt;EndNote&gt;&lt;Cite&gt;&lt;Author&gt;Xu&lt;/Author&gt;&lt;Year&gt;2019&lt;/Year&gt;&lt;RecNum&gt;11331&lt;/RecNum&gt;&lt;DisplayText&gt;&lt;style face="superscript"&gt;8&lt;/style&gt;&lt;/DisplayText&gt;&lt;record&gt;&lt;rec-number&gt;11331&lt;/rec-number&gt;&lt;foreign-keys&gt;&lt;key app="EN" db-id="ded9vtpt1d2wvmex2x0pddz9raws90dfwftf" timestamp="1762111450"&gt;11331&lt;/key&gt;&lt;/foreign-keys&gt;&lt;ref-type name="Journal Article"&gt;17&lt;/ref-type&gt;&lt;contributors&gt;&lt;authors&gt;&lt;author&gt;Xu, Lei&lt;/author&gt;&lt;author&gt;Skoularidou, Maria&lt;/author&gt;&lt;author&gt;Cuesta-Infante, Alfredo&lt;/author&gt;&lt;author&gt;Veeramachaneni, Kalyan&lt;/author&gt;&lt;/authors&gt;&lt;/contributors&gt;&lt;titles&gt;&lt;title&gt;Modeling tabular data using conditional gan&lt;/title&gt;&lt;secondary-title&gt;Advances in neural information processing systems&lt;/secondary-title&gt;&lt;/titles&gt;&lt;periodical&gt;&lt;full-title&gt;Advances in Neural Information Processing Systems&lt;/full-title&gt;&lt;abbr-1&gt;Adv. Neural Inf. Process. Syst.&lt;/abbr-1&gt;&lt;abbr-2&gt;Adv Neural Inf Process Syst&lt;/abbr-2&gt;&lt;/periodical&gt;&lt;volume&gt;32&lt;/volume&gt;&lt;dates&gt;&lt;year&gt;2019&lt;/year&gt;&lt;/dates&gt;&lt;urls&gt;&lt;/urls&gt;&lt;/record&gt;&lt;/Cite&gt;&lt;/EndNote&gt;</w:instrText>
      </w:r>
      <w:r>
        <w:fldChar w:fldCharType="separate"/>
      </w:r>
      <w:r w:rsidR="00720F22" w:rsidRPr="00720F22">
        <w:rPr>
          <w:noProof/>
          <w:vertAlign w:val="superscript"/>
        </w:rPr>
        <w:t>8</w:t>
      </w:r>
      <w:r>
        <w:fldChar w:fldCharType="end"/>
      </w:r>
      <w:r>
        <w:t xml:space="preserve">. </w:t>
      </w:r>
    </w:p>
    <w:p w14:paraId="0D016E6A" w14:textId="63A302B5" w:rsidR="00DB5099" w:rsidRPr="0051705E" w:rsidRDefault="00DB5099" w:rsidP="00DB5099">
      <w:pPr>
        <w:pStyle w:val="NoSpacing"/>
        <w:jc w:val="both"/>
      </w:pPr>
      <w:r>
        <w:lastRenderedPageBreak/>
        <w:t>To ensure stable training and mitigate mode collapse, the Wasserstein GAN with Gradient Penalty (WGAN-GP) loss function</w:t>
      </w:r>
      <w:r w:rsidR="004310F0">
        <w:t>, available in CTGAN,</w:t>
      </w:r>
      <w:r>
        <w:t xml:space="preserve"> was employed. </w:t>
      </w:r>
      <w:r w:rsidRPr="0051705E">
        <w:t>We train</w:t>
      </w:r>
      <w:r w:rsidR="00E26D4C">
        <w:t>ed</w:t>
      </w:r>
      <w:r w:rsidRPr="0051705E">
        <w:t xml:space="preserve"> for 600 epochs with </w:t>
      </w:r>
      <w:r w:rsidRPr="004310F0">
        <w:rPr>
          <w:rFonts w:ascii="Courier New" w:hAnsi="Courier New" w:cs="Courier New"/>
        </w:rPr>
        <w:t>pac</w:t>
      </w:r>
      <w:r w:rsidRPr="0051705E">
        <w:t>=10, use</w:t>
      </w:r>
      <w:r w:rsidR="00E26D4C">
        <w:t>d</w:t>
      </w:r>
      <w:r w:rsidRPr="0051705E">
        <w:t xml:space="preserve"> a batch size that is the largest multiple of </w:t>
      </w:r>
      <w:r w:rsidRPr="004310F0">
        <w:rPr>
          <w:rFonts w:ascii="Courier New" w:hAnsi="Courier New" w:cs="Courier New"/>
        </w:rPr>
        <w:t>pac</w:t>
      </w:r>
      <w:r w:rsidRPr="0051705E">
        <w:t xml:space="preserve"> not exceeding a target of 512 (thus </w:t>
      </w:r>
      <w:r w:rsidRPr="004310F0">
        <w:rPr>
          <w:rFonts w:ascii="Courier New" w:hAnsi="Courier New" w:cs="Courier New"/>
        </w:rPr>
        <w:t>BATCH_SIZE</w:t>
      </w:r>
      <w:r w:rsidRPr="0051705E">
        <w:t xml:space="preserve">=510 </w:t>
      </w:r>
      <w:r>
        <w:t>under default settings</w:t>
      </w:r>
      <w:r w:rsidRPr="0051705E">
        <w:t>), and set</w:t>
      </w:r>
      <w:r>
        <w:t xml:space="preserve"> identical learning rates for the generator and discriminator as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w:t>
      </w:r>
      <w:r w:rsidRPr="0051705E">
        <w:t xml:space="preserve"> </w:t>
      </w:r>
      <w:r>
        <w:t>(</w:t>
      </w:r>
      <w:r w:rsidRPr="004310F0">
        <w:rPr>
          <w:rFonts w:ascii="Courier New" w:hAnsi="Courier New" w:cs="Courier New"/>
        </w:rPr>
        <w:t>generator_lr</w:t>
      </w:r>
      <w:r w:rsidRPr="0051705E">
        <w:t xml:space="preserve"> = </w:t>
      </w:r>
      <w:r w:rsidRPr="004310F0">
        <w:rPr>
          <w:rFonts w:ascii="Courier New" w:hAnsi="Courier New" w:cs="Courier New"/>
        </w:rPr>
        <w:t>discriminator_lr</w:t>
      </w:r>
      <w:r w:rsidRPr="0051705E">
        <w:t xml:space="preserve"> =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Pr>
          <w:rFonts w:eastAsiaTheme="minorEastAsia"/>
        </w:rPr>
        <w:t>).</w:t>
      </w:r>
      <w:r w:rsidRPr="0051705E">
        <w:t xml:space="preserve"> </w:t>
      </w:r>
      <w:r>
        <w:t>Rounding</w:t>
      </w:r>
      <w:r w:rsidR="00AC6C87">
        <w:t xml:space="preserve"> was</w:t>
      </w:r>
      <w:r>
        <w:t xml:space="preserve"> enabled (</w:t>
      </w:r>
      <w:r w:rsidRPr="00B56E2C">
        <w:rPr>
          <w:rFonts w:ascii="Courier New" w:hAnsi="Courier New" w:cs="Courier New"/>
        </w:rPr>
        <w:t>enforce_rounding</w:t>
      </w:r>
      <w:r w:rsidRPr="0051705E">
        <w:t>=True</w:t>
      </w:r>
      <w:r>
        <w:t>)</w:t>
      </w:r>
      <w:r w:rsidRPr="0051705E">
        <w:t xml:space="preserve"> to preserve integer</w:t>
      </w:r>
      <w:r w:rsidR="00B56E2C">
        <w:t>-</w:t>
      </w:r>
      <w:r w:rsidRPr="0051705E">
        <w:t>like outputs</w:t>
      </w:r>
      <w:r>
        <w:t xml:space="preserve"> for relevant categorical or integer-value features once the reversible transformer </w:t>
      </w:r>
      <w:r w:rsidR="00AC6C87">
        <w:t>was</w:t>
      </w:r>
      <w:r>
        <w:t xml:space="preserve"> inverted</w:t>
      </w:r>
      <w:r w:rsidRPr="0051705E">
        <w:t>.</w:t>
      </w:r>
      <w:r>
        <w:t xml:space="preserve"> </w:t>
      </w:r>
      <w:r w:rsidRPr="003D74E9">
        <w:t xml:space="preserve">The choice of </w:t>
      </w:r>
      <w:r w:rsidR="00172DD2">
        <w:t xml:space="preserve">the majority of </w:t>
      </w:r>
      <w:r w:rsidRPr="003D74E9">
        <w:t xml:space="preserve">these hyperparameters </w:t>
      </w:r>
      <w:r w:rsidR="005B3B61">
        <w:t>was</w:t>
      </w:r>
      <w:r w:rsidRPr="003D74E9">
        <w:t xml:space="preserve"> </w:t>
      </w:r>
      <w:r>
        <w:t xml:space="preserve">primarily </w:t>
      </w:r>
      <w:r w:rsidRPr="003D74E9">
        <w:t>guided by our prior CTGAN hyperparameter tuning study</w:t>
      </w:r>
      <w:r>
        <w:t xml:space="preserve"> </w:t>
      </w:r>
      <w:r>
        <w:fldChar w:fldCharType="begin"/>
      </w:r>
      <w:r w:rsidR="00720F22">
        <w:instrText xml:space="preserve"> ADDIN EN.CITE &lt;EndNote&gt;&lt;Cite&gt;&lt;Author&gt;Basri&lt;/Author&gt;&lt;Year&gt;2023&lt;/Year&gt;&lt;RecNum&gt;11171&lt;/RecNum&gt;&lt;DisplayText&gt;&lt;style face="superscript"&gt;10&lt;/style&gt;&lt;/DisplayText&gt;&lt;record&gt;&lt;rec-number&gt;11171&lt;/rec-number&gt;&lt;foreign-keys&gt;&lt;key app="EN" db-id="ded9vtpt1d2wvmex2x0pddz9raws90dfwftf" timestamp="1728060755"&gt;11171&lt;/key&gt;&lt;/foreign-keys&gt;&lt;ref-type name="Journal Article"&gt;17&lt;/ref-type&gt;&lt;contributors&gt;&lt;authors&gt;&lt;author&gt;Basri, Mohammad Ahmed&lt;/author&gt;&lt;author&gt;Hu, Bing&lt;/author&gt;&lt;author&gt;Abdullah, Abu Yousuf Md&lt;/author&gt;&lt;author&gt;Tsao, Shu-Feng&lt;/author&gt;&lt;author&gt;Butt, Zahid&lt;/author&gt;&lt;author&gt;Chen, Helen&lt;/author&gt;&lt;/authors&gt;&lt;/contributors&gt;&lt;titles&gt;&lt;title&gt;A Hyperparameter Tuning Framework for Tabular Synthetic Data Generation Methods&lt;/title&gt;&lt;secondary-title&gt;Journal of Computational Vision and Imaging Systems&lt;/secondary-title&gt;&lt;/titles&gt;&lt;periodical&gt;&lt;full-title&gt;Journal of Computational Vision and Imaging Systems&lt;/full-title&gt;&lt;/periodical&gt;&lt;pages&gt;76-79&lt;/pages&gt;&lt;volume&gt;9&lt;/volume&gt;&lt;number&gt;1&lt;/number&gt;&lt;dates&gt;&lt;year&gt;2023&lt;/year&gt;&lt;/dates&gt;&lt;isbn&gt;2562-0444&lt;/isbn&gt;&lt;urls&gt;&lt;/urls&gt;&lt;/record&gt;&lt;/Cite&gt;&lt;/EndNote&gt;</w:instrText>
      </w:r>
      <w:r>
        <w:fldChar w:fldCharType="separate"/>
      </w:r>
      <w:r w:rsidR="00720F22" w:rsidRPr="00720F22">
        <w:rPr>
          <w:noProof/>
          <w:vertAlign w:val="superscript"/>
        </w:rPr>
        <w:t>10</w:t>
      </w:r>
      <w:r>
        <w:fldChar w:fldCharType="end"/>
      </w:r>
      <w:r>
        <w:t xml:space="preserve">, </w:t>
      </w:r>
      <w:r w:rsidRPr="00E10939">
        <w:t>which identified this configuration as providing a favourable balance between mode coverage, training stability, and fidelity for high-dimensional tabular data</w:t>
      </w:r>
      <w:r>
        <w:t>.</w:t>
      </w:r>
    </w:p>
    <w:p w14:paraId="0AF58F22" w14:textId="77777777" w:rsidR="00DB5099" w:rsidRPr="0051705E" w:rsidRDefault="00DB5099" w:rsidP="00DB5099">
      <w:pPr>
        <w:pStyle w:val="NoSpacing"/>
        <w:jc w:val="both"/>
      </w:pPr>
    </w:p>
    <w:p w14:paraId="0980CECA" w14:textId="606E0522" w:rsidR="00DB5099" w:rsidRPr="00C93B70" w:rsidRDefault="00DB5099" w:rsidP="00DB5099">
      <w:pPr>
        <w:pStyle w:val="NoSpacing"/>
        <w:jc w:val="both"/>
        <w:rPr>
          <w:b/>
          <w:bCs/>
        </w:rPr>
      </w:pPr>
      <w:r w:rsidRPr="00C93B70">
        <w:rPr>
          <w:b/>
          <w:bCs/>
        </w:rPr>
        <w:t>4</w:t>
      </w:r>
      <w:r>
        <w:rPr>
          <w:b/>
          <w:bCs/>
        </w:rPr>
        <w:t>.2</w:t>
      </w:r>
      <w:r w:rsidRPr="00C93B70">
        <w:rPr>
          <w:b/>
          <w:bCs/>
        </w:rPr>
        <w:t xml:space="preserve"> Cohort-Based Training</w:t>
      </w:r>
    </w:p>
    <w:p w14:paraId="2D89E124" w14:textId="77777777" w:rsidR="00DB5099" w:rsidRDefault="00DB5099" w:rsidP="00DB5099">
      <w:pPr>
        <w:pStyle w:val="NoSpacing"/>
        <w:jc w:val="both"/>
      </w:pPr>
    </w:p>
    <w:p w14:paraId="1D8F000A" w14:textId="09E1F903" w:rsidR="00DB5099" w:rsidRDefault="00DB5099" w:rsidP="00DB5099">
      <w:pPr>
        <w:pStyle w:val="NoSpacing"/>
        <w:jc w:val="both"/>
      </w:pPr>
      <w:r>
        <w:t xml:space="preserve">Geospatial event patterns are often non-stationary, exhibiting significant </w:t>
      </w:r>
      <w:r w:rsidR="00DA2C03">
        <w:t>temporal variation</w:t>
      </w:r>
      <w:r>
        <w:t xml:space="preserve">. To capture these temporal dynamics, a single monolithic model </w:t>
      </w:r>
      <w:r w:rsidR="00DA2C03">
        <w:t>wa</w:t>
      </w:r>
      <w:r>
        <w:t xml:space="preserve">s not used. </w:t>
      </w:r>
      <w:r w:rsidRPr="005F651E">
        <w:t xml:space="preserve">The training data </w:t>
      </w:r>
      <w:r>
        <w:t>wa</w:t>
      </w:r>
      <w:r w:rsidRPr="005F651E">
        <w:t xml:space="preserve">s partitioned into discrete cohorts based on the year and month of event occurrence. </w:t>
      </w:r>
      <w:r w:rsidRPr="00A223B6">
        <w:t xml:space="preserve">A separate, independent CTGAN model </w:t>
      </w:r>
      <w:r w:rsidR="00DA2C03">
        <w:t>wa</w:t>
      </w:r>
      <w:r w:rsidRPr="00A223B6">
        <w:t xml:space="preserve">s then trained for each cohort whose </w:t>
      </w:r>
      <w:r w:rsidRPr="00172DD2">
        <w:t>training-split</w:t>
      </w:r>
      <w:r w:rsidRPr="00A223B6">
        <w:t xml:space="preserve"> sample size me</w:t>
      </w:r>
      <w:r w:rsidR="00DA2C03">
        <w:t>t</w:t>
      </w:r>
      <w:r w:rsidRPr="00A223B6">
        <w:t xml:space="preserve"> or exceed</w:t>
      </w:r>
      <w:r w:rsidR="00DA2C03">
        <w:t>ed</w:t>
      </w:r>
      <w:r w:rsidRPr="00A223B6">
        <w:t xml:space="preserve"> the configured batch-size threshold (i.e., </w:t>
      </w:r>
      <m:oMath>
        <m:r>
          <w:rPr>
            <w:rFonts w:ascii="Cambria Math" w:hAnsi="Cambria Math"/>
          </w:rPr>
          <m:t xml:space="preserve">n≥ 510 </m:t>
        </m:r>
      </m:oMath>
      <w:r w:rsidRPr="00A223B6">
        <w:t>under the default PAC-based batching strategy</w:t>
      </w:r>
      <w:r>
        <w:t>)</w:t>
      </w:r>
      <w:r w:rsidRPr="005F651E">
        <w:t xml:space="preserve">. </w:t>
      </w:r>
      <w:r w:rsidRPr="00513DA7">
        <w:t xml:space="preserve">Cohorts with fewer rows </w:t>
      </w:r>
      <w:r w:rsidR="0059502B">
        <w:t>w</w:t>
      </w:r>
      <w:r w:rsidR="008F5F32">
        <w:t>ere</w:t>
      </w:r>
      <w:r w:rsidRPr="00513DA7">
        <w:t xml:space="preserve"> skipped to ensure stable mini</w:t>
      </w:r>
      <w:r w:rsidR="00172DD2">
        <w:t>-</w:t>
      </w:r>
      <w:r w:rsidRPr="00513DA7">
        <w:t xml:space="preserve">batch dynamics under the </w:t>
      </w:r>
      <w:r w:rsidRPr="00172DD2">
        <w:rPr>
          <w:rFonts w:ascii="Courier New" w:hAnsi="Courier New" w:cs="Courier New"/>
        </w:rPr>
        <w:t>pac</w:t>
      </w:r>
      <w:r w:rsidRPr="00513DA7">
        <w:t xml:space="preserve"> setting</w:t>
      </w:r>
      <w:r>
        <w:t xml:space="preserve"> </w:t>
      </w:r>
      <w:r w:rsidRPr="004B5B6D">
        <w:t>and to prevent unstable discriminator behaviour during WGAN-GP training.</w:t>
      </w:r>
    </w:p>
    <w:p w14:paraId="120150EF" w14:textId="77777777" w:rsidR="00DB5099" w:rsidRDefault="00DB5099" w:rsidP="00DB5099">
      <w:pPr>
        <w:pStyle w:val="NoSpacing"/>
        <w:jc w:val="both"/>
      </w:pPr>
    </w:p>
    <w:p w14:paraId="578A975F" w14:textId="77C7D386" w:rsidR="00DB5099" w:rsidRPr="00A14187" w:rsidRDefault="00DB5099" w:rsidP="00DB5099">
      <w:pPr>
        <w:pStyle w:val="NoSpacing"/>
        <w:jc w:val="both"/>
        <w:rPr>
          <w:b/>
          <w:bCs/>
        </w:rPr>
      </w:pPr>
      <w:r w:rsidRPr="00A14187">
        <w:rPr>
          <w:b/>
          <w:bCs/>
        </w:rPr>
        <w:t>5 Reconstruction via Capacitated k-NN (CaNN) Assignment</w:t>
      </w:r>
    </w:p>
    <w:p w14:paraId="7ADDFA57" w14:textId="77777777" w:rsidR="00DB5099" w:rsidRDefault="00DB5099" w:rsidP="00DB5099">
      <w:pPr>
        <w:pStyle w:val="NoSpacing"/>
        <w:jc w:val="both"/>
      </w:pPr>
    </w:p>
    <w:p w14:paraId="30D9CBD9" w14:textId="2077307B" w:rsidR="00DB5099" w:rsidRDefault="00DB5099" w:rsidP="00DB5099">
      <w:pPr>
        <w:pStyle w:val="NoSpacing"/>
        <w:jc w:val="both"/>
      </w:pPr>
      <w:r>
        <w:t xml:space="preserve">After training, the cohort models </w:t>
      </w:r>
      <w:r w:rsidR="00C73C23">
        <w:t>were</w:t>
      </w:r>
      <w:r>
        <w:t xml:space="preserve"> sampled to generate a raw synthetic table containing synthetic tabular attributes (e.g., MCI category, offence, location types) and the 16-dimensional embedding vector, </w:t>
      </w:r>
      <m:oMath>
        <m:sSub>
          <m:sSubPr>
            <m:ctrlPr>
              <w:rPr>
                <w:rFonts w:ascii="Cambria Math" w:hAnsi="Cambria Math"/>
                <w:i/>
              </w:rPr>
            </m:ctrlPr>
          </m:sSubPr>
          <m:e>
            <m:r>
              <w:rPr>
                <w:rFonts w:ascii="Cambria Math" w:hAnsi="Cambria Math"/>
              </w:rPr>
              <m:t>v</m:t>
            </m:r>
          </m:e>
          <m:sub>
            <m:r>
              <w:rPr>
                <w:rFonts w:ascii="Cambria Math" w:hAnsi="Cambria Math"/>
              </w:rPr>
              <m:t>syn</m:t>
            </m:r>
          </m:sub>
        </m:sSub>
      </m:oMath>
      <w:r>
        <w:t>. The CaNN algorithm map</w:t>
      </w:r>
      <w:r w:rsidR="00C73C23">
        <w:t>ped</w:t>
      </w:r>
      <w:r>
        <w:t xml:space="preserve"> this latent vector back to a real-world segment identifier (</w:t>
      </w:r>
      <w:r w:rsidRPr="00C807E1">
        <w:rPr>
          <w:rFonts w:ascii="Courier New" w:hAnsi="Courier New" w:cs="Courier New"/>
        </w:rPr>
        <w:t>segment_id</w:t>
      </w:r>
      <w:r>
        <w:t>) by comparing the Euclidean distance (</w:t>
      </w:r>
      <m:oMath>
        <m:r>
          <w:rPr>
            <w:rFonts w:ascii="Cambria Math" w:hAnsi="Cambria Math"/>
          </w:rPr>
          <m:t>d</m:t>
        </m:r>
      </m:oMath>
      <w:r>
        <w:t xml:space="preserve">) between </w:t>
      </w:r>
      <m:oMath>
        <m:sSub>
          <m:sSubPr>
            <m:ctrlPr>
              <w:rPr>
                <w:rFonts w:ascii="Cambria Math" w:hAnsi="Cambria Math"/>
                <w:i/>
              </w:rPr>
            </m:ctrlPr>
          </m:sSubPr>
          <m:e>
            <m:r>
              <w:rPr>
                <w:rFonts w:ascii="Cambria Math" w:hAnsi="Cambria Math"/>
              </w:rPr>
              <m:t>v</m:t>
            </m:r>
          </m:e>
          <m:sub>
            <m:r>
              <w:rPr>
                <w:rFonts w:ascii="Cambria Math" w:hAnsi="Cambria Math"/>
              </w:rPr>
              <m:t>syn</m:t>
            </m:r>
          </m:sub>
        </m:sSub>
        <m:r>
          <w:rPr>
            <w:rFonts w:ascii="Cambria Math" w:hAnsi="Cambria Math"/>
          </w:rPr>
          <m:t xml:space="preserve"> </m:t>
        </m:r>
      </m:oMath>
      <w:r>
        <w:t xml:space="preserve">and each real segment's embedding vector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rFonts w:eastAsiaTheme="minorEastAsia"/>
        </w:rPr>
        <w:t xml:space="preserve"> in the training data.</w:t>
      </w:r>
      <w:r>
        <w:t xml:space="preserve"> </w:t>
      </w:r>
      <w:r w:rsidR="00A323B0" w:rsidRPr="00A323B0">
        <w:t>This comparison was conducted in the learned embedding space rather than physical coordinate space, enabling assignment of each synthetic event to the most topologically similar segment under segment-level capacity constraints</w:t>
      </w:r>
      <w:r w:rsidR="00A323B0">
        <w:t>.</w:t>
      </w:r>
      <w:r w:rsidR="00A323B0" w:rsidRPr="00A323B0">
        <w:t xml:space="preserve"> </w:t>
      </w:r>
      <w:r w:rsidR="00A323B0">
        <w:t>Hence, th</w:t>
      </w:r>
      <w:r w:rsidR="00080A10">
        <w:t>is</w:t>
      </w:r>
      <w:r w:rsidR="00A323B0">
        <w:t xml:space="preserve"> process preserved</w:t>
      </w:r>
      <w:r w:rsidR="00A323B0" w:rsidRPr="00A323B0">
        <w:t xml:space="preserve"> the empirical spatial distribution and allow</w:t>
      </w:r>
      <w:r w:rsidR="00A323B0">
        <w:t>ed</w:t>
      </w:r>
      <w:r w:rsidR="00A323B0" w:rsidRPr="00A323B0">
        <w:t xml:space="preserve"> reconstruction of final event locations.</w:t>
      </w:r>
    </w:p>
    <w:p w14:paraId="2E6E2192" w14:textId="77777777" w:rsidR="00DB5099" w:rsidRDefault="00DB5099" w:rsidP="00DB5099">
      <w:pPr>
        <w:pStyle w:val="NoSpacing"/>
        <w:jc w:val="both"/>
      </w:pPr>
    </w:p>
    <w:p w14:paraId="520A9A6E" w14:textId="480AA448" w:rsidR="00DB5099" w:rsidRPr="00866474" w:rsidRDefault="00DB5099" w:rsidP="00DB5099">
      <w:pPr>
        <w:pStyle w:val="NoSpacing"/>
        <w:jc w:val="both"/>
        <w:rPr>
          <w:b/>
          <w:bCs/>
        </w:rPr>
      </w:pPr>
      <w:r w:rsidRPr="00866474">
        <w:rPr>
          <w:b/>
          <w:bCs/>
        </w:rPr>
        <w:t>5.1 Define Segment Capacities</w:t>
      </w:r>
    </w:p>
    <w:p w14:paraId="7BD3573B" w14:textId="77777777" w:rsidR="00DB5099" w:rsidRDefault="00DB5099" w:rsidP="00DB5099">
      <w:pPr>
        <w:pStyle w:val="NoSpacing"/>
        <w:jc w:val="both"/>
      </w:pPr>
    </w:p>
    <w:p w14:paraId="75C67A80" w14:textId="5FF2FFA4" w:rsidR="00DB5099" w:rsidRDefault="00DB5099" w:rsidP="00DB5099">
      <w:pPr>
        <w:pStyle w:val="NoSpacing"/>
        <w:jc w:val="both"/>
      </w:pPr>
      <w:r>
        <w:t xml:space="preserve">To preserve the spatial distribution of real events in the synthetic dataset, a capacity constraint </w:t>
      </w:r>
      <w:r w:rsidR="00080A10">
        <w:t>was</w:t>
      </w:r>
      <w:r>
        <w:t xml:space="preserve"> defined for each road segment (</w:t>
      </w:r>
      <w:r w:rsidRPr="00C807E1">
        <w:rPr>
          <w:rFonts w:ascii="Courier New" w:hAnsi="Courier New" w:cs="Courier New"/>
        </w:rPr>
        <w:t>segment_id</w:t>
      </w:r>
      <w:r>
        <w:t xml:space="preserve">). The real, snapped event data </w:t>
      </w:r>
      <w:r w:rsidR="00D7793C">
        <w:t>were</w:t>
      </w:r>
      <w:r>
        <w:t xml:space="preserve"> first grouped by temporal cohort (for example, "</w:t>
      </w:r>
      <w:r w:rsidRPr="00D7793C">
        <w:rPr>
          <w:rFonts w:ascii="Courier New" w:hAnsi="Courier New" w:cs="Courier New"/>
        </w:rPr>
        <w:t>2023_01</w:t>
      </w:r>
      <w:r>
        <w:t xml:space="preserve">"). Within each </w:t>
      </w:r>
      <w:r w:rsidRPr="00AC6022">
        <w:t>Year‑Month</w:t>
      </w:r>
      <w:r>
        <w:t xml:space="preserve"> cohort, the number of events per segment </w:t>
      </w:r>
      <w:r w:rsidR="00400F1A">
        <w:t>wa</w:t>
      </w:r>
      <w:r>
        <w:t xml:space="preserve">s counted. These counts </w:t>
      </w:r>
      <w:r w:rsidR="00400F1A">
        <w:t>we</w:t>
      </w:r>
      <w:r>
        <w:t xml:space="preserve">re further stratified by a selected categorical variable, major crime type (defined by </w:t>
      </w:r>
      <w:r w:rsidRPr="00C807E1">
        <w:rPr>
          <w:rFonts w:ascii="Courier New" w:hAnsi="Courier New" w:cs="Courier New"/>
        </w:rPr>
        <w:t>CAPACITY_STRAT_COLS</w:t>
      </w:r>
      <w:r>
        <w:t>). This stratification create</w:t>
      </w:r>
      <w:r w:rsidR="00400F1A">
        <w:t>d</w:t>
      </w:r>
      <w:r>
        <w:t xml:space="preserve"> a highly granular segment-level capacity indicator. For instance, a given segment might contain five 'Assault' and two 'Robbery' events in January 2023. Further stratifications can be made if required, for example, by major crime type and then the location type (e.g., commercial and residential). </w:t>
      </w:r>
    </w:p>
    <w:p w14:paraId="5A567B4E" w14:textId="77777777" w:rsidR="00DB5099" w:rsidRDefault="00DB5099" w:rsidP="00DB5099">
      <w:pPr>
        <w:pStyle w:val="NoSpacing"/>
        <w:jc w:val="both"/>
      </w:pPr>
    </w:p>
    <w:p w14:paraId="42C55473" w14:textId="2FF43035" w:rsidR="00DB5099" w:rsidRDefault="00DB5099" w:rsidP="00DB5099">
      <w:pPr>
        <w:pStyle w:val="NoSpacing"/>
        <w:jc w:val="both"/>
      </w:pPr>
      <w:r w:rsidRPr="00015CE7">
        <w:lastRenderedPageBreak/>
        <w:t xml:space="preserve">A custom helper function, </w:t>
      </w:r>
      <w:r w:rsidRPr="00FF25B2">
        <w:rPr>
          <w:rFonts w:ascii="Courier New" w:hAnsi="Courier New" w:cs="Courier New"/>
        </w:rPr>
        <w:t>make_capacities</w:t>
      </w:r>
      <w:r w:rsidRPr="00015CE7">
        <w:t xml:space="preserve">, </w:t>
      </w:r>
      <w:r w:rsidR="007B67C8">
        <w:t>wa</w:t>
      </w:r>
      <w:r w:rsidRPr="00015CE7">
        <w:t>s defined to scale these segment-level counts by the sampling factor (</w:t>
      </w:r>
      <w:r w:rsidRPr="00FF25B2">
        <w:rPr>
          <w:rFonts w:ascii="Courier New" w:hAnsi="Courier New" w:cs="Courier New"/>
        </w:rPr>
        <w:t>SAMPLE_FACTOR</w:t>
      </w:r>
      <w:r w:rsidRPr="00015CE7">
        <w:t xml:space="preserve">, set to 1.0 in this study) and to apply </w:t>
      </w:r>
      <w:r w:rsidR="007B67C8">
        <w:t>stochastic rounding</w:t>
      </w:r>
      <w:r w:rsidRPr="00015CE7">
        <w:t>. This ensure</w:t>
      </w:r>
      <w:r w:rsidR="007B67C8">
        <w:t>d</w:t>
      </w:r>
      <w:r w:rsidRPr="00015CE7">
        <w:t xml:space="preserve"> that the synthetic sample size for each cohort</w:t>
      </w:r>
      <w:r w:rsidR="00AF39A8">
        <w:t>-</w:t>
      </w:r>
      <w:r w:rsidRPr="00015CE7">
        <w:t>stratum combination matche</w:t>
      </w:r>
      <w:r w:rsidR="007B67C8">
        <w:t>d</w:t>
      </w:r>
      <w:r w:rsidRPr="00015CE7">
        <w:t xml:space="preserve"> the real distribution</w:t>
      </w:r>
      <w:r>
        <w:t xml:space="preserve">. </w:t>
      </w:r>
      <w:r w:rsidRPr="00960596">
        <w:t>Furthermore, to strictly enforce these capacities, we implement</w:t>
      </w:r>
      <w:r w:rsidR="007B67C8">
        <w:t>ed</w:t>
      </w:r>
      <w:r w:rsidRPr="00960596">
        <w:t xml:space="preserve"> a post-hoc marginal enforcement step. If the generative model under</w:t>
      </w:r>
      <w:r w:rsidR="007B67C8">
        <w:t>sampled or oversampled specific categorical stratifications due to sampling noise, the algorithm relabelled or re</w:t>
      </w:r>
      <w:r w:rsidRPr="00960596">
        <w:t>sample</w:t>
      </w:r>
      <w:r w:rsidR="007B67C8">
        <w:t>d</w:t>
      </w:r>
      <w:r w:rsidRPr="00960596">
        <w:t xml:space="preserve"> the synthetic output to strictly align with the target capacity counts prior to spatial assignment.</w:t>
      </w:r>
      <w:r w:rsidRPr="00015CE7">
        <w:t xml:space="preserve"> </w:t>
      </w:r>
      <w:r>
        <w:t>This maintain</w:t>
      </w:r>
      <w:r w:rsidR="00A96956">
        <w:t>ed</w:t>
      </w:r>
      <w:r w:rsidRPr="00015CE7">
        <w:t xml:space="preserve"> spatial fidelity and </w:t>
      </w:r>
      <w:r>
        <w:t>mitigate</w:t>
      </w:r>
      <w:r w:rsidR="00A96956">
        <w:t>d</w:t>
      </w:r>
      <w:r w:rsidRPr="00015CE7">
        <w:t xml:space="preserve"> distributional imbalances during data generation (</w:t>
      </w:r>
      <w:r w:rsidR="00A759A5">
        <w:t>e.g., mode imbalance, spatial bias, and sample-</w:t>
      </w:r>
      <w:r w:rsidRPr="00015CE7">
        <w:t>size drift).</w:t>
      </w:r>
      <w:r>
        <w:t xml:space="preserve"> </w:t>
      </w:r>
      <w:r w:rsidRPr="0046392B">
        <w:t xml:space="preserve">All capacity calculations </w:t>
      </w:r>
      <w:r w:rsidR="00A96956">
        <w:t>were</w:t>
      </w:r>
      <w:r w:rsidRPr="0046392B">
        <w:t xml:space="preserve"> performed using only the real </w:t>
      </w:r>
      <w:r w:rsidR="00A759A5">
        <w:t>train</w:t>
      </w:r>
      <w:r w:rsidRPr="0046392B">
        <w:t xml:space="preserve"> split to prevent information leakage.</w:t>
      </w:r>
    </w:p>
    <w:p w14:paraId="274595F2" w14:textId="77777777" w:rsidR="00DB5099" w:rsidRDefault="00DB5099" w:rsidP="00DB5099">
      <w:pPr>
        <w:pStyle w:val="NoSpacing"/>
        <w:jc w:val="both"/>
      </w:pPr>
    </w:p>
    <w:p w14:paraId="33963A69" w14:textId="5B4D2782" w:rsidR="00DB5099" w:rsidRPr="00694C8A" w:rsidRDefault="00DB5099" w:rsidP="00DB5099">
      <w:pPr>
        <w:pStyle w:val="NoSpacing"/>
        <w:jc w:val="both"/>
        <w:rPr>
          <w:b/>
          <w:bCs/>
        </w:rPr>
      </w:pPr>
      <w:r w:rsidRPr="00694C8A">
        <w:rPr>
          <w:b/>
          <w:bCs/>
        </w:rPr>
        <w:t>5.2 Build</w:t>
      </w:r>
      <w:r>
        <w:rPr>
          <w:b/>
          <w:bCs/>
        </w:rPr>
        <w:t>ing</w:t>
      </w:r>
      <w:r w:rsidRPr="00694C8A">
        <w:rPr>
          <w:b/>
          <w:bCs/>
        </w:rPr>
        <w:t xml:space="preserve"> the </w:t>
      </w:r>
      <w:r w:rsidRPr="00085E12">
        <w:rPr>
          <w:b/>
          <w:bCs/>
          <w:i/>
          <w:iCs/>
        </w:rPr>
        <w:t>k</w:t>
      </w:r>
      <w:r w:rsidRPr="00694C8A">
        <w:rPr>
          <w:b/>
          <w:bCs/>
        </w:rPr>
        <w:t>-NN Index</w:t>
      </w:r>
    </w:p>
    <w:p w14:paraId="254B8B4A" w14:textId="77777777" w:rsidR="00DB5099" w:rsidRDefault="00DB5099" w:rsidP="00DB5099">
      <w:pPr>
        <w:pStyle w:val="NoSpacing"/>
        <w:jc w:val="both"/>
      </w:pPr>
    </w:p>
    <w:p w14:paraId="3EEC119C" w14:textId="2F44DD98" w:rsidR="00DB5099" w:rsidRDefault="00FE7691" w:rsidP="00DB5099">
      <w:pPr>
        <w:pStyle w:val="NoSpacing"/>
        <w:jc w:val="both"/>
      </w:pPr>
      <w:r w:rsidRPr="00FE7691">
        <w:t>A nearest-neighbour search index was constructed to efficiently identify spatially similar segments in the embedding space. This index was built using scikit-learn</w:t>
      </w:r>
      <w:r w:rsidR="00051D05">
        <w:t>'</w:t>
      </w:r>
      <w:r w:rsidRPr="00FE7691">
        <w:t>s NearestNeighbors implementation (</w:t>
      </w:r>
      <w:r w:rsidRPr="00FE7691">
        <w:rPr>
          <w:rFonts w:ascii="Courier New" w:hAnsi="Courier New" w:cs="Courier New"/>
        </w:rPr>
        <w:t>sklearn.neighbors.NearestNeighbors</w:t>
      </w:r>
      <w:r w:rsidRPr="0094074F">
        <w:rPr>
          <w:rFonts w:cs="Times New Roman"/>
        </w:rPr>
        <w:t>,</w:t>
      </w:r>
      <w:r w:rsidRPr="00FE7691">
        <w:rPr>
          <w:rFonts w:ascii="Courier New" w:hAnsi="Courier New" w:cs="Courier New"/>
        </w:rPr>
        <w:t xml:space="preserve"> algorithm='auto'</w:t>
      </w:r>
      <w:r w:rsidRPr="00FE7691">
        <w:t>) on the 16-dimensional real segment embeddings. The algorithm automatically selected an appropriate search strategy</w:t>
      </w:r>
      <w:r w:rsidR="0094074F">
        <w:t xml:space="preserve"> (</w:t>
      </w:r>
      <w:r w:rsidR="00F65F24">
        <w:t>e.g., KD-Tree)</w:t>
      </w:r>
      <w:r w:rsidRPr="00FE7691">
        <w:t xml:space="preserve"> based on data dimensionality and size. The index enabled rapid retrieval of the most relevant segments for any synthetic embedding based on geometric proximity in the learned feature space.</w:t>
      </w:r>
    </w:p>
    <w:p w14:paraId="7FAE091C" w14:textId="77777777" w:rsidR="00FE7691" w:rsidRDefault="00FE7691" w:rsidP="00DB5099">
      <w:pPr>
        <w:pStyle w:val="NoSpacing"/>
        <w:jc w:val="both"/>
      </w:pPr>
    </w:p>
    <w:p w14:paraId="368CA11C" w14:textId="39F19FC3" w:rsidR="00DB5099" w:rsidRDefault="00DB5099" w:rsidP="00DB5099">
      <w:pPr>
        <w:pStyle w:val="NoSpacing"/>
        <w:jc w:val="both"/>
        <w:rPr>
          <w:b/>
          <w:bCs/>
        </w:rPr>
      </w:pPr>
      <w:r w:rsidRPr="00694C8A">
        <w:rPr>
          <w:b/>
          <w:bCs/>
        </w:rPr>
        <w:t>5.</w:t>
      </w:r>
      <w:r>
        <w:rPr>
          <w:b/>
          <w:bCs/>
        </w:rPr>
        <w:t xml:space="preserve">3 </w:t>
      </w:r>
      <w:r w:rsidRPr="00BB69C9">
        <w:rPr>
          <w:b/>
          <w:bCs/>
        </w:rPr>
        <w:t>The CaNN Assignment Algorithm</w:t>
      </w:r>
    </w:p>
    <w:p w14:paraId="4C0D7023" w14:textId="77777777" w:rsidR="00DB5099" w:rsidRDefault="00DB5099" w:rsidP="00DB5099">
      <w:pPr>
        <w:pStyle w:val="NoSpacing"/>
        <w:jc w:val="both"/>
        <w:rPr>
          <w:b/>
          <w:bCs/>
        </w:rPr>
      </w:pPr>
    </w:p>
    <w:p w14:paraId="3A93C02A" w14:textId="570B5CDD" w:rsidR="00DB5099" w:rsidRDefault="00DB5099" w:rsidP="00DB5099">
      <w:pPr>
        <w:pStyle w:val="NoSpacing"/>
        <w:jc w:val="both"/>
      </w:pPr>
      <w:r>
        <w:t>The segment assignment procedure (</w:t>
      </w:r>
      <w:r w:rsidRPr="00151608">
        <w:rPr>
          <w:rFonts w:ascii="Courier New" w:hAnsi="Courier New" w:cs="Courier New"/>
        </w:rPr>
        <w:t>assign_segments_capkNN</w:t>
      </w:r>
      <w:r>
        <w:t>) determine</w:t>
      </w:r>
      <w:r w:rsidR="000D7425">
        <w:t>d</w:t>
      </w:r>
      <w:r>
        <w:t xml:space="preserve"> the spatial placement of each synthetic event based on its learned embedding. This </w:t>
      </w:r>
      <w:r w:rsidR="000D7425">
        <w:t>wa</w:t>
      </w:r>
      <w:r>
        <w:t>s implemented as follows:</w:t>
      </w:r>
    </w:p>
    <w:p w14:paraId="513FCFBE" w14:textId="77777777" w:rsidR="00DB5099" w:rsidRDefault="00DB5099" w:rsidP="00DB5099">
      <w:pPr>
        <w:pStyle w:val="NoSpacing"/>
        <w:jc w:val="both"/>
      </w:pPr>
    </w:p>
    <w:p w14:paraId="1811869D" w14:textId="3FBF85AA" w:rsidR="00DB5099" w:rsidRDefault="00DB5099" w:rsidP="00DB5099">
      <w:pPr>
        <w:pStyle w:val="NoSpacing"/>
        <w:jc w:val="both"/>
      </w:pPr>
      <w:r>
        <w:t>(i) Nearest-Neighbo</w:t>
      </w:r>
      <w:r w:rsidR="00151608">
        <w:t>u</w:t>
      </w:r>
      <w:r>
        <w:t xml:space="preserve">r </w:t>
      </w:r>
      <w:r w:rsidR="00015EB4">
        <w:t>s</w:t>
      </w:r>
      <w:r>
        <w:t>earch: Each synthetic embedding searche</w:t>
      </w:r>
      <w:r w:rsidR="00F02FBA">
        <w:t>d</w:t>
      </w:r>
      <w:r>
        <w:t xml:space="preserve"> for its </w:t>
      </w:r>
      <w:r w:rsidRPr="003E2DEF">
        <w:rPr>
          <w:i/>
          <w:iCs/>
        </w:rPr>
        <w:t>k</w:t>
      </w:r>
      <w:r>
        <w:t xml:space="preserve"> nearest real segment embeddings using a </w:t>
      </w:r>
      <w:r w:rsidRPr="00677F48">
        <w:t>progressive nearest-neighbo</w:t>
      </w:r>
      <w:r w:rsidR="00151608">
        <w:t>u</w:t>
      </w:r>
      <w:r w:rsidRPr="00677F48">
        <w:t>r expansion.</w:t>
      </w:r>
      <w:r>
        <w:t xml:space="preserve"> The search beg</w:t>
      </w:r>
      <w:r w:rsidR="00F02FBA">
        <w:t>an</w:t>
      </w:r>
      <w:r>
        <w:t xml:space="preserve"> with </w:t>
      </w:r>
      <w:r w:rsidRPr="00502593">
        <w:rPr>
          <w:rFonts w:ascii="Courier New" w:hAnsi="Courier New" w:cs="Courier New"/>
        </w:rPr>
        <w:t>K0_NEIGHBORS</w:t>
      </w:r>
      <w:r>
        <w:t xml:space="preserve"> = 16</w:t>
      </w:r>
      <w:r w:rsidR="00502593">
        <w:t xml:space="preserve"> and expands to </w:t>
      </w:r>
      <w:r w:rsidR="00502593" w:rsidRPr="00502593">
        <w:rPr>
          <w:rFonts w:ascii="Courier New" w:hAnsi="Courier New" w:cs="Courier New"/>
        </w:rPr>
        <w:t>KMAX_NEIGHBORS</w:t>
      </w:r>
      <w:r w:rsidR="00502593">
        <w:t xml:space="preserve"> = 128 only if needed (e.g., when nearby segments have exhausted their capacity</w:t>
      </w:r>
      <w:r w:rsidRPr="00471919">
        <w:t>)</w:t>
      </w:r>
      <w:r>
        <w:t>. This progressive search ensure</w:t>
      </w:r>
      <w:r w:rsidR="00F02FBA">
        <w:t>d</w:t>
      </w:r>
      <w:r>
        <w:t xml:space="preserve"> that every synthetic record </w:t>
      </w:r>
      <w:r w:rsidR="00F02FBA">
        <w:t>could</w:t>
      </w:r>
      <w:r>
        <w:t xml:space="preserve"> be matched, even when nearby segments reach</w:t>
      </w:r>
      <w:r w:rsidR="00F02FBA">
        <w:t>ed</w:t>
      </w:r>
      <w:r>
        <w:t xml:space="preserve"> </w:t>
      </w:r>
      <w:r w:rsidR="00F02FBA">
        <w:t>capacity limits due to sampling noise, cohort conditioning, and the stochastic assignment of</w:t>
      </w:r>
      <w:r>
        <w:t xml:space="preserve"> synthetic embeddings to events.</w:t>
      </w:r>
    </w:p>
    <w:p w14:paraId="7365FFA9" w14:textId="77777777" w:rsidR="00DB5099" w:rsidRDefault="00DB5099" w:rsidP="00DB5099">
      <w:pPr>
        <w:pStyle w:val="NoSpacing"/>
        <w:jc w:val="both"/>
      </w:pPr>
    </w:p>
    <w:p w14:paraId="2B0DF34D" w14:textId="36C11513" w:rsidR="00DB5099" w:rsidRDefault="00DB5099" w:rsidP="00DB5099">
      <w:pPr>
        <w:pStyle w:val="NoSpacing"/>
        <w:jc w:val="both"/>
      </w:pPr>
      <w:r>
        <w:t xml:space="preserve">(ii) Softmax </w:t>
      </w:r>
      <w:r w:rsidR="00015EB4">
        <w:t>p</w:t>
      </w:r>
      <w:r>
        <w:t xml:space="preserve">robability </w:t>
      </w:r>
      <w:r w:rsidR="00015EB4">
        <w:t>w</w:t>
      </w:r>
      <w:r>
        <w:t>eighting: Instead of assigning to the single nearest neighbour, which can cause spatial mode collapse, segment selection probabilities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eastAsiaTheme="minorEastAsia" w:hAnsi="Cambria Math"/>
          </w:rPr>
          <m:t>)</m:t>
        </m:r>
      </m:oMath>
      <w:r>
        <w:t xml:space="preserve"> </w:t>
      </w:r>
      <w:r w:rsidR="0072430D">
        <w:t>were</w:t>
      </w:r>
      <w:r>
        <w:t xml:space="preserve"> computed using a </w:t>
      </w:r>
      <w:r w:rsidRPr="001152EC">
        <w:t>softmax kernel applied to squared Euclidean distances</w:t>
      </w:r>
      <w:r w:rsidR="0099354F">
        <w:t xml:space="preserve"> </w:t>
      </w:r>
      <w:r w:rsidR="0099354F">
        <w:fldChar w:fldCharType="begin"/>
      </w:r>
      <w:r w:rsidR="00720F22">
        <w:instrText xml:space="preserve"> ADDIN EN.CITE &lt;EndNote&gt;&lt;Cite&gt;&lt;Author&gt;Goldberger&lt;/Author&gt;&lt;Year&gt;2004&lt;/Year&gt;&lt;RecNum&gt;11356&lt;/RecNum&gt;&lt;DisplayText&gt;&lt;style face="superscript"&gt;11&lt;/style&gt;&lt;/DisplayText&gt;&lt;record&gt;&lt;rec-number&gt;11356&lt;/rec-number&gt;&lt;foreign-keys&gt;&lt;key app="EN" db-id="ded9vtpt1d2wvmex2x0pddz9raws90dfwftf" timestamp="1764551429"&gt;11356&lt;/key&gt;&lt;/foreign-keys&gt;&lt;ref-type name="Journal Article"&gt;17&lt;/ref-type&gt;&lt;contributors&gt;&lt;authors&gt;&lt;author&gt;Goldberger, Jacob&lt;/author&gt;&lt;author&gt;Hinton, Geoffrey E&lt;/author&gt;&lt;author&gt;Roweis, Sam&lt;/author&gt;&lt;author&gt;Salakhutdinov, Russ R&lt;/author&gt;&lt;/authors&gt;&lt;/contributors&gt;&lt;titles&gt;&lt;title&gt;Neighbourhood components analysis&lt;/title&gt;&lt;secondary-title&gt;Advances in neural information processing systems&lt;/secondary-title&gt;&lt;/titles&gt;&lt;periodical&gt;&lt;full-title&gt;Advances in Neural Information Processing Systems&lt;/full-title&gt;&lt;abbr-1&gt;Adv. Neural Inf. Process. Syst.&lt;/abbr-1&gt;&lt;abbr-2&gt;Adv Neural Inf Process Syst&lt;/abbr-2&gt;&lt;/periodical&gt;&lt;volume&gt;17&lt;/volume&gt;&lt;dates&gt;&lt;year&gt;2004&lt;/year&gt;&lt;/dates&gt;&lt;urls&gt;&lt;/urls&gt;&lt;/record&gt;&lt;/Cite&gt;&lt;/EndNote&gt;</w:instrText>
      </w:r>
      <w:r w:rsidR="0099354F">
        <w:fldChar w:fldCharType="separate"/>
      </w:r>
      <w:r w:rsidR="00720F22" w:rsidRPr="00720F22">
        <w:rPr>
          <w:noProof/>
          <w:vertAlign w:val="superscript"/>
        </w:rPr>
        <w:t>11</w:t>
      </w:r>
      <w:r w:rsidR="0099354F">
        <w:fldChar w:fldCharType="end"/>
      </w:r>
      <w:r>
        <w:t>, as defined by the equation below:</w:t>
      </w:r>
    </w:p>
    <w:p w14:paraId="513BA305" w14:textId="77777777" w:rsidR="00DB5099" w:rsidRDefault="00DB5099" w:rsidP="00DB5099">
      <w:pPr>
        <w:pStyle w:val="NoSpacing"/>
        <w:jc w:val="both"/>
      </w:pPr>
    </w:p>
    <w:p w14:paraId="77E9CCAE" w14:textId="77777777" w:rsidR="00DB5099" w:rsidRDefault="00000000" w:rsidP="00DB5099">
      <w:pPr>
        <w:pStyle w:val="NoSpacing"/>
        <w:jc w:val="center"/>
      </w:pPr>
      <m:oMathPara>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exp</m:t>
                  </m:r>
                </m:fName>
                <m:e>
                  <m:r>
                    <w:rPr>
                      <w:rFonts w:ascii="Cambria Math" w:hAnsi="Cambria Math"/>
                    </w:rPr>
                    <m:t xml:space="preserve"> (-d (</m:t>
                  </m:r>
                  <m:sSub>
                    <m:sSubPr>
                      <m:ctrlPr>
                        <w:rPr>
                          <w:rFonts w:ascii="Cambria Math" w:hAnsi="Cambria Math"/>
                          <w:i/>
                        </w:rPr>
                      </m:ctrlPr>
                    </m:sSubPr>
                    <m:e>
                      <m:r>
                        <w:rPr>
                          <w:rFonts w:ascii="Cambria Math" w:hAnsi="Cambria Math"/>
                        </w:rPr>
                        <m:t>v</m:t>
                      </m:r>
                    </m:e>
                    <m:sub>
                      <m:r>
                        <w:rPr>
                          <w:rFonts w:ascii="Cambria Math" w:hAnsi="Cambria Math"/>
                        </w:rPr>
                        <m:t>syn</m:t>
                      </m:r>
                    </m:sub>
                  </m:sSub>
                  <m:r>
                    <w:rPr>
                      <w:rFonts w:ascii="Cambria Math" w:hAnsi="Cambria Math"/>
                    </w:rPr>
                    <m:t>,</m:t>
                  </m:r>
                </m:e>
              </m:func>
              <m:sSub>
                <m:sSubPr>
                  <m:ctrlPr>
                    <w:rPr>
                      <w:rFonts w:ascii="Cambria Math" w:hAnsi="Cambria Math"/>
                      <w:i/>
                    </w:rPr>
                  </m:ctrlPr>
                </m:sSubPr>
                <m:e>
                  <m:r>
                    <w:rPr>
                      <w:rFonts w:ascii="Cambria Math" w:hAnsi="Cambria Math"/>
                    </w:rPr>
                    <m:t>v</m:t>
                  </m:r>
                </m:e>
                <m:sub>
                  <m:r>
                    <w:rPr>
                      <w:rFonts w:ascii="Cambria Math" w:hAnsi="Cambria Math"/>
                    </w:rPr>
                    <m:t>i</m:t>
                  </m:r>
                </m:sub>
              </m:sSub>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/τ)</m:t>
              </m:r>
            </m:num>
            <m:den>
              <m:nary>
                <m:naryPr>
                  <m:chr m:val="∑"/>
                  <m:limLoc m:val="subSup"/>
                  <m:supHide m:val="1"/>
                  <m:ctrlPr>
                    <w:rPr>
                      <w:rFonts w:ascii="Cambria Math" w:hAnsi="Cambria Math"/>
                      <w:i/>
                    </w:rPr>
                  </m:ctrlPr>
                </m:naryPr>
                <m:sub>
                  <m:r>
                    <w:rPr>
                      <w:rFonts w:ascii="Cambria Math" w:hAnsi="Cambria Math"/>
                    </w:rPr>
                    <m:t>j</m:t>
                  </m:r>
                </m:sub>
                <m:sup/>
                <m:e>
                  <m:func>
                    <m:funcPr>
                      <m:ctrlPr>
                        <w:rPr>
                          <w:rFonts w:ascii="Cambria Math" w:hAnsi="Cambria Math"/>
                          <w:i/>
                        </w:rPr>
                      </m:ctrlPr>
                    </m:funcPr>
                    <m:fName>
                      <m:r>
                        <m:rPr>
                          <m:sty m:val="p"/>
                        </m:rPr>
                        <w:rPr>
                          <w:rFonts w:ascii="Cambria Math" w:hAnsi="Cambria Math"/>
                        </w:rPr>
                        <m:t>exp</m:t>
                      </m:r>
                    </m:fName>
                    <m:e>
                      <m:r>
                        <w:rPr>
                          <w:rFonts w:ascii="Cambria Math" w:hAnsi="Cambria Math"/>
                        </w:rPr>
                        <m:t xml:space="preserve"> (-d (</m:t>
                      </m:r>
                      <m:sSub>
                        <m:sSubPr>
                          <m:ctrlPr>
                            <w:rPr>
                              <w:rFonts w:ascii="Cambria Math" w:hAnsi="Cambria Math"/>
                              <w:i/>
                            </w:rPr>
                          </m:ctrlPr>
                        </m:sSubPr>
                        <m:e>
                          <m:r>
                            <w:rPr>
                              <w:rFonts w:ascii="Cambria Math" w:hAnsi="Cambria Math"/>
                            </w:rPr>
                            <m:t>v</m:t>
                          </m:r>
                        </m:e>
                        <m:sub>
                          <m:r>
                            <w:rPr>
                              <w:rFonts w:ascii="Cambria Math" w:hAnsi="Cambria Math"/>
                            </w:rPr>
                            <m:t>syn</m:t>
                          </m:r>
                        </m:sub>
                      </m:sSub>
                      <m:r>
                        <w:rPr>
                          <w:rFonts w:ascii="Cambria Math" w:hAnsi="Cambria Math"/>
                        </w:rPr>
                        <m:t>,</m:t>
                      </m:r>
                    </m:e>
                  </m:func>
                  <m:sSub>
                    <m:sSubPr>
                      <m:ctrlPr>
                        <w:rPr>
                          <w:rFonts w:ascii="Cambria Math" w:hAnsi="Cambria Math"/>
                          <w:i/>
                        </w:rPr>
                      </m:ctrlPr>
                    </m:sSubPr>
                    <m:e>
                      <m:r>
                        <w:rPr>
                          <w:rFonts w:ascii="Cambria Math" w:hAnsi="Cambria Math"/>
                        </w:rPr>
                        <m:t>v</m:t>
                      </m:r>
                    </m:e>
                    <m:sub>
                      <m:r>
                        <w:rPr>
                          <w:rFonts w:ascii="Cambria Math" w:hAnsi="Cambria Math"/>
                        </w:rPr>
                        <m:t>j</m:t>
                      </m:r>
                    </m:sub>
                  </m:sSub>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m:t>
                  </m:r>
                </m:e>
              </m:nary>
              <m:r>
                <w:rPr>
                  <w:rFonts w:ascii="Cambria Math" w:hAnsi="Cambria Math"/>
                </w:rPr>
                <m:t>τ)</m:t>
              </m:r>
            </m:den>
          </m:f>
        </m:oMath>
      </m:oMathPara>
    </w:p>
    <w:p w14:paraId="5F5E358E" w14:textId="77777777" w:rsidR="00DB5099" w:rsidRDefault="00DB5099" w:rsidP="00DB5099">
      <w:pPr>
        <w:pStyle w:val="NoSpacing"/>
        <w:jc w:val="both"/>
      </w:pPr>
    </w:p>
    <w:p w14:paraId="5DFBD05F" w14:textId="77777777" w:rsidR="00A24DA1" w:rsidRDefault="00DB5099" w:rsidP="00A24DA1">
      <w:pPr>
        <w:pStyle w:val="NoSpacing"/>
        <w:jc w:val="both"/>
        <w:rPr>
          <w:rFonts w:eastAsiaTheme="minorEastAsia"/>
        </w:rPr>
      </w:pPr>
      <w:r>
        <w:t xml:space="preserve">Here, </w:t>
      </w:r>
    </w:p>
    <w:p w14:paraId="51251330" w14:textId="547EC5E3" w:rsidR="00DB5099" w:rsidRDefault="00000000" w:rsidP="00A24DA1">
      <w:pPr>
        <w:pStyle w:val="NoSpacing"/>
        <w:jc w:val="both"/>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DB5099">
        <w:rPr>
          <w:rFonts w:eastAsiaTheme="minorEastAsia"/>
        </w:rPr>
        <w:t xml:space="preserve"> </w:t>
      </w:r>
      <w:r w:rsidR="002C33BC">
        <w:rPr>
          <w:rFonts w:eastAsiaTheme="minorEastAsia"/>
        </w:rPr>
        <w:t>:</w:t>
      </w:r>
      <w:r w:rsidR="00DB5099">
        <w:rPr>
          <w:rFonts w:eastAsiaTheme="minorEastAsia"/>
        </w:rPr>
        <w:t xml:space="preserve"> </w:t>
      </w:r>
      <w:r w:rsidR="00A24DA1">
        <w:rPr>
          <w:rFonts w:eastAsiaTheme="minorEastAsia"/>
        </w:rPr>
        <w:t xml:space="preserve">the </w:t>
      </w:r>
      <w:r w:rsidR="00DB5099">
        <w:rPr>
          <w:rFonts w:eastAsiaTheme="minorEastAsia"/>
        </w:rPr>
        <w:t>n</w:t>
      </w:r>
      <w:r w:rsidR="00DB5099" w:rsidRPr="003D0645">
        <w:rPr>
          <w:rFonts w:eastAsiaTheme="minorEastAsia"/>
        </w:rPr>
        <w:t xml:space="preserve">ormalized probability that a given synthetic event </w:t>
      </w:r>
      <w:r w:rsidR="00A24DA1">
        <w:rPr>
          <w:rFonts w:eastAsiaTheme="minorEastAsia"/>
        </w:rPr>
        <w:t>would</w:t>
      </w:r>
      <w:r w:rsidR="00DB5099" w:rsidRPr="003D0645">
        <w:rPr>
          <w:rFonts w:eastAsiaTheme="minorEastAsia"/>
        </w:rPr>
        <w:t xml:space="preserve"> be assigned to segment</w:t>
      </w:r>
      <w:r w:rsidR="00A24DA1">
        <w:rPr>
          <w:rFonts w:eastAsiaTheme="minorEastAsia"/>
        </w:rPr>
        <w:t xml:space="preserve"> </w:t>
      </w:r>
      <w:r w:rsidR="00DB5099" w:rsidRPr="003D0645">
        <w:rPr>
          <w:rFonts w:eastAsiaTheme="minorEastAsia"/>
          <w:i/>
          <w:iCs/>
        </w:rPr>
        <w:t>i</w:t>
      </w:r>
      <w:r w:rsidR="00DB5099" w:rsidRPr="003D0645">
        <w:rPr>
          <w:rFonts w:eastAsiaTheme="minorEastAsia"/>
        </w:rPr>
        <w:t xml:space="preserve">. Larger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DB5099">
        <w:rPr>
          <w:rFonts w:eastAsiaTheme="minorEastAsia"/>
        </w:rPr>
        <w:t xml:space="preserve"> </w:t>
      </w:r>
      <w:r w:rsidR="004C5FEE">
        <w:rPr>
          <w:rFonts w:eastAsiaTheme="minorEastAsia"/>
        </w:rPr>
        <w:t xml:space="preserve">would </w:t>
      </w:r>
      <w:r w:rsidR="00DB5099">
        <w:rPr>
          <w:rFonts w:eastAsiaTheme="minorEastAsia"/>
        </w:rPr>
        <w:t xml:space="preserve">indicate that the segment </w:t>
      </w:r>
      <w:r w:rsidR="00DB5099">
        <w:rPr>
          <w:rFonts w:eastAsiaTheme="minorEastAsia"/>
          <w:i/>
          <w:iCs/>
        </w:rPr>
        <w:t>i</w:t>
      </w:r>
      <w:r w:rsidR="00DB5099">
        <w:rPr>
          <w:rFonts w:eastAsiaTheme="minorEastAsia"/>
        </w:rPr>
        <w:t xml:space="preserve"> </w:t>
      </w:r>
      <w:r w:rsidR="002C33BC">
        <w:rPr>
          <w:rFonts w:eastAsiaTheme="minorEastAsia"/>
        </w:rPr>
        <w:t>was</w:t>
      </w:r>
      <w:r w:rsidR="00DB5099">
        <w:rPr>
          <w:rFonts w:eastAsiaTheme="minorEastAsia"/>
        </w:rPr>
        <w:t xml:space="preserve"> more likely to receive a synthetic event. </w:t>
      </w:r>
    </w:p>
    <w:p w14:paraId="165DF6B3" w14:textId="182DD39D" w:rsidR="00DB5099" w:rsidRDefault="00000000" w:rsidP="00DB5099">
      <w:pPr>
        <w:pStyle w:val="NoSpacing"/>
        <w:spacing w:after="240"/>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syn</m:t>
            </m:r>
          </m:sub>
        </m:sSub>
      </m:oMath>
      <w:r w:rsidR="00DB5099">
        <w:rPr>
          <w:rFonts w:eastAsiaTheme="minorEastAsia"/>
        </w:rPr>
        <w:t xml:space="preserve"> </w:t>
      </w:r>
      <w:r w:rsidR="002C33BC">
        <w:rPr>
          <w:rFonts w:eastAsiaTheme="minorEastAsia"/>
        </w:rPr>
        <w:t xml:space="preserve">: </w:t>
      </w:r>
      <w:r w:rsidR="00DB5099">
        <w:rPr>
          <w:rFonts w:eastAsiaTheme="minorEastAsia"/>
        </w:rPr>
        <w:t xml:space="preserve">the 16-dimensional synthetic embedding vector. </w:t>
      </w:r>
      <w:r w:rsidR="00DB5099" w:rsidRPr="00492D26">
        <w:rPr>
          <w:rFonts w:eastAsiaTheme="minorEastAsia"/>
        </w:rPr>
        <w:t>It encode</w:t>
      </w:r>
      <w:r w:rsidR="002C33BC">
        <w:rPr>
          <w:rFonts w:eastAsiaTheme="minorEastAsia"/>
        </w:rPr>
        <w:t>d</w:t>
      </w:r>
      <w:r w:rsidR="00DB5099" w:rsidRPr="00492D26">
        <w:rPr>
          <w:rFonts w:eastAsiaTheme="minorEastAsia"/>
        </w:rPr>
        <w:t xml:space="preserve"> the event</w:t>
      </w:r>
      <w:r w:rsidR="00DB5099">
        <w:rPr>
          <w:rFonts w:eastAsiaTheme="minorEastAsia"/>
        </w:rPr>
        <w:t>'</w:t>
      </w:r>
      <w:r w:rsidR="00DB5099" w:rsidRPr="00492D26">
        <w:rPr>
          <w:rFonts w:eastAsiaTheme="minorEastAsia"/>
        </w:rPr>
        <w:t>s latent spatial and contextual properties.</w:t>
      </w:r>
    </w:p>
    <w:p w14:paraId="2DCDF7D6" w14:textId="18CEEBED" w:rsidR="00DB5099" w:rsidRPr="00D862A7" w:rsidRDefault="00000000" w:rsidP="00DB5099">
      <w:pPr>
        <w:pStyle w:val="NoSpacing"/>
        <w:spacing w:after="240"/>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DB5099">
        <w:rPr>
          <w:rFonts w:eastAsiaTheme="minorEastAsia"/>
        </w:rPr>
        <w:t xml:space="preserve"> </w:t>
      </w:r>
      <w:r w:rsidR="002C33BC">
        <w:rPr>
          <w:rFonts w:eastAsiaTheme="minorEastAsia"/>
        </w:rPr>
        <w:t xml:space="preserve">: </w:t>
      </w:r>
      <w:r w:rsidR="00DB5099">
        <w:rPr>
          <w:rFonts w:eastAsiaTheme="minorEastAsia"/>
        </w:rPr>
        <w:t xml:space="preserve">the 16-dimensional real segment embedding vector </w:t>
      </w:r>
      <w:r w:rsidR="00DB5099">
        <w:t xml:space="preserve">learned from DeepWalk/Word2Vec. </w:t>
      </w:r>
      <w:r w:rsidR="00DB5099" w:rsidRPr="001B59F5">
        <w:t>Each vector represent</w:t>
      </w:r>
      <w:r w:rsidR="002C33BC">
        <w:t>ed</w:t>
      </w:r>
      <w:r w:rsidR="00DB5099" w:rsidRPr="001B59F5">
        <w:t xml:space="preserve"> the segment</w:t>
      </w:r>
      <w:r w:rsidR="00DB5099">
        <w:t>'</w:t>
      </w:r>
      <w:r w:rsidR="00DB5099" w:rsidRPr="001B59F5">
        <w:t>s topological and spatial position in latent space.</w:t>
      </w:r>
    </w:p>
    <w:p w14:paraId="51A9992B" w14:textId="1C88C96B" w:rsidR="00DB5099" w:rsidRPr="005973B5" w:rsidRDefault="00DB5099" w:rsidP="00DB5099">
      <w:pPr>
        <w:pStyle w:val="NoSpacing"/>
        <w:jc w:val="both"/>
        <w:rPr>
          <w:rFonts w:eastAsiaTheme="minorEastAsia"/>
        </w:rPr>
      </w:pPr>
      <m:oMath>
        <m:r>
          <w:rPr>
            <w:rFonts w:ascii="Cambria Math" w:hAnsi="Cambria Math"/>
          </w:rPr>
          <m:t>d</m:t>
        </m:r>
        <m:r>
          <m:rPr>
            <m:sty m:val="p"/>
          </m:rP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syn</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oMath>
      <w:r>
        <w:rPr>
          <w:rFonts w:eastAsiaTheme="minorEastAsia"/>
        </w:rPr>
        <w:t xml:space="preserve"> </w:t>
      </w:r>
      <w:r w:rsidR="002C33BC">
        <w:rPr>
          <w:rFonts w:eastAsiaTheme="minorEastAsia"/>
        </w:rPr>
        <w:t xml:space="preserve">: </w:t>
      </w:r>
      <w:r>
        <w:rPr>
          <w:rFonts w:eastAsiaTheme="minorEastAsia"/>
        </w:rPr>
        <w:t xml:space="preserve"> t</w:t>
      </w:r>
      <w:r w:rsidRPr="00420639">
        <w:rPr>
          <w:rFonts w:eastAsiaTheme="minorEastAsia"/>
        </w:rPr>
        <w:t>he geometric</w:t>
      </w:r>
      <w:r>
        <w:rPr>
          <w:rFonts w:eastAsiaTheme="minorEastAsia"/>
        </w:rPr>
        <w:t xml:space="preserve"> (Euclidean)</w:t>
      </w:r>
      <w:r w:rsidRPr="00420639">
        <w:rPr>
          <w:rFonts w:eastAsiaTheme="minorEastAsia"/>
        </w:rPr>
        <w:t xml:space="preserve"> distance in the embedding space between the synthetic event and segment </w:t>
      </w:r>
      <w:r w:rsidRPr="00420639">
        <w:rPr>
          <w:rFonts w:eastAsiaTheme="minorEastAsia"/>
          <w:i/>
          <w:iCs/>
        </w:rPr>
        <w:t>i</w:t>
      </w:r>
      <w:r w:rsidRPr="00420639">
        <w:rPr>
          <w:rFonts w:eastAsiaTheme="minorEastAsia"/>
        </w:rPr>
        <w:t>. Smaller distances impl</w:t>
      </w:r>
      <w:r w:rsidR="002C33BC">
        <w:rPr>
          <w:rFonts w:eastAsiaTheme="minorEastAsia"/>
        </w:rPr>
        <w:t>ied</w:t>
      </w:r>
      <w:r w:rsidRPr="00420639">
        <w:rPr>
          <w:rFonts w:eastAsiaTheme="minorEastAsia"/>
        </w:rPr>
        <w:t xml:space="preserve"> higher similarity (and hence higher probability).</w:t>
      </w:r>
    </w:p>
    <w:p w14:paraId="7265EAF3" w14:textId="77777777" w:rsidR="00DB5099" w:rsidRPr="003D0645" w:rsidRDefault="00DB5099" w:rsidP="00DB5099">
      <w:pPr>
        <w:pStyle w:val="NoSpacing"/>
        <w:jc w:val="both"/>
        <w:rPr>
          <w:rFonts w:eastAsiaTheme="minorEastAsia"/>
        </w:rPr>
      </w:pPr>
      <w:r w:rsidRPr="003D0645">
        <w:rPr>
          <w:rFonts w:eastAsiaTheme="minorEastAsia"/>
        </w:rPr>
        <w:tab/>
        <w:t>​</w:t>
      </w:r>
    </w:p>
    <w:p w14:paraId="4AF34E6F" w14:textId="4903C469" w:rsidR="00DB5099" w:rsidRDefault="00DB5099" w:rsidP="00DB5099">
      <w:pPr>
        <w:pStyle w:val="NoSpacing"/>
        <w:jc w:val="both"/>
        <w:rPr>
          <w:rFonts w:eastAsiaTheme="minorEastAsia"/>
        </w:rPr>
      </w:pPr>
      <m:oMath>
        <m:r>
          <w:rPr>
            <w:rFonts w:ascii="Cambria Math" w:hAnsi="Cambria Math"/>
          </w:rPr>
          <m:t>τ</m:t>
        </m:r>
      </m:oMath>
      <w:r>
        <w:rPr>
          <w:rFonts w:eastAsiaTheme="minorEastAsia"/>
        </w:rPr>
        <w:t xml:space="preserve"> </w:t>
      </w:r>
      <w:r w:rsidR="002C33BC">
        <w:rPr>
          <w:rFonts w:eastAsiaTheme="minorEastAsia"/>
        </w:rPr>
        <w:t>:</w:t>
      </w:r>
      <w:r>
        <w:rPr>
          <w:rFonts w:eastAsiaTheme="minorEastAsia"/>
        </w:rPr>
        <w:t xml:space="preserve"> the temperature parameter, a</w:t>
      </w:r>
      <w:r w:rsidRPr="001A1AE7">
        <w:rPr>
          <w:rFonts w:eastAsiaTheme="minorEastAsia"/>
        </w:rPr>
        <w:t xml:space="preserve"> smaller </w:t>
      </w:r>
      <m:oMath>
        <m:r>
          <w:rPr>
            <w:rFonts w:ascii="Cambria Math" w:hAnsi="Cambria Math"/>
          </w:rPr>
          <m:t>τ</m:t>
        </m:r>
      </m:oMath>
      <w:r w:rsidRPr="001A1AE7">
        <w:rPr>
          <w:rFonts w:eastAsiaTheme="minorEastAsia"/>
        </w:rPr>
        <w:t xml:space="preserve"> (e.g., 0.25)</w:t>
      </w:r>
      <w:r w:rsidR="002C33BC">
        <w:rPr>
          <w:rFonts w:eastAsiaTheme="minorEastAsia"/>
        </w:rPr>
        <w:t xml:space="preserve"> would</w:t>
      </w:r>
      <w:r w:rsidRPr="001A1AE7">
        <w:rPr>
          <w:rFonts w:eastAsiaTheme="minorEastAsia"/>
        </w:rPr>
        <w:t xml:space="preserve"> heavily </w:t>
      </w:r>
      <w:r>
        <w:rPr>
          <w:rFonts w:eastAsiaTheme="minorEastAsia"/>
        </w:rPr>
        <w:t>favour</w:t>
      </w:r>
      <w:r w:rsidRPr="001A1AE7">
        <w:rPr>
          <w:rFonts w:eastAsiaTheme="minorEastAsia"/>
        </w:rPr>
        <w:t xml:space="preserve"> the nearest segments, while a larger </w:t>
      </w:r>
      <m:oMath>
        <m:r>
          <w:rPr>
            <w:rFonts w:ascii="Cambria Math" w:hAnsi="Cambria Math"/>
          </w:rPr>
          <m:t xml:space="preserve">τ </m:t>
        </m:r>
      </m:oMath>
      <w:r w:rsidR="002C33BC">
        <w:rPr>
          <w:rFonts w:eastAsiaTheme="minorEastAsia"/>
        </w:rPr>
        <w:t xml:space="preserve">would </w:t>
      </w:r>
      <w:r w:rsidRPr="001A1AE7">
        <w:rPr>
          <w:rFonts w:eastAsiaTheme="minorEastAsia"/>
        </w:rPr>
        <w:t xml:space="preserve">spread probability more evenly among </w:t>
      </w:r>
      <w:r>
        <w:rPr>
          <w:rFonts w:eastAsiaTheme="minorEastAsia"/>
        </w:rPr>
        <w:t xml:space="preserve">the neighbouring segment </w:t>
      </w:r>
      <w:r w:rsidRPr="001A1AE7">
        <w:rPr>
          <w:rFonts w:eastAsiaTheme="minorEastAsia"/>
        </w:rPr>
        <w:t>candidates.</w:t>
      </w:r>
    </w:p>
    <w:p w14:paraId="7314D05D" w14:textId="77777777" w:rsidR="00DB5099" w:rsidRDefault="00DB5099" w:rsidP="00DB5099">
      <w:pPr>
        <w:pStyle w:val="NoSpacing"/>
        <w:jc w:val="both"/>
        <w:rPr>
          <w:rFonts w:eastAsiaTheme="minorEastAsia"/>
        </w:rPr>
      </w:pPr>
    </w:p>
    <w:p w14:paraId="008A6A0A" w14:textId="26425AC8" w:rsidR="00DB5099" w:rsidRPr="0093589B" w:rsidRDefault="00000000" w:rsidP="00DB5099">
      <w:pPr>
        <w:pStyle w:val="NoSpacing"/>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j</m:t>
            </m:r>
          </m:sub>
        </m:sSub>
      </m:oMath>
      <w:r w:rsidR="00DB5099">
        <w:rPr>
          <w:rFonts w:eastAsiaTheme="minorEastAsia"/>
        </w:rPr>
        <w:t xml:space="preserve"> </w:t>
      </w:r>
      <w:r w:rsidR="004C5FEE">
        <w:rPr>
          <w:rFonts w:eastAsiaTheme="minorEastAsia"/>
        </w:rPr>
        <w:t>:</w:t>
      </w:r>
      <w:r w:rsidR="00DB5099">
        <w:rPr>
          <w:rFonts w:eastAsiaTheme="minorEastAsia"/>
        </w:rPr>
        <w:t xml:space="preserve"> the n</w:t>
      </w:r>
      <w:r w:rsidR="00DB5099" w:rsidRPr="0050753F">
        <w:rPr>
          <w:rFonts w:eastAsiaTheme="minorEastAsia"/>
        </w:rPr>
        <w:t>ormalization term</w:t>
      </w:r>
      <w:r w:rsidR="00DB5099">
        <w:rPr>
          <w:rFonts w:eastAsiaTheme="minorEastAsia"/>
        </w:rPr>
        <w:t xml:space="preserve"> e</w:t>
      </w:r>
      <w:r w:rsidR="00DB5099" w:rsidRPr="0050753F">
        <w:rPr>
          <w:rFonts w:eastAsiaTheme="minorEastAsia"/>
        </w:rPr>
        <w:t>nsur</w:t>
      </w:r>
      <w:r w:rsidR="00DB5099">
        <w:rPr>
          <w:rFonts w:eastAsiaTheme="minorEastAsia"/>
        </w:rPr>
        <w:t>ing</w:t>
      </w:r>
      <w:r w:rsidR="00DB5099" w:rsidRPr="0050753F">
        <w:rPr>
          <w:rFonts w:eastAsiaTheme="minorEastAsia"/>
        </w:rPr>
        <w:t xml:space="preserve"> that all probabilities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DB5099" w:rsidRPr="0050753F">
        <w:rPr>
          <w:rFonts w:eastAsiaTheme="minorEastAsia"/>
        </w:rPr>
        <w:t xml:space="preserve"> sum</w:t>
      </w:r>
      <w:r w:rsidR="004C5FEE">
        <w:rPr>
          <w:rFonts w:eastAsiaTheme="minorEastAsia"/>
        </w:rPr>
        <w:t>med</w:t>
      </w:r>
      <w:r w:rsidR="00DB5099" w:rsidRPr="0050753F">
        <w:rPr>
          <w:rFonts w:eastAsiaTheme="minorEastAsia"/>
        </w:rPr>
        <w:t xml:space="preserve"> to 1 over the </w:t>
      </w:r>
      <w:r w:rsidR="00DB5099" w:rsidRPr="00AF705E">
        <w:rPr>
          <w:rFonts w:eastAsiaTheme="minorEastAsia"/>
          <w:i/>
          <w:iCs/>
        </w:rPr>
        <w:t>k</w:t>
      </w:r>
      <w:r w:rsidR="00DB5099" w:rsidRPr="0050753F">
        <w:rPr>
          <w:rFonts w:eastAsiaTheme="minorEastAsia"/>
        </w:rPr>
        <w:t xml:space="preserve"> nearest candidate segments found in the neighbo</w:t>
      </w:r>
      <w:r w:rsidR="00DB5099">
        <w:rPr>
          <w:rFonts w:eastAsiaTheme="minorEastAsia"/>
        </w:rPr>
        <w:t>u</w:t>
      </w:r>
      <w:r w:rsidR="00DB5099" w:rsidRPr="0050753F">
        <w:rPr>
          <w:rFonts w:eastAsiaTheme="minorEastAsia"/>
        </w:rPr>
        <w:t>r search.</w:t>
      </w:r>
    </w:p>
    <w:p w14:paraId="5912A4A0" w14:textId="77777777" w:rsidR="00DB5099" w:rsidRDefault="00DB5099" w:rsidP="00DB5099">
      <w:pPr>
        <w:pStyle w:val="NoSpacing"/>
        <w:jc w:val="both"/>
      </w:pPr>
    </w:p>
    <w:p w14:paraId="3B42614C" w14:textId="1B109807" w:rsidR="00DB5099" w:rsidRDefault="00DB5099" w:rsidP="00DB5099">
      <w:pPr>
        <w:pStyle w:val="NoSpacing"/>
        <w:jc w:val="both"/>
      </w:pPr>
      <w:r>
        <w:t>(iii) Capacity-</w:t>
      </w:r>
      <w:r w:rsidR="00015EB4">
        <w:t>c</w:t>
      </w:r>
      <w:r>
        <w:t xml:space="preserve">onstrained </w:t>
      </w:r>
      <w:r w:rsidR="00015EB4">
        <w:t>s</w:t>
      </w:r>
      <w:r>
        <w:t xml:space="preserve">ampling: The softmax probabilities </w:t>
      </w:r>
      <w:r w:rsidR="004C5FEE">
        <w:t>were</w:t>
      </w:r>
      <w:r>
        <w:t xml:space="preserve"> then masked by the remaining segment capacities, renormalized, and sampled from only those segments with remaining capacity. That is, before choosing where to place the next synthetic event, the algorithm check</w:t>
      </w:r>
      <w:r w:rsidR="00601764">
        <w:t>ed</w:t>
      </w:r>
      <w:r>
        <w:t xml:space="preserve"> which of those nearby segments still ha</w:t>
      </w:r>
      <w:r w:rsidR="00601764">
        <w:t>d</w:t>
      </w:r>
      <w:r>
        <w:t xml:space="preserve"> room left (their capacity). It then mask</w:t>
      </w:r>
      <w:r w:rsidR="00601764">
        <w:t>ed</w:t>
      </w:r>
      <w:r>
        <w:t xml:space="preserve"> (ignore</w:t>
      </w:r>
      <w:r w:rsidR="00601764">
        <w:t>d</w:t>
      </w:r>
      <w:r>
        <w:t xml:space="preserve">) the </w:t>
      </w:r>
      <w:r w:rsidR="00934A74">
        <w:t>already full segments</w:t>
      </w:r>
      <w:r>
        <w:t xml:space="preserve"> and exclude</w:t>
      </w:r>
      <w:r w:rsidR="00E1788B">
        <w:t>d</w:t>
      </w:r>
      <w:r>
        <w:t xml:space="preserve"> them from the selection pool. The probabilities for the remaining available segments </w:t>
      </w:r>
      <w:r w:rsidR="00E1788B">
        <w:t>were</w:t>
      </w:r>
      <w:r>
        <w:t xml:space="preserve"> then renormalized (rescaled so that all the chosen ones still add up to 1). Finally, one of the available segments </w:t>
      </w:r>
      <w:r w:rsidR="00E1788B">
        <w:t>wa</w:t>
      </w:r>
      <w:r>
        <w:t xml:space="preserve">s randomly selected according to these updated probabilities. </w:t>
      </w:r>
      <w:r w:rsidRPr="00E6301F">
        <w:t>This step ensure</w:t>
      </w:r>
      <w:r w:rsidR="00E1788B">
        <w:t>d</w:t>
      </w:r>
      <w:r w:rsidRPr="00E6301F">
        <w:t xml:space="preserve"> that synthetic events are distributed realistically across the </w:t>
      </w:r>
      <w:r>
        <w:t>geographic space (here, the road network segments), reducing the likelihood of creating unrealistic local spatial patterns and finally</w:t>
      </w:r>
      <w:r w:rsidR="00E1788B">
        <w:t>,</w:t>
      </w:r>
      <w:r>
        <w:t xml:space="preserve"> preserving the balance of the</w:t>
      </w:r>
      <w:r w:rsidRPr="00E6301F">
        <w:t xml:space="preserve"> real-world</w:t>
      </w:r>
      <w:r>
        <w:t xml:space="preserve"> spatial count</w:t>
      </w:r>
      <w:r w:rsidRPr="00E6301F">
        <w:t xml:space="preserve"> of event</w:t>
      </w:r>
      <w:r>
        <w:t>s</w:t>
      </w:r>
      <w:r w:rsidRPr="00E6301F">
        <w:t>.</w:t>
      </w:r>
    </w:p>
    <w:p w14:paraId="7C9B775F" w14:textId="77777777" w:rsidR="00DB5099" w:rsidRDefault="00DB5099" w:rsidP="00DB5099">
      <w:pPr>
        <w:pStyle w:val="NoSpacing"/>
        <w:jc w:val="both"/>
      </w:pPr>
    </w:p>
    <w:p w14:paraId="733F84C0" w14:textId="07504A43" w:rsidR="00DB5099" w:rsidRPr="00277820" w:rsidRDefault="00DB5099" w:rsidP="00DB5099">
      <w:pPr>
        <w:pStyle w:val="NoSpacing"/>
        <w:jc w:val="both"/>
      </w:pPr>
      <w:r>
        <w:t xml:space="preserve">(iv) Assignment and </w:t>
      </w:r>
      <w:r w:rsidR="00015EB4">
        <w:t>u</w:t>
      </w:r>
      <w:r>
        <w:t>pdate: The selected segment ID (</w:t>
      </w:r>
      <w:r w:rsidRPr="00D962A1">
        <w:rPr>
          <w:rFonts w:ascii="Courier New" w:hAnsi="Courier New" w:cs="Courier New"/>
        </w:rPr>
        <w:t>segment_id</w:t>
      </w:r>
      <w:r>
        <w:t xml:space="preserve">) </w:t>
      </w:r>
      <w:r w:rsidR="00015EB4">
        <w:t>wa</w:t>
      </w:r>
      <w:r>
        <w:t xml:space="preserve">s assigned to the synthetic record, and its available capacity </w:t>
      </w:r>
      <w:r w:rsidR="00015EB4">
        <w:t>wa</w:t>
      </w:r>
      <w:r>
        <w:t xml:space="preserve">s </w:t>
      </w:r>
      <w:r w:rsidR="00015EB4">
        <w:t xml:space="preserve">then </w:t>
      </w:r>
      <w:r>
        <w:t>decreased by 1. This process iterate</w:t>
      </w:r>
      <w:r w:rsidR="00E86941">
        <w:t>d</w:t>
      </w:r>
      <w:r>
        <w:t xml:space="preserve"> until all synthetic events </w:t>
      </w:r>
      <w:r w:rsidR="00E86941">
        <w:t>were</w:t>
      </w:r>
      <w:r>
        <w:t xml:space="preserve"> placed, ensuring both capacity preservation and spatial geometric coherence.</w:t>
      </w:r>
    </w:p>
    <w:p w14:paraId="66D4A2B9" w14:textId="77777777" w:rsidR="00DB5099" w:rsidRDefault="00DB5099" w:rsidP="00DB5099">
      <w:pPr>
        <w:pStyle w:val="NoSpacing"/>
        <w:jc w:val="both"/>
      </w:pPr>
    </w:p>
    <w:p w14:paraId="06737F7B" w14:textId="710D89B3" w:rsidR="00DB5099" w:rsidRPr="0026484A" w:rsidRDefault="00DB5099" w:rsidP="00DB5099">
      <w:pPr>
        <w:pStyle w:val="NoSpacing"/>
        <w:jc w:val="both"/>
        <w:rPr>
          <w:b/>
          <w:bCs/>
        </w:rPr>
      </w:pPr>
      <w:r w:rsidRPr="0026484A">
        <w:rPr>
          <w:b/>
          <w:bCs/>
        </w:rPr>
        <w:t>5.4 Geometric Point Reconstruction</w:t>
      </w:r>
    </w:p>
    <w:p w14:paraId="17EE5738" w14:textId="77777777" w:rsidR="00DB5099" w:rsidRDefault="00DB5099" w:rsidP="00DB5099">
      <w:pPr>
        <w:pStyle w:val="NoSpacing"/>
        <w:jc w:val="both"/>
      </w:pPr>
    </w:p>
    <w:p w14:paraId="2D94C866" w14:textId="132AB11D" w:rsidR="00DB5099" w:rsidRDefault="00DB5099" w:rsidP="00DB5099">
      <w:pPr>
        <w:pStyle w:val="NoSpacing"/>
        <w:jc w:val="both"/>
      </w:pPr>
      <w:r w:rsidRPr="002C2D22">
        <w:t xml:space="preserve">The final event coordinates </w:t>
      </w:r>
      <w:r w:rsidR="00E86941">
        <w:t>were</w:t>
      </w:r>
      <w:r w:rsidRPr="002C2D22">
        <w:t xml:space="preserve"> reconstructed by decoding the output features</w:t>
      </w:r>
      <w:r>
        <w:t xml:space="preserve"> of the GAN</w:t>
      </w:r>
      <w:r w:rsidRPr="002C2D22">
        <w:t>. Temporal sine</w:t>
      </w:r>
      <w:r w:rsidR="00EC5E43">
        <w:t>-</w:t>
      </w:r>
      <w:r w:rsidRPr="002C2D22">
        <w:t xml:space="preserve">cosine encodings </w:t>
      </w:r>
      <w:r w:rsidR="004A18EE">
        <w:t>were</w:t>
      </w:r>
      <w:r w:rsidRPr="002C2D22">
        <w:t xml:space="preserve"> </w:t>
      </w:r>
      <w:r>
        <w:t xml:space="preserve">first </w:t>
      </w:r>
      <w:r w:rsidRPr="002C2D22">
        <w:t xml:space="preserve">converted back to their angular representations, and the bounded positional feature </w:t>
      </w:r>
      <w:r w:rsidR="004A18EE">
        <w:t>was</w:t>
      </w:r>
      <w:r w:rsidRPr="002C2D22">
        <w:t xml:space="preserve"> recovered using the inverse logit (sigmoid) function to obtain the fractional position along each road segment. The decoded position (</w:t>
      </w:r>
      <w:r w:rsidRPr="006746DC">
        <w:rPr>
          <w:rFonts w:ascii="Courier New" w:hAnsi="Courier New" w:cs="Courier New"/>
        </w:rPr>
        <w:t>seg_pos</w:t>
      </w:r>
      <w:r w:rsidRPr="002C2D22">
        <w:t>), assigned segment (</w:t>
      </w:r>
      <w:r w:rsidRPr="006746DC">
        <w:rPr>
          <w:rFonts w:ascii="Courier New" w:hAnsi="Courier New" w:cs="Courier New"/>
        </w:rPr>
        <w:t>segment_id</w:t>
      </w:r>
      <w:r w:rsidRPr="002C2D22">
        <w:t>), and lateral offset (</w:t>
      </w:r>
      <w:r w:rsidRPr="006746DC">
        <w:rPr>
          <w:rFonts w:ascii="Courier New" w:hAnsi="Courier New" w:cs="Courier New"/>
        </w:rPr>
        <w:t>SEG_MAP_DIST_M</w:t>
      </w:r>
      <w:r w:rsidRPr="002C2D22">
        <w:t xml:space="preserve">) </w:t>
      </w:r>
      <w:r w:rsidR="004A18EE">
        <w:t>were</w:t>
      </w:r>
      <w:r w:rsidRPr="002C2D22">
        <w:t xml:space="preserve"> then passed to a geometric interpolation function</w:t>
      </w:r>
      <w:r>
        <w:t>, which place</w:t>
      </w:r>
      <w:r w:rsidR="004A18EE">
        <w:t>d</w:t>
      </w:r>
      <w:r>
        <w:t xml:space="preserve"> each synthetic point along the corresponding segment's line geometry with a small,</w:t>
      </w:r>
      <w:r w:rsidRPr="002C2D22">
        <w:t xml:space="preserve"> randomized perpendicular offset, yielding realistic reconstructed event locations.</w:t>
      </w:r>
    </w:p>
    <w:p w14:paraId="3FD8CEB7" w14:textId="77777777" w:rsidR="00DB5099" w:rsidRDefault="00DB5099" w:rsidP="00DB5099">
      <w:pPr>
        <w:pStyle w:val="NoSpacing"/>
        <w:jc w:val="both"/>
      </w:pPr>
    </w:p>
    <w:p w14:paraId="714D37F0" w14:textId="40A839A1" w:rsidR="00501844" w:rsidRDefault="00501844" w:rsidP="00DB5099">
      <w:pPr>
        <w:pStyle w:val="NoSpacing"/>
        <w:jc w:val="both"/>
      </w:pPr>
      <w:r>
        <w:rPr>
          <w:noProof/>
        </w:rPr>
        <w:lastRenderedPageBreak/>
        <w:drawing>
          <wp:inline distT="0" distB="0" distL="0" distR="0" wp14:anchorId="10B79A93" wp14:editId="4AD4F9A2">
            <wp:extent cx="5943600" cy="5032375"/>
            <wp:effectExtent l="0" t="0" r="0" b="0"/>
            <wp:docPr id="657190259" name="Picture 3"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90259" name="Picture 3" descr="A collage of graph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032375"/>
                    </a:xfrm>
                    <a:prstGeom prst="rect">
                      <a:avLst/>
                    </a:prstGeom>
                  </pic:spPr>
                </pic:pic>
              </a:graphicData>
            </a:graphic>
          </wp:inline>
        </w:drawing>
      </w:r>
    </w:p>
    <w:p w14:paraId="1050E39D" w14:textId="77777777" w:rsidR="00555C07" w:rsidRDefault="00555C07" w:rsidP="00DB5099">
      <w:pPr>
        <w:pStyle w:val="NoSpacing"/>
        <w:jc w:val="both"/>
      </w:pPr>
    </w:p>
    <w:p w14:paraId="2D75CF81" w14:textId="77777777" w:rsidR="00547E53" w:rsidRPr="00547E53" w:rsidRDefault="00547E53" w:rsidP="00547E53">
      <w:pPr>
        <w:pStyle w:val="NoSpacing"/>
        <w:jc w:val="both"/>
        <w:rPr>
          <w:b/>
          <w:bCs/>
        </w:rPr>
      </w:pPr>
      <w:r w:rsidRPr="00547E53">
        <w:rPr>
          <w:b/>
          <w:bCs/>
        </w:rPr>
        <w:t xml:space="preserve">Supplementary Fig. 3 | Capacitated </w:t>
      </w:r>
      <w:r w:rsidRPr="00547E53">
        <w:rPr>
          <w:b/>
          <w:bCs/>
          <w:i/>
          <w:iCs/>
        </w:rPr>
        <w:t>k</w:t>
      </w:r>
      <w:r w:rsidRPr="00547E53">
        <w:rPr>
          <w:b/>
          <w:bCs/>
        </w:rPr>
        <w:t>-NN (CaNN) assignment and geometric reconstruction of synthetic events.</w:t>
      </w:r>
    </w:p>
    <w:p w14:paraId="3C1E5ED7" w14:textId="11DB0616" w:rsidR="00555C07" w:rsidRDefault="00547E53" w:rsidP="00547E53">
      <w:pPr>
        <w:pStyle w:val="NoSpacing"/>
        <w:jc w:val="both"/>
      </w:pPr>
      <w:r>
        <w:t>The core components of the CaNN spatial assignment and reconstruction procedure</w:t>
      </w:r>
      <w:r w:rsidR="000C13AB">
        <w:t>,</w:t>
      </w:r>
      <w:r>
        <w:t xml:space="preserve"> </w:t>
      </w:r>
      <w:r w:rsidR="000C13AB">
        <w:t>(</w:t>
      </w:r>
      <w:r>
        <w:t>a</w:t>
      </w:r>
      <w:r w:rsidR="000C13AB">
        <w:t>)</w:t>
      </w:r>
      <w:r>
        <w:t xml:space="preserve"> Capacity constraint mechanism showing how real segment-level counts define</w:t>
      </w:r>
      <w:r w:rsidR="002154F9">
        <w:t>d</w:t>
      </w:r>
      <w:r>
        <w:t xml:space="preserve"> allowable synthetic allocations under</w:t>
      </w:r>
      <w:r w:rsidR="003F46E5">
        <w:t xml:space="preserve"> major crime-based</w:t>
      </w:r>
      <w:r>
        <w:t xml:space="preserve"> stratification</w:t>
      </w:r>
      <w:r w:rsidR="003F46E5">
        <w:t>,</w:t>
      </w:r>
      <w:r>
        <w:t xml:space="preserve"> </w:t>
      </w:r>
      <w:r w:rsidR="003F46E5">
        <w:t>(</w:t>
      </w:r>
      <w:r>
        <w:t>b</w:t>
      </w:r>
      <w:r w:rsidR="003F46E5">
        <w:t>)</w:t>
      </w:r>
      <w:r>
        <w:t xml:space="preserve"> Nearest-neighbour search in the learned 16-dimensional embedding space, illustrating how synthetic event vectors </w:t>
      </w:r>
      <w:r w:rsidR="002154F9">
        <w:t>were</w:t>
      </w:r>
      <w:r>
        <w:t xml:space="preserve"> matched to topologically similar segments while excluding full segments</w:t>
      </w:r>
      <w:r w:rsidR="003F46E5">
        <w:t>,</w:t>
      </w:r>
      <w:r>
        <w:t xml:space="preserve"> </w:t>
      </w:r>
      <w:r w:rsidR="003F46E5">
        <w:t>(</w:t>
      </w:r>
      <w:r>
        <w:t>c</w:t>
      </w:r>
      <w:r w:rsidR="003F46E5">
        <w:t>)</w:t>
      </w:r>
      <w:r>
        <w:t xml:space="preserve"> Softmax-based probability weighting and capacity masking, where candidate segments </w:t>
      </w:r>
      <w:r w:rsidR="002154F9">
        <w:t>were</w:t>
      </w:r>
      <w:r>
        <w:t xml:space="preserve"> reweighted and renormalized after removing those that </w:t>
      </w:r>
      <w:r w:rsidR="002154F9">
        <w:t>had</w:t>
      </w:r>
      <w:r>
        <w:t xml:space="preserve"> reached their capacity</w:t>
      </w:r>
      <w:r w:rsidR="003F46E5">
        <w:t>,</w:t>
      </w:r>
      <w:r>
        <w:t xml:space="preserve"> </w:t>
      </w:r>
      <w:r w:rsidR="003F46E5">
        <w:t>(</w:t>
      </w:r>
      <w:r>
        <w:t>d</w:t>
      </w:r>
      <w:r w:rsidR="003F46E5">
        <w:t>)</w:t>
      </w:r>
      <w:r>
        <w:t xml:space="preserve"> Geometric point reconstruction, depicting how the assigned segment, fractional position, and offset distance </w:t>
      </w:r>
      <w:r w:rsidR="002154F9">
        <w:t>were</w:t>
      </w:r>
      <w:r>
        <w:t xml:space="preserve"> combined to place the final synthetic event along the network geometry.</w:t>
      </w:r>
    </w:p>
    <w:p w14:paraId="4E4F1492" w14:textId="77777777" w:rsidR="00501844" w:rsidRDefault="00501844" w:rsidP="00DB5099">
      <w:pPr>
        <w:spacing w:after="0"/>
        <w:rPr>
          <w:b/>
          <w:bCs/>
        </w:rPr>
      </w:pPr>
    </w:p>
    <w:p w14:paraId="1DDE9C78" w14:textId="77777777" w:rsidR="003F46E5" w:rsidRDefault="003F46E5">
      <w:pPr>
        <w:rPr>
          <w:b/>
          <w:bCs/>
        </w:rPr>
      </w:pPr>
      <w:r>
        <w:rPr>
          <w:b/>
          <w:bCs/>
        </w:rPr>
        <w:br w:type="page"/>
      </w:r>
    </w:p>
    <w:p w14:paraId="7B7F1E44" w14:textId="7DE38E7F" w:rsidR="00DB5099" w:rsidRDefault="00DB5099" w:rsidP="00DB5099">
      <w:pPr>
        <w:spacing w:after="0"/>
        <w:rPr>
          <w:b/>
          <w:bCs/>
        </w:rPr>
      </w:pPr>
      <w:r>
        <w:rPr>
          <w:b/>
          <w:bCs/>
        </w:rPr>
        <w:lastRenderedPageBreak/>
        <w:t xml:space="preserve">6 </w:t>
      </w:r>
      <w:r w:rsidRPr="0033353C">
        <w:rPr>
          <w:b/>
          <w:bCs/>
        </w:rPr>
        <w:t>Privacy-Preserving Gating</w:t>
      </w:r>
    </w:p>
    <w:p w14:paraId="56B90419" w14:textId="77777777" w:rsidR="00DB5099" w:rsidRPr="0033353C" w:rsidRDefault="00DB5099" w:rsidP="00DB5099">
      <w:pPr>
        <w:pStyle w:val="NoSpacing"/>
      </w:pPr>
    </w:p>
    <w:p w14:paraId="27154B3D" w14:textId="3A6D03F4" w:rsidR="00DB5099" w:rsidRPr="0033353C" w:rsidRDefault="00DB5099" w:rsidP="00DB5099">
      <w:pPr>
        <w:pStyle w:val="NoSpacing"/>
        <w:jc w:val="both"/>
      </w:pPr>
      <w:r>
        <w:t>Even before</w:t>
      </w:r>
      <w:r w:rsidRPr="0033353C">
        <w:t xml:space="preserve"> </w:t>
      </w:r>
      <w:r>
        <w:t>the final stage of</w:t>
      </w:r>
      <w:r w:rsidRPr="0033353C">
        <w:t xml:space="preserve"> </w:t>
      </w:r>
      <w:r>
        <w:t>applying privacy-preserving filters</w:t>
      </w:r>
      <w:r w:rsidRPr="0033353C">
        <w:t xml:space="preserve">, the </w:t>
      </w:r>
      <w:r>
        <w:t>geo</w:t>
      </w:r>
      <w:r w:rsidRPr="0033353C">
        <w:t xml:space="preserve">synthetic data generated by the </w:t>
      </w:r>
      <w:r>
        <w:t xml:space="preserve">GeoCTGAN </w:t>
      </w:r>
      <w:r w:rsidRPr="0033353C">
        <w:t>inherently benefi</w:t>
      </w:r>
      <w:r w:rsidR="00E25757">
        <w:t>ted</w:t>
      </w:r>
      <w:r w:rsidRPr="0033353C">
        <w:t xml:space="preserve"> from several privacy-preserving mechanisms introduced during the generative and embedding processes.</w:t>
      </w:r>
      <w:r w:rsidR="003F46E5">
        <w:t xml:space="preserve"> </w:t>
      </w:r>
      <w:r w:rsidRPr="0033353C">
        <w:t>First, the CTGAN model operate</w:t>
      </w:r>
      <w:r w:rsidR="00E25757">
        <w:t>d</w:t>
      </w:r>
      <w:r w:rsidRPr="0033353C">
        <w:t xml:space="preserve"> through distributional learning rather than direct record replication, </w:t>
      </w:r>
      <w:r w:rsidR="00886A5A">
        <w:t xml:space="preserve">meaning synthetic samples </w:t>
      </w:r>
      <w:r w:rsidR="00E25757">
        <w:t>were</w:t>
      </w:r>
      <w:r w:rsidR="00886A5A">
        <w:t xml:space="preserve"> generated from learned probability distributions rather than copied from</w:t>
      </w:r>
      <w:r w:rsidRPr="0033353C">
        <w:t xml:space="preserve"> any real record. This process inherently reduce</w:t>
      </w:r>
      <w:r w:rsidR="00E25757">
        <w:t>d</w:t>
      </w:r>
      <w:r w:rsidRPr="0033353C">
        <w:t xml:space="preserve"> </w:t>
      </w:r>
      <w:r>
        <w:t>the risk of re</w:t>
      </w:r>
      <w:r w:rsidR="005209E3">
        <w:t>-</w:t>
      </w:r>
      <w:r>
        <w:t xml:space="preserve">identification </w:t>
      </w:r>
      <w:r>
        <w:fldChar w:fldCharType="begin"/>
      </w:r>
      <w:r w:rsidR="00720F22">
        <w:instrText xml:space="preserve"> ADDIN EN.CITE &lt;EndNote&gt;&lt;Cite&gt;&lt;Author&gt;Xu&lt;/Author&gt;&lt;Year&gt;2019&lt;/Year&gt;&lt;RecNum&gt;10917&lt;/RecNum&gt;&lt;DisplayText&gt;&lt;style face="superscript"&gt;8&lt;/style&gt;&lt;/DisplayText&gt;&lt;record&gt;&lt;rec-number&gt;10917&lt;/rec-number&gt;&lt;foreign-keys&gt;&lt;key app="EN" db-id="ded9vtpt1d2wvmex2x0pddz9raws90dfwftf" timestamp="1690943055"&gt;10917&lt;/key&gt;&lt;/foreign-keys&gt;&lt;ref-type name="Journal Article"&gt;17&lt;/ref-type&gt;&lt;contributors&gt;&lt;authors&gt;&lt;author&gt;Xu, Lei&lt;/author&gt;&lt;author&gt;Skoularidou, Maria&lt;/author&gt;&lt;author&gt;Cuesta-Infante, Alfredo&lt;/author&gt;&lt;author&gt;Veeramachaneni, Kalyan&lt;/author&gt;&lt;/authors&gt;&lt;/contributors&gt;&lt;titles&gt;&lt;title&gt;Modeling tabular data using conditional gan&lt;/title&gt;&lt;secondary-title&gt;Advances in neural information processing systems&lt;/secondary-title&gt;&lt;/titles&gt;&lt;periodical&gt;&lt;full-title&gt;Advances in Neural Information Processing Systems&lt;/full-title&gt;&lt;abbr-1&gt;Adv. Neural Inf. Process. Syst.&lt;/abbr-1&gt;&lt;abbr-2&gt;Adv Neural Inf Process Syst&lt;/abbr-2&gt;&lt;/periodical&gt;&lt;volume&gt;32&lt;/volume&gt;&lt;dates&gt;&lt;year&gt;2019&lt;/year&gt;&lt;/dates&gt;&lt;urls&gt;&lt;/urls&gt;&lt;/record&gt;&lt;/Cite&gt;&lt;/EndNote&gt;</w:instrText>
      </w:r>
      <w:r>
        <w:fldChar w:fldCharType="separate"/>
      </w:r>
      <w:r w:rsidR="00720F22" w:rsidRPr="00720F22">
        <w:rPr>
          <w:noProof/>
          <w:vertAlign w:val="superscript"/>
        </w:rPr>
        <w:t>8</w:t>
      </w:r>
      <w:r>
        <w:fldChar w:fldCharType="end"/>
      </w:r>
      <w:r w:rsidRPr="0033353C">
        <w:t>.</w:t>
      </w:r>
      <w:r>
        <w:t xml:space="preserve"> </w:t>
      </w:r>
      <w:r w:rsidRPr="0033353C">
        <w:t>Second, the segment embedding representation</w:t>
      </w:r>
      <w:r>
        <w:t xml:space="preserve"> process</w:t>
      </w:r>
      <w:r w:rsidRPr="0033353C">
        <w:t xml:space="preserve"> and GAN conditioning further abstract</w:t>
      </w:r>
      <w:r w:rsidR="00E25757">
        <w:t>ed</w:t>
      </w:r>
      <w:r w:rsidRPr="0033353C">
        <w:t xml:space="preserve"> sensitive spatial relationships</w:t>
      </w:r>
      <w:r>
        <w:t xml:space="preserve">, </w:t>
      </w:r>
      <w:r w:rsidRPr="0033353C">
        <w:t>replacing explicit geographic coordinates with compressed, non-invertible latent vectors. This embedding</w:t>
      </w:r>
      <w:r w:rsidR="00886A5A">
        <w:t>-space mixing introduce</w:t>
      </w:r>
      <w:r w:rsidR="00E25757">
        <w:t>d</w:t>
      </w:r>
      <w:r w:rsidR="00886A5A">
        <w:t xml:space="preserve"> an additional layer of privacy,</w:t>
      </w:r>
      <w:r w:rsidRPr="0033353C">
        <w:t xml:space="preserve"> making it </w:t>
      </w:r>
      <w:r>
        <w:t xml:space="preserve">quite challenging </w:t>
      </w:r>
      <w:r w:rsidRPr="0033353C">
        <w:t>to reconstruct real-world locations directly from the model</w:t>
      </w:r>
      <w:r>
        <w:t>'</w:t>
      </w:r>
      <w:r w:rsidRPr="0033353C">
        <w:t>s internal features.</w:t>
      </w:r>
    </w:p>
    <w:p w14:paraId="76F4307C" w14:textId="77777777" w:rsidR="00DB5099" w:rsidRPr="0033353C" w:rsidRDefault="00DB5099" w:rsidP="00DB5099">
      <w:pPr>
        <w:pStyle w:val="NoSpacing"/>
        <w:jc w:val="both"/>
      </w:pPr>
    </w:p>
    <w:p w14:paraId="10F4F046" w14:textId="65B7103A" w:rsidR="00DB5099" w:rsidRPr="0033353C" w:rsidRDefault="00DB5099" w:rsidP="00DB5099">
      <w:pPr>
        <w:pStyle w:val="NoSpacing"/>
        <w:jc w:val="both"/>
      </w:pPr>
      <w:r>
        <w:t xml:space="preserve">However, for added security, following geosynthetic data </w:t>
      </w:r>
      <w:r w:rsidRPr="0033353C">
        <w:t xml:space="preserve">generation and reconstruction, the fully synthesized dataset </w:t>
      </w:r>
      <w:r w:rsidR="00E25757">
        <w:t>was</w:t>
      </w:r>
      <w:r>
        <w:t xml:space="preserve"> passed through</w:t>
      </w:r>
      <w:r w:rsidRPr="0033353C">
        <w:t xml:space="preserve"> a two-stage privacy gating process to enforce spatial and</w:t>
      </w:r>
      <w:r>
        <w:t xml:space="preserve"> </w:t>
      </w:r>
      <w:r w:rsidRPr="0033353C">
        <w:t>proximity-based privacy constraints:</w:t>
      </w:r>
    </w:p>
    <w:p w14:paraId="1FB25E36" w14:textId="77777777" w:rsidR="00DB5099" w:rsidRPr="0033353C" w:rsidRDefault="00DB5099" w:rsidP="00DB5099">
      <w:pPr>
        <w:pStyle w:val="NoSpacing"/>
      </w:pPr>
    </w:p>
    <w:p w14:paraId="18D4FA9D" w14:textId="1DE4BB52" w:rsidR="00DB5099" w:rsidRPr="0033353C" w:rsidRDefault="00DB5099" w:rsidP="00DB5099">
      <w:pPr>
        <w:pStyle w:val="NoSpacing"/>
        <w:jc w:val="both"/>
      </w:pPr>
      <w:r>
        <w:t xml:space="preserve">(i) </w:t>
      </w:r>
      <w:r w:rsidRPr="0033353C">
        <w:t xml:space="preserve">Spatial </w:t>
      </w:r>
      <w:r w:rsidRPr="004E49BA">
        <w:rPr>
          <w:i/>
          <w:iCs/>
        </w:rPr>
        <w:t>k</w:t>
      </w:r>
      <w:r w:rsidRPr="0033353C">
        <w:t>-</w:t>
      </w:r>
      <w:r w:rsidR="004E49BA">
        <w:t>a</w:t>
      </w:r>
      <w:r w:rsidRPr="0033353C">
        <w:t xml:space="preserve">nonymity </w:t>
      </w:r>
      <w:r w:rsidR="000F7EE3">
        <w:t>f</w:t>
      </w:r>
      <w:r w:rsidRPr="0033353C">
        <w:t>ilter:</w:t>
      </w:r>
      <w:r>
        <w:t xml:space="preserve"> </w:t>
      </w:r>
      <w:r w:rsidRPr="0033353C">
        <w:t>To prevent re</w:t>
      </w:r>
      <w:r w:rsidR="005209E3">
        <w:t>-</w:t>
      </w:r>
      <w:r w:rsidRPr="0033353C">
        <w:t xml:space="preserve">identification in rare or isolated regions, a synthetic event </w:t>
      </w:r>
      <w:r w:rsidR="000F7EE3">
        <w:t>was</w:t>
      </w:r>
      <w:r w:rsidRPr="0033353C">
        <w:t xml:space="preserve"> retained only if its assigned segment was associated with at least </w:t>
      </w:r>
      <w:r w:rsidRPr="00C3522D">
        <w:rPr>
          <w:i/>
          <w:iCs/>
        </w:rPr>
        <w:t>k</w:t>
      </w:r>
      <w:r w:rsidRPr="0033353C">
        <w:t xml:space="preserve"> real events in the training data</w:t>
      </w:r>
      <w:r w:rsidR="0095400F">
        <w:t xml:space="preserve"> </w:t>
      </w:r>
      <w:r w:rsidR="0095400F">
        <w:fldChar w:fldCharType="begin"/>
      </w:r>
      <w:r w:rsidR="00720F22">
        <w:instrText xml:space="preserve"> ADDIN EN.CITE &lt;EndNote&gt;&lt;Cite&gt;&lt;Author&gt;Gruteser&lt;/Author&gt;&lt;Year&gt;2003&lt;/Year&gt;&lt;RecNum&gt;11357&lt;/RecNum&gt;&lt;DisplayText&gt;&lt;style face="superscript"&gt;12,13&lt;/style&gt;&lt;/DisplayText&gt;&lt;record&gt;&lt;rec-number&gt;11357&lt;/rec-number&gt;&lt;foreign-keys&gt;&lt;key app="EN" db-id="ded9vtpt1d2wvmex2x0pddz9raws90dfwftf" timestamp="1764551584"&gt;11357&lt;/key&gt;&lt;/foreign-keys&gt;&lt;ref-type name="Conference Proceedings"&gt;10&lt;/ref-type&gt;&lt;contributors&gt;&lt;authors&gt;&lt;author&gt;Gruteser, Marco&lt;/author&gt;&lt;author&gt;Grunwald, Dirk&lt;/author&gt;&lt;/authors&gt;&lt;/contributors&gt;&lt;titles&gt;&lt;title&gt;Anonymous usage of location-based services through spatial and temporal cloaking&lt;/title&gt;&lt;secondary-title&gt;Proceedings of the 1st international conference on Mobile systems, applications and services&lt;/secondary-title&gt;&lt;/titles&gt;&lt;pages&gt;31-42&lt;/pages&gt;&lt;dates&gt;&lt;year&gt;2003&lt;/year&gt;&lt;/dates&gt;&lt;urls&gt;&lt;/urls&gt;&lt;/record&gt;&lt;/Cite&gt;&lt;Cite&gt;&lt;Author&gt;Sweeney&lt;/Author&gt;&lt;Year&gt;2002&lt;/Year&gt;&lt;RecNum&gt;11358&lt;/RecNum&gt;&lt;record&gt;&lt;rec-number&gt;11358&lt;/rec-number&gt;&lt;foreign-keys&gt;&lt;key app="EN" db-id="ded9vtpt1d2wvmex2x0pddz9raws90dfwftf" timestamp="1764551678"&gt;11358&lt;/key&gt;&lt;/foreign-keys&gt;&lt;ref-type name="Journal Article"&gt;17&lt;/ref-type&gt;&lt;contributors&gt;&lt;authors&gt;&lt;author&gt;Sweeney, Latanya&lt;/author&gt;&lt;/authors&gt;&lt;/contributors&gt;&lt;titles&gt;&lt;title&gt;k-anonymity: A model for protecting privacy&lt;/title&gt;&lt;secondary-title&gt;International journal of uncertainty, fuzziness and knowledge-based systems&lt;/secondary-title&gt;&lt;/titles&gt;&lt;periodical&gt;&lt;full-title&gt;International journal of uncertainty, fuzziness and knowledge-based systems&lt;/full-title&gt;&lt;/periodical&gt;&lt;pages&gt;557-570&lt;/pages&gt;&lt;volume&gt;10&lt;/volume&gt;&lt;number&gt;05&lt;/number&gt;&lt;dates&gt;&lt;year&gt;2002&lt;/year&gt;&lt;/dates&gt;&lt;isbn&gt;0218-4885&lt;/isbn&gt;&lt;urls&gt;&lt;/urls&gt;&lt;/record&gt;&lt;/Cite&gt;&lt;/EndNote&gt;</w:instrText>
      </w:r>
      <w:r w:rsidR="0095400F">
        <w:fldChar w:fldCharType="separate"/>
      </w:r>
      <w:r w:rsidR="00720F22" w:rsidRPr="00720F22">
        <w:rPr>
          <w:noProof/>
          <w:vertAlign w:val="superscript"/>
        </w:rPr>
        <w:t>12,13</w:t>
      </w:r>
      <w:r w:rsidR="0095400F">
        <w:fldChar w:fldCharType="end"/>
      </w:r>
      <w:r w:rsidRPr="0033353C">
        <w:t>. The anonymity threshold (</w:t>
      </w:r>
      <w:r w:rsidRPr="004238C7">
        <w:rPr>
          <w:rFonts w:ascii="Courier New" w:hAnsi="Courier New" w:cs="Courier New"/>
        </w:rPr>
        <w:t>K_ANON</w:t>
      </w:r>
      <w:r w:rsidRPr="0033353C">
        <w:t>) was set to 10, ensuring that no synthetic event originate</w:t>
      </w:r>
      <w:r w:rsidR="000F7EE3">
        <w:t>d</w:t>
      </w:r>
      <w:r w:rsidRPr="0033353C">
        <w:t xml:space="preserve"> from a segment with fewer than 10 real samples.</w:t>
      </w:r>
      <w:r>
        <w:t xml:space="preserve"> A larger value could be applied depending on the required privacy gatekeeping</w:t>
      </w:r>
      <w:r w:rsidR="004238C7">
        <w:t>.</w:t>
      </w:r>
      <w:r>
        <w:t xml:space="preserve"> </w:t>
      </w:r>
      <w:r w:rsidR="004238C7">
        <w:t>H</w:t>
      </w:r>
      <w:r>
        <w:t xml:space="preserve">owever, it </w:t>
      </w:r>
      <w:r w:rsidR="000F7EE3">
        <w:t>would</w:t>
      </w:r>
      <w:r>
        <w:t xml:space="preserve"> also reduce the spatial granularity and fidelity of the synthetic data.  </w:t>
      </w:r>
    </w:p>
    <w:p w14:paraId="3D9F06F7" w14:textId="77777777" w:rsidR="00DB5099" w:rsidRPr="0033353C" w:rsidRDefault="00DB5099" w:rsidP="00DB5099">
      <w:pPr>
        <w:pStyle w:val="NoSpacing"/>
      </w:pPr>
    </w:p>
    <w:p w14:paraId="18DB18D6" w14:textId="7881D5FC" w:rsidR="00DB5099" w:rsidRDefault="00DB5099" w:rsidP="00DB5099">
      <w:pPr>
        <w:pStyle w:val="NoSpacing"/>
        <w:jc w:val="both"/>
      </w:pPr>
      <w:r>
        <w:t xml:space="preserve">(ii) </w:t>
      </w:r>
      <w:r w:rsidRPr="0033353C">
        <w:t xml:space="preserve">Distance-to-Closest-Record (DCR) </w:t>
      </w:r>
      <w:r w:rsidR="000F7EE3">
        <w:t>f</w:t>
      </w:r>
      <w:r w:rsidRPr="0033353C">
        <w:t>ilter:</w:t>
      </w:r>
      <w:r>
        <w:t xml:space="preserve"> For</w:t>
      </w:r>
      <w:r w:rsidRPr="0033353C">
        <w:t xml:space="preserve"> mitigat</w:t>
      </w:r>
      <w:r>
        <w:t>ing the</w:t>
      </w:r>
      <w:r w:rsidRPr="0033353C">
        <w:t xml:space="preserve"> risks of data memorization or near-duplicate generation, the distance from each synthetic event to its nearest real event </w:t>
      </w:r>
      <w:r w:rsidR="000F7EE3">
        <w:t>was</w:t>
      </w:r>
      <w:r w:rsidRPr="0033353C">
        <w:t xml:space="preserve"> calculated in metric space using a KD-tree structure</w:t>
      </w:r>
      <w:r w:rsidR="006B17EA">
        <w:t xml:space="preserve"> </w:t>
      </w:r>
      <w:r w:rsidR="006B17EA">
        <w:fldChar w:fldCharType="begin"/>
      </w:r>
      <w:r w:rsidR="00720F22">
        <w:instrText xml:space="preserve"> ADDIN EN.CITE &lt;EndNote&gt;&lt;Cite&gt;&lt;Author&gt;Park&lt;/Author&gt;&lt;Year&gt;2018&lt;/Year&gt;&lt;RecNum&gt;11359&lt;/RecNum&gt;&lt;DisplayText&gt;&lt;style face="superscript"&gt;14&lt;/style&gt;&lt;/DisplayText&gt;&lt;record&gt;&lt;rec-number&gt;11359&lt;/rec-number&gt;&lt;foreign-keys&gt;&lt;key app="EN" db-id="ded9vtpt1d2wvmex2x0pddz9raws90dfwftf" timestamp="1764551790"&gt;11359&lt;/key&gt;&lt;/foreign-keys&gt;&lt;ref-type name="Journal Article"&gt;17&lt;/ref-type&gt;&lt;contributors&gt;&lt;authors&gt;&lt;author&gt;Park, Noseong&lt;/author&gt;&lt;author&gt;Mohammadi, Mahmoud&lt;/author&gt;&lt;author&gt;Gorde, Kshitij&lt;/author&gt;&lt;author&gt;Jajodia, Sushil&lt;/author&gt;&lt;author&gt;Park, Hongkyu&lt;/author&gt;&lt;author&gt;Kim, Youngmin&lt;/author&gt;&lt;/authors&gt;&lt;/contributors&gt;&lt;titles&gt;&lt;title&gt;Data synthesis based on generative adversarial networks&lt;/title&gt;&lt;secondary-title&gt;arXiv preprint arXiv:1806.03384&lt;/secondary-title&gt;&lt;/titles&gt;&lt;periodical&gt;&lt;full-title&gt;arXiv preprint arXiv:1806.03384&lt;/full-title&gt;&lt;/periodical&gt;&lt;dates&gt;&lt;year&gt;2018&lt;/year&gt;&lt;/dates&gt;&lt;urls&gt;&lt;/urls&gt;&lt;/record&gt;&lt;/Cite&gt;&lt;/EndNote&gt;</w:instrText>
      </w:r>
      <w:r w:rsidR="006B17EA">
        <w:fldChar w:fldCharType="separate"/>
      </w:r>
      <w:r w:rsidR="00720F22" w:rsidRPr="00720F22">
        <w:rPr>
          <w:noProof/>
          <w:vertAlign w:val="superscript"/>
        </w:rPr>
        <w:t>14</w:t>
      </w:r>
      <w:r w:rsidR="006B17EA">
        <w:fldChar w:fldCharType="end"/>
      </w:r>
      <w:r w:rsidRPr="0033353C">
        <w:t>. Events with distances smaller than the minimum privacy buffer (</w:t>
      </w:r>
      <w:r w:rsidRPr="00667241">
        <w:rPr>
          <w:rFonts w:ascii="Courier New" w:hAnsi="Courier New" w:cs="Courier New"/>
        </w:rPr>
        <w:t>DCR_THRESH_M</w:t>
      </w:r>
      <w:r w:rsidRPr="0033353C">
        <w:t xml:space="preserve">, set to 5.0 m) </w:t>
      </w:r>
      <w:r w:rsidR="00C63835">
        <w:t>were</w:t>
      </w:r>
      <w:r w:rsidRPr="0033353C">
        <w:t xml:space="preserve"> discarded.</w:t>
      </w:r>
      <w:r>
        <w:t xml:space="preserve"> T</w:t>
      </w:r>
      <w:r w:rsidRPr="005D4FC8">
        <w:t>he DCR filter enforce</w:t>
      </w:r>
      <w:r w:rsidR="00C63835">
        <w:t>d</w:t>
      </w:r>
      <w:r w:rsidRPr="005D4FC8">
        <w:t xml:space="preserve"> a minimum spatial separation between real and synthetic </w:t>
      </w:r>
      <w:r>
        <w:t>events</w:t>
      </w:r>
      <w:r w:rsidRPr="005D4FC8">
        <w:t xml:space="preserve">, ensuring no synthetic record </w:t>
      </w:r>
      <w:r w:rsidR="00C63835">
        <w:t>was</w:t>
      </w:r>
      <w:r w:rsidRPr="005D4FC8">
        <w:t xml:space="preserve"> an exact or nearly exact spatial copy of a real record.</w:t>
      </w:r>
    </w:p>
    <w:p w14:paraId="28547AD2" w14:textId="77777777" w:rsidR="00DB5099" w:rsidRDefault="00DB5099" w:rsidP="00DB5099">
      <w:pPr>
        <w:pStyle w:val="NoSpacing"/>
        <w:jc w:val="both"/>
      </w:pPr>
    </w:p>
    <w:p w14:paraId="4BF8A327" w14:textId="59828E51" w:rsidR="00DB5099" w:rsidRPr="008C57CF" w:rsidRDefault="000F29DC" w:rsidP="00667241">
      <w:pPr>
        <w:pStyle w:val="NoSpacing"/>
        <w:rPr>
          <w:b/>
          <w:bCs/>
        </w:rPr>
      </w:pPr>
      <w:r w:rsidRPr="000F29DC">
        <w:rPr>
          <w:b/>
          <w:bCs/>
        </w:rPr>
        <w:t>7</w:t>
      </w:r>
      <w:r w:rsidR="00DB5099" w:rsidRPr="00D647FA">
        <w:rPr>
          <w:b/>
          <w:bCs/>
        </w:rPr>
        <w:t xml:space="preserve"> </w:t>
      </w:r>
      <w:r w:rsidR="00DB5099" w:rsidRPr="008C57CF">
        <w:rPr>
          <w:b/>
          <w:bCs/>
        </w:rPr>
        <w:t>Evaluation Framework: Comparing utility, fidelity and privacy disclosure risk of the synthetic data</w:t>
      </w:r>
    </w:p>
    <w:p w14:paraId="1C97F958" w14:textId="77777777" w:rsidR="00DB5099" w:rsidRPr="008C57CF" w:rsidRDefault="00DB5099" w:rsidP="00DB5099">
      <w:pPr>
        <w:pStyle w:val="NoSpacing"/>
        <w:jc w:val="both"/>
      </w:pPr>
    </w:p>
    <w:p w14:paraId="0D456735" w14:textId="77777777" w:rsidR="00DB5099" w:rsidRPr="008C57CF" w:rsidRDefault="00DB5099" w:rsidP="00DB5099">
      <w:pPr>
        <w:pStyle w:val="NoSpacing"/>
        <w:jc w:val="both"/>
      </w:pPr>
      <w:r w:rsidRPr="008C57CF">
        <w:t xml:space="preserve">Evaluating the quality of geosynthetic data is a challenging task, particularly for complex tabular and spatial datasets, where a specialized evaluation framework is required to assess the generated data across three critical spatial and non-spatial domains: (a) statistical fidelity, (b) spatial utility, and (c) privacy-preservation. </w:t>
      </w:r>
    </w:p>
    <w:p w14:paraId="3A95259C" w14:textId="77777777" w:rsidR="00DB5099" w:rsidRPr="008C57CF" w:rsidRDefault="00DB5099" w:rsidP="00DB5099">
      <w:pPr>
        <w:pStyle w:val="NoSpacing"/>
        <w:jc w:val="both"/>
      </w:pPr>
    </w:p>
    <w:p w14:paraId="06D0A4D9" w14:textId="0D359A93" w:rsidR="00DB5099" w:rsidRPr="008C57CF" w:rsidRDefault="00DB5099" w:rsidP="00DB5099">
      <w:pPr>
        <w:pStyle w:val="NoSpacing"/>
        <w:jc w:val="both"/>
      </w:pPr>
      <w:r w:rsidRPr="008C57CF">
        <w:t xml:space="preserve">We executed a three-way comparison across all </w:t>
      </w:r>
      <w:r>
        <w:t>metrics</w:t>
      </w:r>
      <w:r w:rsidRPr="008C57CF">
        <w:t xml:space="preserve"> </w:t>
      </w:r>
      <w:r w:rsidR="00737C2D">
        <w:t xml:space="preserve">among </w:t>
      </w:r>
      <w:r w:rsidRPr="008C57CF">
        <w:t>the real training events</w:t>
      </w:r>
      <w:r w:rsidR="00737C2D">
        <w:t xml:space="preserve"> used in GeoCTGAN</w:t>
      </w:r>
      <w:r w:rsidRPr="008C57CF">
        <w:t xml:space="preserve"> against two sets of geosynthetic data outputs: (a) raw synthetic events (after coordinate reconstruction), and (b) privacy-preserved synthetic events (after </w:t>
      </w:r>
      <w:r w:rsidRPr="004E49BA">
        <w:rPr>
          <w:i/>
          <w:iCs/>
        </w:rPr>
        <w:t>k</w:t>
      </w:r>
      <w:r w:rsidRPr="008C57CF">
        <w:t>-anonymity and DCR gating applied). This ensured that the evaluation framework not only a</w:t>
      </w:r>
      <w:r>
        <w:t>ssessed the model's performance but also the specific impact of our spatial privacy-gating procedure on the utility and fidelity</w:t>
      </w:r>
      <w:r w:rsidRPr="008C57CF">
        <w:t xml:space="preserve"> of the geosynthetic data. </w:t>
      </w:r>
      <w:r w:rsidRPr="00B5187E">
        <w:t xml:space="preserve">All evaluations were conducted using the common transformed </w:t>
      </w:r>
      <w:r w:rsidRPr="00B5187E">
        <w:lastRenderedPageBreak/>
        <w:t>feature space shared between real and synthetic tables to ensure strict comparability across SDMetrics, spatial analyses, and regression models.</w:t>
      </w:r>
    </w:p>
    <w:p w14:paraId="0D50BDC6" w14:textId="77777777" w:rsidR="00DB5099" w:rsidRPr="008C57CF" w:rsidRDefault="00DB5099" w:rsidP="00DB5099">
      <w:pPr>
        <w:pStyle w:val="NoSpacing"/>
        <w:jc w:val="both"/>
      </w:pPr>
    </w:p>
    <w:p w14:paraId="6D8D1D75" w14:textId="009A9AFD" w:rsidR="00DB5099" w:rsidRPr="008C57CF" w:rsidRDefault="000F29DC" w:rsidP="00DB5099">
      <w:pPr>
        <w:pStyle w:val="NoSpacing"/>
        <w:jc w:val="both"/>
        <w:rPr>
          <w:b/>
          <w:bCs/>
        </w:rPr>
      </w:pPr>
      <w:r>
        <w:rPr>
          <w:b/>
          <w:bCs/>
        </w:rPr>
        <w:t>7</w:t>
      </w:r>
      <w:r w:rsidR="00DB5099">
        <w:rPr>
          <w:b/>
          <w:bCs/>
        </w:rPr>
        <w:t>.1</w:t>
      </w:r>
      <w:r w:rsidR="00DB5099" w:rsidRPr="008C57CF">
        <w:rPr>
          <w:b/>
          <w:bCs/>
        </w:rPr>
        <w:t xml:space="preserve"> Statistical Fidelity Assessment </w:t>
      </w:r>
    </w:p>
    <w:p w14:paraId="59B00B1C" w14:textId="77777777" w:rsidR="00DB5099" w:rsidRPr="008C57CF" w:rsidRDefault="00DB5099" w:rsidP="00DB5099">
      <w:pPr>
        <w:pStyle w:val="NoSpacing"/>
        <w:jc w:val="both"/>
      </w:pPr>
    </w:p>
    <w:p w14:paraId="51A729E1" w14:textId="3C433258" w:rsidR="00DB5099" w:rsidRPr="008C57CF" w:rsidRDefault="00DB5099" w:rsidP="00DB5099">
      <w:pPr>
        <w:pStyle w:val="NoSpacing"/>
        <w:jc w:val="both"/>
      </w:pPr>
      <w:r w:rsidRPr="008C57CF">
        <w:t>Statistical fidelity, or resemblance, measured how closely the statistical properties of the synthetic data mirror</w:t>
      </w:r>
      <w:r w:rsidR="00344556">
        <w:t>ed</w:t>
      </w:r>
      <w:r w:rsidRPr="008C57CF">
        <w:t xml:space="preserve"> those of the real data </w:t>
      </w:r>
      <w:r w:rsidRPr="008C57CF">
        <w:fldChar w:fldCharType="begin"/>
      </w:r>
      <w:r w:rsidR="00720F22">
        <w:instrText xml:space="preserve"> ADDIN EN.CITE &lt;EndNote&gt;&lt;Cite&gt;&lt;Author&gt;El Emam&lt;/Author&gt;&lt;Year&gt;2020&lt;/Year&gt;&lt;RecNum&gt;10962&lt;/RecNum&gt;&lt;DisplayText&gt;&lt;style face="superscript"&gt;15&lt;/style&gt;&lt;/DisplayText&gt;&lt;record&gt;&lt;rec-number&gt;10962&lt;/rec-number&gt;&lt;foreign-keys&gt;&lt;key app="EN" db-id="ded9vtpt1d2wvmex2x0pddz9raws90dfwftf" timestamp="1693177709"&gt;10962&lt;/key&gt;&lt;/foreign-keys&gt;&lt;ref-type name="Book"&gt;6&lt;/ref-type&gt;&lt;contributors&gt;&lt;authors&gt;&lt;author&gt;El Emam, Khaled&lt;/author&gt;&lt;author&gt;Mosquera, Lucy&lt;/author&gt;&lt;author&gt;Hoptroff, Richard&lt;/author&gt;&lt;/authors&gt;&lt;/contributors&gt;&lt;titles&gt;&lt;title&gt;Practical synthetic data generation: balancing privacy and the broad availability of data&lt;/title&gt;&lt;/titles&gt;&lt;dates&gt;&lt;year&gt;2020&lt;/year&gt;&lt;/dates&gt;&lt;publisher&gt;O&amp;apos;Reilly Media&lt;/publisher&gt;&lt;isbn&gt;1492072710&lt;/isbn&gt;&lt;urls&gt;&lt;/urls&gt;&lt;/record&gt;&lt;/Cite&gt;&lt;/EndNote&gt;</w:instrText>
      </w:r>
      <w:r w:rsidRPr="008C57CF">
        <w:fldChar w:fldCharType="separate"/>
      </w:r>
      <w:r w:rsidR="00720F22" w:rsidRPr="00720F22">
        <w:rPr>
          <w:noProof/>
          <w:vertAlign w:val="superscript"/>
        </w:rPr>
        <w:t>15</w:t>
      </w:r>
      <w:r w:rsidRPr="008C57CF">
        <w:fldChar w:fldCharType="end"/>
      </w:r>
      <w:r w:rsidRPr="008C57CF">
        <w:t xml:space="preserve">. A high-fidelity dataset should preserve not only the distributions of individual attributes but also the complex, multivariate relationships between them, including </w:t>
      </w:r>
      <w:r w:rsidR="00497941">
        <w:t>spatial patterns and</w:t>
      </w:r>
      <w:r w:rsidRPr="002A3E84">
        <w:t xml:space="preserve"> salient temporal regularities. </w:t>
      </w:r>
      <w:r w:rsidRPr="008C57CF">
        <w:t xml:space="preserve">   </w:t>
      </w:r>
    </w:p>
    <w:p w14:paraId="14FE8E7B" w14:textId="77777777" w:rsidR="00DB5099" w:rsidRPr="008C57CF" w:rsidRDefault="00DB5099" w:rsidP="00DB5099">
      <w:pPr>
        <w:pStyle w:val="NoSpacing"/>
        <w:jc w:val="both"/>
      </w:pPr>
    </w:p>
    <w:p w14:paraId="04ACD430" w14:textId="75053FDB" w:rsidR="00DB5099" w:rsidRDefault="00DB5099" w:rsidP="00DB5099">
      <w:pPr>
        <w:pStyle w:val="NoSpacing"/>
        <w:jc w:val="both"/>
      </w:pPr>
      <w:r w:rsidRPr="006B6AB5">
        <w:t xml:space="preserve">i) Univariate </w:t>
      </w:r>
      <w:r w:rsidR="006B6AB5">
        <w:t>a</w:t>
      </w:r>
      <w:r w:rsidRPr="006B6AB5">
        <w:t>ssessment:</w:t>
      </w:r>
      <w:r w:rsidRPr="008C57CF">
        <w:rPr>
          <w:i/>
          <w:iCs/>
        </w:rPr>
        <w:t xml:space="preserve"> </w:t>
      </w:r>
      <w:r w:rsidRPr="008C57CF">
        <w:t>We first computed a high-level, aggregate quality score using the Synthetic Data Metrics (SD metrics) library (</w:t>
      </w:r>
      <w:hyperlink r:id="rId11" w:history="1">
        <w:r w:rsidRPr="008C57CF">
          <w:rPr>
            <w:rStyle w:val="Hyperlink"/>
          </w:rPr>
          <w:t>https://docs.sdv.dev/sdmetrics</w:t>
        </w:r>
      </w:hyperlink>
      <w:r w:rsidRPr="008C57CF">
        <w:t>). This composite score provide</w:t>
      </w:r>
      <w:r w:rsidR="00CA34DE">
        <w:t>d</w:t>
      </w:r>
      <w:r w:rsidRPr="008C57CF">
        <w:t xml:space="preserve"> a holistic measure of data quality by summarizing both column-level distributional similarity and pairwise correlation similarity into a single, comparable metric. The </w:t>
      </w:r>
      <w:r>
        <w:t>quality metrics implemented for each data column or variable depended on the</w:t>
      </w:r>
      <w:r w:rsidRPr="008C57CF">
        <w:t xml:space="preserve"> category defined in the metadata. </w:t>
      </w:r>
      <w:r w:rsidRPr="00EB6932">
        <w:t>These SDMetrics reports were generated using the DiagnosticReport and QualityReport modules.</w:t>
      </w:r>
    </w:p>
    <w:p w14:paraId="7554DE32" w14:textId="77777777" w:rsidR="00DB5099" w:rsidRDefault="00DB5099" w:rsidP="00DB5099">
      <w:pPr>
        <w:pStyle w:val="NoSpacing"/>
        <w:jc w:val="both"/>
      </w:pPr>
    </w:p>
    <w:p w14:paraId="53DD1D2C" w14:textId="6BBC9836" w:rsidR="00DB5099" w:rsidRPr="008C57CF" w:rsidRDefault="00DB5099" w:rsidP="00DB5099">
      <w:pPr>
        <w:pStyle w:val="NoSpacing"/>
        <w:jc w:val="both"/>
      </w:pPr>
      <w:r>
        <w:t>Additionally, t</w:t>
      </w:r>
      <w:r w:rsidRPr="0079563E">
        <w:t xml:space="preserve">o quantify </w:t>
      </w:r>
      <w:r>
        <w:t xml:space="preserve">overall </w:t>
      </w:r>
      <w:r w:rsidRPr="0079563E">
        <w:t>univariate fidelity, we computed the Hellinger Distance for each column. This metric measure</w:t>
      </w:r>
      <w:r w:rsidR="00833D32">
        <w:t>d</w:t>
      </w:r>
      <w:r w:rsidRPr="0079563E">
        <w:t xml:space="preserve"> the divergence between the real and synthetic probability distributions, providing a score between 0 (identical) and 1 (maxim</w:t>
      </w:r>
      <w:r w:rsidR="000D1B97">
        <w:t>um</w:t>
      </w:r>
      <w:r w:rsidRPr="0079563E">
        <w:t xml:space="preserve"> divergence) for both numerical and categorical attributes</w:t>
      </w:r>
      <w:r>
        <w:t xml:space="preserve"> </w:t>
      </w:r>
      <w:r>
        <w:fldChar w:fldCharType="begin"/>
      </w:r>
      <w:r w:rsidR="00720F22">
        <w:instrText xml:space="preserve"> ADDIN EN.CITE &lt;EndNote&gt;&lt;Cite&gt;&lt;Author&gt;El Emam&lt;/Author&gt;&lt;Year&gt;2020&lt;/Year&gt;&lt;RecNum&gt;10919&lt;/RecNum&gt;&lt;DisplayText&gt;&lt;style face="superscript"&gt;15,16&lt;/style&gt;&lt;/DisplayText&gt;&lt;record&gt;&lt;rec-number&gt;10919&lt;/rec-number&gt;&lt;foreign-keys&gt;&lt;key app="EN" db-id="ded9vtpt1d2wvmex2x0pddz9raws90dfwftf" timestamp="1691108815"&gt;10919&lt;/key&gt;&lt;/foreign-keys&gt;&lt;ref-type name="Journal Article"&gt;17&lt;/ref-type&gt;&lt;contributors&gt;&lt;authors&gt;&lt;author&gt;El Emam, Khaled&lt;/author&gt;&lt;/authors&gt;&lt;/contributors&gt;&lt;titles&gt;&lt;title&gt;Seven ways to evaluate the utility of synthetic data&lt;/title&gt;&lt;secondary-title&gt;IEEE Security &amp;amp; Privacy&lt;/secondary-title&gt;&lt;/titles&gt;&lt;periodical&gt;&lt;full-title&gt;IEEE Security &amp;amp; Privacy&lt;/full-title&gt;&lt;/periodical&gt;&lt;pages&gt;56-59&lt;/pages&gt;&lt;volume&gt;18&lt;/volume&gt;&lt;number&gt;4&lt;/number&gt;&lt;dates&gt;&lt;year&gt;2020&lt;/year&gt;&lt;/dates&gt;&lt;isbn&gt;1540-7993&lt;/isbn&gt;&lt;urls&gt;&lt;/urls&gt;&lt;/record&gt;&lt;/Cite&gt;&lt;Cite&gt;&lt;Author&gt;El Emam&lt;/Author&gt;&lt;Year&gt;2020&lt;/Year&gt;&lt;RecNum&gt;10962&lt;/RecNum&gt;&lt;record&gt;&lt;rec-number&gt;10962&lt;/rec-number&gt;&lt;foreign-keys&gt;&lt;key app="EN" db-id="ded9vtpt1d2wvmex2x0pddz9raws90dfwftf" timestamp="1693177709"&gt;10962&lt;/key&gt;&lt;/foreign-keys&gt;&lt;ref-type name="Book"&gt;6&lt;/ref-type&gt;&lt;contributors&gt;&lt;authors&gt;&lt;author&gt;El Emam, Khaled&lt;/author&gt;&lt;author&gt;Mosquera, Lucy&lt;/author&gt;&lt;author&gt;Hoptroff, Richard&lt;/author&gt;&lt;/authors&gt;&lt;/contributors&gt;&lt;titles&gt;&lt;title&gt;Practical synthetic data generation: balancing privacy and the broad availability of data&lt;/title&gt;&lt;/titles&gt;&lt;dates&gt;&lt;year&gt;2020&lt;/year&gt;&lt;/dates&gt;&lt;publisher&gt;O&amp;apos;Reilly Media&lt;/publisher&gt;&lt;isbn&gt;1492072710&lt;/isbn&gt;&lt;urls&gt;&lt;/urls&gt;&lt;/record&gt;&lt;/Cite&gt;&lt;/EndNote&gt;</w:instrText>
      </w:r>
      <w:r>
        <w:fldChar w:fldCharType="separate"/>
      </w:r>
      <w:r w:rsidR="00720F22" w:rsidRPr="00720F22">
        <w:rPr>
          <w:noProof/>
          <w:vertAlign w:val="superscript"/>
        </w:rPr>
        <w:t>15,16</w:t>
      </w:r>
      <w:r>
        <w:fldChar w:fldCharType="end"/>
      </w:r>
      <w:r w:rsidRPr="0079563E">
        <w:t>.</w:t>
      </w:r>
    </w:p>
    <w:p w14:paraId="64B5084F" w14:textId="77777777" w:rsidR="00DB5099" w:rsidRPr="008C57CF" w:rsidRDefault="00DB5099" w:rsidP="00DB5099">
      <w:pPr>
        <w:pStyle w:val="NoSpacing"/>
        <w:jc w:val="both"/>
      </w:pPr>
    </w:p>
    <w:p w14:paraId="100CAB0C" w14:textId="06DA18B2" w:rsidR="00DB5099" w:rsidRPr="008C57CF" w:rsidRDefault="00DB5099" w:rsidP="00DB5099">
      <w:pPr>
        <w:pStyle w:val="NoSpacing"/>
        <w:jc w:val="both"/>
      </w:pPr>
      <w:r w:rsidRPr="00D419DE">
        <w:t xml:space="preserve">ii) Bivariate </w:t>
      </w:r>
      <w:r w:rsidR="00D419DE">
        <w:t>r</w:t>
      </w:r>
      <w:r w:rsidRPr="00D419DE">
        <w:t>elationships</w:t>
      </w:r>
      <w:r w:rsidRPr="008C57CF">
        <w:rPr>
          <w:i/>
          <w:iCs/>
        </w:rPr>
        <w:t>:</w:t>
      </w:r>
      <w:r w:rsidRPr="008C57CF">
        <w:t xml:space="preserve"> </w:t>
      </w:r>
      <w:r>
        <w:t>T</w:t>
      </w:r>
      <w:r w:rsidRPr="008C57CF">
        <w:t xml:space="preserve">o ensure that the complex interactions between features were preserved, we compared bivariate relationships. This </w:t>
      </w:r>
      <w:r w:rsidR="00D419DE">
        <w:t>wa</w:t>
      </w:r>
      <w:r w:rsidRPr="008C57CF">
        <w:t xml:space="preserve">s achieved by generating correlation matrix heatmaps </w:t>
      </w:r>
      <w:r w:rsidRPr="00DA0936">
        <w:t>(using Pearson</w:t>
      </w:r>
      <w:r w:rsidR="001F3384">
        <w:t>'s correlation for continuous variables and Cramér's V for categorical variable</w:t>
      </w:r>
      <w:r w:rsidRPr="00DA0936">
        <w:t>s)</w:t>
      </w:r>
      <w:r w:rsidRPr="008C57CF">
        <w:t xml:space="preserve"> for all three datasets. Verifying the preservation of the correlation structure was essential, as it indicated whether the synthetic data c</w:t>
      </w:r>
      <w:r w:rsidR="00112F91">
        <w:t>ould be reliably used for downstream multivariate modelling tasks in which</w:t>
      </w:r>
      <w:r w:rsidRPr="008C57CF">
        <w:t xml:space="preserve"> feature interactions would be the key factor.</w:t>
      </w:r>
      <w:r>
        <w:t xml:space="preserve"> </w:t>
      </w:r>
      <w:r w:rsidRPr="006A24B9">
        <w:t>Difference heatmaps were also generated (synthetic minus real) to quantify the degree and direction of deviation for each pairwise relationship.</w:t>
      </w:r>
    </w:p>
    <w:p w14:paraId="510AB7DC" w14:textId="77777777" w:rsidR="00DB5099" w:rsidRPr="008C57CF" w:rsidRDefault="00DB5099" w:rsidP="00DB5099">
      <w:pPr>
        <w:pStyle w:val="NoSpacing"/>
        <w:jc w:val="both"/>
      </w:pPr>
    </w:p>
    <w:p w14:paraId="233C5E39" w14:textId="073377F9" w:rsidR="00DB5099" w:rsidRPr="008C57CF" w:rsidRDefault="000F29DC" w:rsidP="00DB5099">
      <w:pPr>
        <w:pStyle w:val="NoSpacing"/>
        <w:jc w:val="both"/>
        <w:rPr>
          <w:b/>
          <w:bCs/>
        </w:rPr>
      </w:pPr>
      <w:r>
        <w:rPr>
          <w:b/>
          <w:bCs/>
        </w:rPr>
        <w:t>7</w:t>
      </w:r>
      <w:r w:rsidR="00DB5099">
        <w:rPr>
          <w:b/>
          <w:bCs/>
        </w:rPr>
        <w:t>.2</w:t>
      </w:r>
      <w:r w:rsidR="00DB5099" w:rsidRPr="008C57CF">
        <w:rPr>
          <w:b/>
          <w:bCs/>
        </w:rPr>
        <w:t xml:space="preserve"> Spatial Fidelity Assessment</w:t>
      </w:r>
    </w:p>
    <w:p w14:paraId="5DF76861" w14:textId="77777777" w:rsidR="00DB5099" w:rsidRPr="008C57CF" w:rsidRDefault="00DB5099" w:rsidP="00DB5099">
      <w:pPr>
        <w:pStyle w:val="NoSpacing"/>
        <w:jc w:val="both"/>
      </w:pPr>
    </w:p>
    <w:p w14:paraId="776C2980" w14:textId="673F3DC6" w:rsidR="00DB5099" w:rsidRDefault="00DB5099" w:rsidP="00DB5099">
      <w:pPr>
        <w:pStyle w:val="NoSpacing"/>
        <w:jc w:val="both"/>
      </w:pPr>
      <w:r w:rsidRPr="008C57CF">
        <w:t>The second, and most critical, component of the evaluation involved assessing the spatial fidelity of the geosynthetic data. This assessment aimed to validate the efficacy of our spatially-aware framework in capturing the unique spatial properties of the real dataset. We evaluate</w:t>
      </w:r>
      <w:r w:rsidR="005C5BED">
        <w:t>d</w:t>
      </w:r>
      <w:r w:rsidRPr="008C57CF">
        <w:t xml:space="preserve"> whether the geosynthetic data exhibited both macro- and micro-level structural similarities with the real data. </w:t>
      </w:r>
      <w:r w:rsidRPr="00471B7F">
        <w:t>This was performed at two scales</w:t>
      </w:r>
      <w:r>
        <w:t xml:space="preserve">: (i) a point-level analysis </w:t>
      </w:r>
      <w:r w:rsidRPr="00471B7F">
        <w:t xml:space="preserve">and </w:t>
      </w:r>
      <w:r>
        <w:t xml:space="preserve">(ii) </w:t>
      </w:r>
      <w:r w:rsidRPr="00471B7F">
        <w:t>an area-level analysis.</w:t>
      </w:r>
    </w:p>
    <w:p w14:paraId="0B8112A8" w14:textId="77777777" w:rsidR="00DB5099" w:rsidRDefault="00DB5099" w:rsidP="00DB5099">
      <w:pPr>
        <w:pStyle w:val="NoSpacing"/>
        <w:jc w:val="both"/>
      </w:pPr>
    </w:p>
    <w:p w14:paraId="71B573F2" w14:textId="6ECFF8A1" w:rsidR="00DB5099" w:rsidRDefault="00DB5099" w:rsidP="00DB5099">
      <w:pPr>
        <w:pStyle w:val="NoSpacing"/>
        <w:jc w:val="both"/>
      </w:pPr>
      <w:r w:rsidRPr="00011905">
        <w:t xml:space="preserve">i) </w:t>
      </w:r>
      <w:r w:rsidRPr="005C5BED">
        <w:t>Point-</w:t>
      </w:r>
      <w:r w:rsidR="005C5BED">
        <w:t>l</w:t>
      </w:r>
      <w:r w:rsidRPr="005C5BED">
        <w:t xml:space="preserve">evel </w:t>
      </w:r>
      <w:r w:rsidR="005C5BED">
        <w:t>s</w:t>
      </w:r>
      <w:r w:rsidRPr="005C5BED">
        <w:t xml:space="preserve">patial </w:t>
      </w:r>
      <w:r w:rsidR="005C5BED">
        <w:t>f</w:t>
      </w:r>
      <w:r w:rsidRPr="005C5BED">
        <w:t>idelity</w:t>
      </w:r>
      <w:r w:rsidRPr="00011905">
        <w:t xml:space="preserve">: To assess micro-scale spatial clustering, we compared the point patterns of the real and synthetic datasets using a Nearest </w:t>
      </w:r>
      <w:r>
        <w:t>Neighbour</w:t>
      </w:r>
      <w:r w:rsidRPr="00011905">
        <w:t xml:space="preserve"> Distance (NND) analysis</w:t>
      </w:r>
      <w:r w:rsidR="00504F10">
        <w:t xml:space="preserve"> </w:t>
      </w:r>
      <w:r w:rsidR="006A6C7A">
        <w:fldChar w:fldCharType="begin"/>
      </w:r>
      <w:r w:rsidR="00720F22">
        <w:instrText xml:space="preserve"> ADDIN EN.CITE &lt;EndNote&gt;&lt;Cite&gt;&lt;Author&gt;Baddeley&lt;/Author&gt;&lt;Year&gt;2016&lt;/Year&gt;&lt;RecNum&gt;11361&lt;/RecNum&gt;&lt;DisplayText&gt;&lt;style face="superscript"&gt;17&lt;/style&gt;&lt;/DisplayText&gt;&lt;record&gt;&lt;rec-number&gt;11361&lt;/rec-number&gt;&lt;foreign-keys&gt;&lt;key app="EN" db-id="ded9vtpt1d2wvmex2x0pddz9raws90dfwftf" timestamp="1764555535"&gt;11361&lt;/key&gt;&lt;/foreign-keys&gt;&lt;ref-type name="Book"&gt;6&lt;/ref-type&gt;&lt;contributors&gt;&lt;authors&gt;&lt;author&gt;Baddeley, Adrian&lt;/author&gt;&lt;author&gt;Rubak, Ege&lt;/author&gt;&lt;author&gt;Turner, Rolf&lt;/author&gt;&lt;/authors&gt;&lt;/contributors&gt;&lt;titles&gt;&lt;title&gt;Spatial point patterns: methodology and applications with R&lt;/title&gt;&lt;/titles&gt;&lt;volume&gt;1&lt;/volume&gt;&lt;dates&gt;&lt;year&gt;2016&lt;/year&gt;&lt;/dates&gt;&lt;publisher&gt;CRC press Boca Raton&lt;/publisher&gt;&lt;urls&gt;&lt;/urls&gt;&lt;/record&gt;&lt;/Cite&gt;&lt;/EndNote&gt;</w:instrText>
      </w:r>
      <w:r w:rsidR="006A6C7A">
        <w:fldChar w:fldCharType="separate"/>
      </w:r>
      <w:r w:rsidR="00720F22" w:rsidRPr="00720F22">
        <w:rPr>
          <w:noProof/>
          <w:vertAlign w:val="superscript"/>
        </w:rPr>
        <w:t>17</w:t>
      </w:r>
      <w:r w:rsidR="006A6C7A">
        <w:fldChar w:fldCharType="end"/>
      </w:r>
      <w:r w:rsidRPr="00011905">
        <w:t>. For each dataset</w:t>
      </w:r>
      <w:r>
        <w:t>, we built a KDTree to find the distance (in meters) from every point to its single nearest neighbour</w:t>
      </w:r>
      <w:r w:rsidR="00662FAA">
        <w:t xml:space="preserve"> </w:t>
      </w:r>
      <w:r w:rsidR="00662FAA">
        <w:fldChar w:fldCharType="begin"/>
      </w:r>
      <w:r w:rsidR="00720F22">
        <w:instrText xml:space="preserve"> ADDIN EN.CITE &lt;EndNote&gt;&lt;Cite&gt;&lt;Author&gt;Bentley&lt;/Author&gt;&lt;Year&gt;1975&lt;/Year&gt;&lt;RecNum&gt;11362&lt;/RecNum&gt;&lt;DisplayText&gt;&lt;style face="superscript"&gt;18&lt;/style&gt;&lt;/DisplayText&gt;&lt;record&gt;&lt;rec-number&gt;11362&lt;/rec-number&gt;&lt;foreign-keys&gt;&lt;key app="EN" db-id="ded9vtpt1d2wvmex2x0pddz9raws90dfwftf" timestamp="1764555581"&gt;11362&lt;/key&gt;&lt;/foreign-keys&gt;&lt;ref-type name="Journal Article"&gt;17&lt;/ref-type&gt;&lt;contributors&gt;&lt;authors&gt;&lt;author&gt;Bentley, Jon Louis&lt;/author&gt;&lt;/authors&gt;&lt;/contributors&gt;&lt;titles&gt;&lt;title&gt;Multidimensional binary search trees used for associative searching&lt;/title&gt;&lt;secondary-title&gt;Communications of the ACM&lt;/secondary-title&gt;&lt;/titles&gt;&lt;periodical&gt;&lt;full-title&gt;Communications of the ACM&lt;/full-title&gt;&lt;abbr-1&gt;CACM&lt;/abbr-1&gt;&lt;/periodical&gt;&lt;pages&gt;509-517&lt;/pages&gt;&lt;volume&gt;18&lt;/volume&gt;&lt;number&gt;9&lt;/number&gt;&lt;dates&gt;&lt;year&gt;1975&lt;/year&gt;&lt;/dates&gt;&lt;isbn&gt;0001-0782&lt;/isbn&gt;&lt;urls&gt;&lt;/urls&gt;&lt;/record&gt;&lt;/Cite&gt;&lt;/EndNote&gt;</w:instrText>
      </w:r>
      <w:r w:rsidR="00662FAA">
        <w:fldChar w:fldCharType="separate"/>
      </w:r>
      <w:r w:rsidR="00720F22" w:rsidRPr="00720F22">
        <w:rPr>
          <w:noProof/>
          <w:vertAlign w:val="superscript"/>
        </w:rPr>
        <w:t>18</w:t>
      </w:r>
      <w:r w:rsidR="00662FAA">
        <w:fldChar w:fldCharType="end"/>
      </w:r>
      <w:r w:rsidRPr="00011905">
        <w:t>. We then compared the Cumulative Distribution Functions (CDFs) of these NNDs to visualize differences in point-level density and dispersion.</w:t>
      </w:r>
      <w:r>
        <w:t xml:space="preserve"> </w:t>
      </w:r>
      <w:r w:rsidRPr="008F7821">
        <w:t>A difference curve (synthetic minus real CDF) was also computed.</w:t>
      </w:r>
      <w:r w:rsidRPr="00011905">
        <w:t xml:space="preserve"> The statistical significance of this difference was quantified using the two-sample Kolmogorov-Smirnov (KS) test</w:t>
      </w:r>
      <w:r w:rsidR="00F358CE">
        <w:t xml:space="preserve"> </w:t>
      </w:r>
      <w:r w:rsidR="001C41DB">
        <w:fldChar w:fldCharType="begin"/>
      </w:r>
      <w:r w:rsidR="00720F22">
        <w:instrText xml:space="preserve"> ADDIN EN.CITE &lt;EndNote&gt;&lt;Cite&gt;&lt;Author&gt;Berger&lt;/Author&gt;&lt;Year&gt;2014&lt;/Year&gt;&lt;RecNum&gt;11363&lt;/RecNum&gt;&lt;DisplayText&gt;&lt;style face="superscript"&gt;19&lt;/style&gt;&lt;/DisplayText&gt;&lt;record&gt;&lt;rec-number&gt;11363&lt;/rec-number&gt;&lt;foreign-keys&gt;&lt;key app="EN" db-id="ded9vtpt1d2wvmex2x0pddz9raws90dfwftf" timestamp="1764555654"&gt;11363&lt;/key&gt;&lt;/foreign-keys&gt;&lt;ref-type name="Journal Article"&gt;17&lt;/ref-type&gt;&lt;contributors&gt;&lt;authors&gt;&lt;author&gt;Berger, Vance W&lt;/author&gt;&lt;author&gt;Zhou, YanYan&lt;/author&gt;&lt;/authors&gt;&lt;/contributors&gt;&lt;titles&gt;&lt;title&gt;Kolmogorov–smirnov test: Overview&lt;/title&gt;&lt;secondary-title&gt;Wiley statsref: Statistics reference online&lt;/secondary-title&gt;&lt;/titles&gt;&lt;periodical&gt;&lt;full-title&gt;Wiley statsref: Statistics reference online&lt;/full-title&gt;&lt;/periodical&gt;&lt;dates&gt;&lt;year&gt;2014&lt;/year&gt;&lt;/dates&gt;&lt;urls&gt;&lt;/urls&gt;&lt;/record&gt;&lt;/Cite&gt;&lt;/EndNote&gt;</w:instrText>
      </w:r>
      <w:r w:rsidR="001C41DB">
        <w:fldChar w:fldCharType="separate"/>
      </w:r>
      <w:r w:rsidR="00720F22" w:rsidRPr="00720F22">
        <w:rPr>
          <w:noProof/>
          <w:vertAlign w:val="superscript"/>
        </w:rPr>
        <w:t>19</w:t>
      </w:r>
      <w:r w:rsidR="001C41DB">
        <w:fldChar w:fldCharType="end"/>
      </w:r>
      <w:r w:rsidRPr="00011905">
        <w:t>.</w:t>
      </w:r>
      <w:r w:rsidR="00AE2C3D">
        <w:t xml:space="preserve"> </w:t>
      </w:r>
    </w:p>
    <w:p w14:paraId="2F6DD048" w14:textId="77777777" w:rsidR="00335ADD" w:rsidRDefault="00335ADD" w:rsidP="00DB5099">
      <w:pPr>
        <w:pStyle w:val="NoSpacing"/>
        <w:jc w:val="both"/>
      </w:pPr>
    </w:p>
    <w:p w14:paraId="18A59208" w14:textId="749CE344" w:rsidR="00335ADD" w:rsidRDefault="00C715FB" w:rsidP="009256D4">
      <w:pPr>
        <w:pStyle w:val="NoSpacing"/>
        <w:jc w:val="both"/>
      </w:pPr>
      <w:r>
        <w:t xml:space="preserve">To complement the point-level analyses, we assessed continuous spatial intensity using </w:t>
      </w:r>
      <w:r w:rsidR="00762242">
        <w:t xml:space="preserve">a </w:t>
      </w:r>
      <w:r>
        <w:t>bivariate Gaussian K</w:t>
      </w:r>
      <w:r w:rsidR="001C41DB">
        <w:t xml:space="preserve">ernel </w:t>
      </w:r>
      <w:r>
        <w:t>D</w:t>
      </w:r>
      <w:r w:rsidR="001C41DB">
        <w:t xml:space="preserve">ensity </w:t>
      </w:r>
      <w:r>
        <w:t>E</w:t>
      </w:r>
      <w:r w:rsidR="001C41DB">
        <w:t>stimation</w:t>
      </w:r>
      <w:r>
        <w:t xml:space="preserve"> applied to the real, Syn-Raw, and Syn-Priv point patterns</w:t>
      </w:r>
      <w:r w:rsidR="007A6F6F">
        <w:t xml:space="preserve"> </w:t>
      </w:r>
      <w:r w:rsidR="007A6F6F">
        <w:fldChar w:fldCharType="begin"/>
      </w:r>
      <w:r w:rsidR="00720F22">
        <w:instrText xml:space="preserve"> ADDIN EN.CITE &lt;EndNote&gt;&lt;Cite&gt;&lt;Author&gt;Silverman&lt;/Author&gt;&lt;Year&gt;2018&lt;/Year&gt;&lt;RecNum&gt;11364&lt;/RecNum&gt;&lt;DisplayText&gt;&lt;style face="superscript"&gt;17,20&lt;/style&gt;&lt;/DisplayText&gt;&lt;record&gt;&lt;rec-number&gt;11364&lt;/rec-number&gt;&lt;foreign-keys&gt;&lt;key app="EN" db-id="ded9vtpt1d2wvmex2x0pddz9raws90dfwftf" timestamp="1764555830"&gt;11364&lt;/key&gt;&lt;/foreign-keys&gt;&lt;ref-type name="Book"&gt;6&lt;/ref-type&gt;&lt;contributors&gt;&lt;authors&gt;&lt;author&gt;Silverman, Bernard W&lt;/author&gt;&lt;/authors&gt;&lt;/contributors&gt;&lt;titles&gt;&lt;title&gt;Density estimation for statistics and data analysis&lt;/title&gt;&lt;/titles&gt;&lt;dates&gt;&lt;year&gt;2018&lt;/year&gt;&lt;/dates&gt;&lt;publisher&gt;Routledge&lt;/publisher&gt;&lt;isbn&gt;1315140918&lt;/isbn&gt;&lt;urls&gt;&lt;/urls&gt;&lt;/record&gt;&lt;/Cite&gt;&lt;Cite&gt;&lt;Author&gt;Baddeley&lt;/Author&gt;&lt;Year&gt;2016&lt;/Year&gt;&lt;RecNum&gt;11361&lt;/RecNum&gt;&lt;record&gt;&lt;rec-number&gt;11361&lt;/rec-number&gt;&lt;foreign-keys&gt;&lt;key app="EN" db-id="ded9vtpt1d2wvmex2x0pddz9raws90dfwftf" timestamp="1764555535"&gt;11361&lt;/key&gt;&lt;/foreign-keys&gt;&lt;ref-type name="Book"&gt;6&lt;/ref-type&gt;&lt;contributors&gt;&lt;authors&gt;&lt;author&gt;Baddeley, Adrian&lt;/author&gt;&lt;author&gt;Rubak, Ege&lt;/author&gt;&lt;author&gt;Turner, Rolf&lt;/author&gt;&lt;/authors&gt;&lt;/contributors&gt;&lt;titles&gt;&lt;title&gt;Spatial point patterns: methodology and applications with R&lt;/title&gt;&lt;/titles&gt;&lt;volume&gt;1&lt;/volume&gt;&lt;dates&gt;&lt;year&gt;2016&lt;/year&gt;&lt;/dates&gt;&lt;publisher&gt;CRC press Boca Raton&lt;/publisher&gt;&lt;urls&gt;&lt;/urls&gt;&lt;/record&gt;&lt;/Cite&gt;&lt;/EndNote&gt;</w:instrText>
      </w:r>
      <w:r w:rsidR="007A6F6F">
        <w:fldChar w:fldCharType="separate"/>
      </w:r>
      <w:r w:rsidR="00720F22" w:rsidRPr="00720F22">
        <w:rPr>
          <w:noProof/>
          <w:vertAlign w:val="superscript"/>
        </w:rPr>
        <w:t>17,20</w:t>
      </w:r>
      <w:r w:rsidR="007A6F6F">
        <w:fldChar w:fldCharType="end"/>
      </w:r>
      <w:r>
        <w:t>. Bandwidths were selected via Scott</w:t>
      </w:r>
      <w:r w:rsidR="00DF7029">
        <w:t>'</w:t>
      </w:r>
      <w:r>
        <w:t>s rule</w:t>
      </w:r>
      <w:r w:rsidR="00212A7C">
        <w:t xml:space="preserve"> </w:t>
      </w:r>
      <w:r w:rsidR="00212A7C">
        <w:fldChar w:fldCharType="begin"/>
      </w:r>
      <w:r w:rsidR="00720F22">
        <w:instrText xml:space="preserve"> ADDIN EN.CITE &lt;EndNote&gt;&lt;Cite&gt;&lt;Author&gt;Scott&lt;/Author&gt;&lt;Year&gt;2015&lt;/Year&gt;&lt;RecNum&gt;11365&lt;/RecNum&gt;&lt;DisplayText&gt;&lt;style face="superscript"&gt;21&lt;/style&gt;&lt;/DisplayText&gt;&lt;record&gt;&lt;rec-number&gt;11365&lt;/rec-number&gt;&lt;foreign-keys&gt;&lt;key app="EN" db-id="ded9vtpt1d2wvmex2x0pddz9raws90dfwftf" timestamp="1764555928"&gt;11365&lt;/key&gt;&lt;/foreign-keys&gt;&lt;ref-type name="Book"&gt;6&lt;/ref-type&gt;&lt;contributors&gt;&lt;authors&gt;&lt;author&gt;Scott, David W&lt;/author&gt;&lt;/authors&gt;&lt;/contributors&gt;&lt;titles&gt;&lt;title&gt;Multivariate density estimation: theory, practice, and visualization&lt;/title&gt;&lt;/titles&gt;&lt;dates&gt;&lt;year&gt;2015&lt;/year&gt;&lt;/dates&gt;&lt;publisher&gt;John Wiley &amp;amp; Sons&lt;/publisher&gt;&lt;isbn&gt;0471697559&lt;/isbn&gt;&lt;urls&gt;&lt;/urls&gt;&lt;/record&gt;&lt;/Cite&gt;&lt;/EndNote&gt;</w:instrText>
      </w:r>
      <w:r w:rsidR="00212A7C">
        <w:fldChar w:fldCharType="separate"/>
      </w:r>
      <w:r w:rsidR="00720F22" w:rsidRPr="00720F22">
        <w:rPr>
          <w:noProof/>
          <w:vertAlign w:val="superscript"/>
        </w:rPr>
        <w:t>21</w:t>
      </w:r>
      <w:r w:rsidR="00212A7C">
        <w:fldChar w:fldCharType="end"/>
      </w:r>
      <w:r>
        <w:t>, and all densities were evaluated on a common 200×200 grid spanning the study area. We then computed difference maps</w:t>
      </w:r>
      <w:r w:rsidR="007F465D">
        <w:t>,</w:t>
      </w:r>
      <w:r>
        <w:t xml:space="preserve"> a</w:t>
      </w:r>
      <w:r w:rsidR="007F465D">
        <w:t xml:space="preserve"> </w:t>
      </w:r>
      <m:oMath>
        <m:sSub>
          <m:sSubPr>
            <m:ctrlPr>
              <w:rPr>
                <w:rFonts w:ascii="Cambria Math" w:hAnsi="Cambria Math"/>
                <w:i/>
              </w:rPr>
            </m:ctrlPr>
          </m:sSubPr>
          <m:e>
            <m:r>
              <w:rPr>
                <w:rFonts w:ascii="Cambria Math" w:hAnsi="Cambria Math"/>
              </w:rPr>
              <m:t>λ</m:t>
            </m:r>
          </m:e>
          <m:sub>
            <m:r>
              <m:rPr>
                <m:sty m:val="p"/>
              </m:rPr>
              <w:rPr>
                <w:rFonts w:ascii="Cambria Math" w:hAnsi="Cambria Math"/>
              </w:rPr>
              <m:t>real</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λ</m:t>
            </m:r>
          </m:e>
          <m:sub>
            <m:r>
              <m:rPr>
                <m:sty m:val="p"/>
              </m:rPr>
              <w:rPr>
                <w:rFonts w:ascii="Cambria Math" w:hAnsi="Cambria Math"/>
              </w:rPr>
              <m:t>synthetic</m:t>
            </m:r>
          </m:sub>
        </m:sSub>
      </m:oMath>
      <w:r>
        <w:t>​ at each grid cell, where positive values indicate</w:t>
      </w:r>
      <w:r w:rsidR="004F356A">
        <w:t>d</w:t>
      </w:r>
      <w:r>
        <w:t xml:space="preserve"> missed hotspots (real intensity &gt; synthetic) and negative values indicate</w:t>
      </w:r>
      <w:r w:rsidR="00C11DDD">
        <w:t>d</w:t>
      </w:r>
      <w:r>
        <w:t xml:space="preserve"> ghost hotspots or leakage (synthetic intensity &gt; real)</w:t>
      </w:r>
      <w:r w:rsidR="00341E17">
        <w:t xml:space="preserve"> </w:t>
      </w:r>
      <w:r w:rsidR="00341E17">
        <w:fldChar w:fldCharType="begin"/>
      </w:r>
      <w:r w:rsidR="00720F22">
        <w:instrText xml:space="preserve"> ADDIN EN.CITE &lt;EndNote&gt;&lt;Cite&gt;&lt;Author&gt;Baddeley&lt;/Author&gt;&lt;Year&gt;2016&lt;/Year&gt;&lt;RecNum&gt;11361&lt;/RecNum&gt;&lt;DisplayText&gt;&lt;style face="superscript"&gt;17&lt;/style&gt;&lt;/DisplayText&gt;&lt;record&gt;&lt;rec-number&gt;11361&lt;/rec-number&gt;&lt;foreign-keys&gt;&lt;key app="EN" db-id="ded9vtpt1d2wvmex2x0pddz9raws90dfwftf" timestamp="1764555535"&gt;11361&lt;/key&gt;&lt;/foreign-keys&gt;&lt;ref-type name="Book"&gt;6&lt;/ref-type&gt;&lt;contributors&gt;&lt;authors&gt;&lt;author&gt;Baddeley, Adrian&lt;/author&gt;&lt;author&gt;Rubak, Ege&lt;/author&gt;&lt;author&gt;Turner, Rolf&lt;/author&gt;&lt;/authors&gt;&lt;/contributors&gt;&lt;titles&gt;&lt;title&gt;Spatial point patterns: methodology and applications with R&lt;/title&gt;&lt;/titles&gt;&lt;volume&gt;1&lt;/volume&gt;&lt;dates&gt;&lt;year&gt;2016&lt;/year&gt;&lt;/dates&gt;&lt;publisher&gt;CRC press Boca Raton&lt;/publisher&gt;&lt;urls&gt;&lt;/urls&gt;&lt;/record&gt;&lt;/Cite&gt;&lt;/EndNote&gt;</w:instrText>
      </w:r>
      <w:r w:rsidR="00341E17">
        <w:fldChar w:fldCharType="separate"/>
      </w:r>
      <w:r w:rsidR="00720F22" w:rsidRPr="00720F22">
        <w:rPr>
          <w:noProof/>
          <w:vertAlign w:val="superscript"/>
        </w:rPr>
        <w:t>17</w:t>
      </w:r>
      <w:r w:rsidR="00341E17">
        <w:fldChar w:fldCharType="end"/>
      </w:r>
      <w:r>
        <w:t>. This provide</w:t>
      </w:r>
      <w:r w:rsidR="00CD4FDD">
        <w:t>d</w:t>
      </w:r>
      <w:r>
        <w:t xml:space="preserve"> a localized, map-based diagnos</w:t>
      </w:r>
      <w:r w:rsidR="00C11DDD">
        <w:t>is</w:t>
      </w:r>
      <w:r>
        <w:t xml:space="preserve"> of where the generative models preserve</w:t>
      </w:r>
      <w:r w:rsidR="00C11DDD">
        <w:t>d</w:t>
      </w:r>
      <w:r>
        <w:t xml:space="preserve"> or distort</w:t>
      </w:r>
      <w:r w:rsidR="00C11DDD">
        <w:t>ed</w:t>
      </w:r>
      <w:r>
        <w:t xml:space="preserve"> the underlying spatial intensity surface.</w:t>
      </w:r>
      <w:r w:rsidR="00174B5A">
        <w:t xml:space="preserve"> We also compared the synthetic and real KDE surfaces using grid-based similarity metrics. Pearson correlation was computed between the flattened 200×200 KDE grids to quantify global structural agreement. Mean Absolute Error (MAE) was calculated as the average absolute cell-wise difference, providing a measure of local intensity distortion.</w:t>
      </w:r>
    </w:p>
    <w:p w14:paraId="2C406778" w14:textId="77777777" w:rsidR="00961AAE" w:rsidRDefault="00961AAE" w:rsidP="009256D4">
      <w:pPr>
        <w:pStyle w:val="NoSpacing"/>
        <w:jc w:val="both"/>
      </w:pPr>
    </w:p>
    <w:p w14:paraId="592DFE9A" w14:textId="13AEC656" w:rsidR="00DB5099" w:rsidRDefault="00A67E29" w:rsidP="00DB5099">
      <w:pPr>
        <w:pStyle w:val="NoSpacing"/>
        <w:jc w:val="both"/>
      </w:pPr>
      <w:r w:rsidRPr="00A67E29">
        <w:t>Although Kulldorff</w:t>
      </w:r>
      <w:r w:rsidR="00051D05">
        <w:t>'</w:t>
      </w:r>
      <w:r w:rsidRPr="00A67E29">
        <w:t xml:space="preserve">s spatial scan statistic (SaTScan) is </w:t>
      </w:r>
      <w:r w:rsidR="004C7918">
        <w:t>traditionally</w:t>
      </w:r>
      <w:r w:rsidRPr="00A67E29">
        <w:t xml:space="preserve"> used for localized cluster detection</w:t>
      </w:r>
      <w:r>
        <w:t xml:space="preserve"> </w:t>
      </w:r>
      <w:r>
        <w:fldChar w:fldCharType="begin"/>
      </w:r>
      <w:r w:rsidR="00720F22">
        <w:instrText xml:space="preserve"> ADDIN EN.CITE &lt;EndNote&gt;&lt;Cite&gt;&lt;Author&gt;Kulldorff&lt;/Author&gt;&lt;Year&gt;2010&lt;/Year&gt;&lt;RecNum&gt;471&lt;/RecNum&gt;&lt;DisplayText&gt;&lt;style face="superscript"&gt;22,23&lt;/style&gt;&lt;/DisplayText&gt;&lt;record&gt;&lt;rec-number&gt;471&lt;/rec-number&gt;&lt;foreign-keys&gt;&lt;key app="EN" db-id="ded9vtpt1d2wvmex2x0pddz9raws90dfwftf" timestamp="1491630957"&gt;471&lt;/key&gt;&lt;/foreign-keys&gt;&lt;ref-type name="Generic"&gt;13&lt;/ref-type&gt;&lt;contributors&gt;&lt;authors&gt;&lt;author&gt;Kulldorff, Martin&lt;/author&gt;&lt;/authors&gt;&lt;/contributors&gt;&lt;titles&gt;&lt;title&gt;Information Management Services Inc.(2009). SaTScanTM v8. 0: Software for the spatial and space–time scan statistics&lt;/title&gt;&lt;/titles&gt;&lt;dates&gt;&lt;year&gt;2010&lt;/year&gt;&lt;/dates&gt;&lt;urls&gt;&lt;/urls&gt;&lt;/record&gt;&lt;/Cite&gt;&lt;Cite&gt;&lt;Author&gt;Kulldorff&lt;/Author&gt;&lt;Year&gt;2015&lt;/Year&gt;&lt;RecNum&gt;672&lt;/RecNum&gt;&lt;record&gt;&lt;rec-number&gt;672&lt;/rec-number&gt;&lt;foreign-keys&gt;&lt;key app="EN" db-id="ded9vtpt1d2wvmex2x0pddz9raws90dfwftf" timestamp="1496037810"&gt;672&lt;/key&gt;&lt;/foreign-keys&gt;&lt;ref-type name="Generic"&gt;13&lt;/ref-type&gt;&lt;contributors&gt;&lt;authors&gt;&lt;author&gt;Kulldorff, Martin&lt;/author&gt;&lt;/authors&gt;&lt;/contributors&gt;&lt;titles&gt;&lt;title&gt;SaTScan user guide for version 9.4&lt;/title&gt;&lt;/titles&gt;&lt;dates&gt;&lt;year&gt;2015&lt;/year&gt;&lt;/dates&gt;&lt;urls&gt;&lt;/urls&gt;&lt;/record&gt;&lt;/Cite&gt;&lt;/EndNote&gt;</w:instrText>
      </w:r>
      <w:r>
        <w:fldChar w:fldCharType="separate"/>
      </w:r>
      <w:r w:rsidR="00720F22" w:rsidRPr="00720F22">
        <w:rPr>
          <w:noProof/>
          <w:vertAlign w:val="superscript"/>
        </w:rPr>
        <w:t>22,23</w:t>
      </w:r>
      <w:r>
        <w:fldChar w:fldCharType="end"/>
      </w:r>
      <w:r w:rsidRPr="00A67E29">
        <w:t xml:space="preserve">, it was not employed for micro-scale point fidelity assessment. In </w:t>
      </w:r>
      <w:r>
        <w:t xml:space="preserve">our </w:t>
      </w:r>
      <w:r w:rsidRPr="00A67E29">
        <w:t xml:space="preserve">preliminary analyses, </w:t>
      </w:r>
      <w:r w:rsidR="00642C12">
        <w:t>appl</w:t>
      </w:r>
      <w:r w:rsidR="004B14A6">
        <w:t>ying SaTScan to dense, high-resolution point data with coincident or near-coincident events produced disproportionately large relative risks and likelihood ratios, reflecting the sensitivity of likelihood-ratio-based spatial scan statistics (implemented via</w:t>
      </w:r>
      <w:r w:rsidR="00164D1A">
        <w:t xml:space="preserve"> </w:t>
      </w:r>
      <w:r w:rsidR="00F845E9">
        <w:t>a moving-window framework</w:t>
      </w:r>
      <w:r w:rsidR="004B14A6">
        <w:t>)</w:t>
      </w:r>
      <w:r w:rsidRPr="00A67E29">
        <w:t xml:space="preserve"> to overlapping event counts in dense point datasets. We therefore relied </w:t>
      </w:r>
      <w:r w:rsidR="00D2016C">
        <w:t>on NND- and KDE-based metrics, which proved</w:t>
      </w:r>
      <w:r w:rsidRPr="00A67E29">
        <w:t xml:space="preserve"> more appropriate for evaluating distributional similarity in large spatial point datasets.</w:t>
      </w:r>
    </w:p>
    <w:p w14:paraId="571F8901" w14:textId="77777777" w:rsidR="00A67E29" w:rsidRDefault="00A67E29" w:rsidP="00DB5099">
      <w:pPr>
        <w:pStyle w:val="NoSpacing"/>
        <w:jc w:val="both"/>
      </w:pPr>
    </w:p>
    <w:p w14:paraId="548D452B" w14:textId="62E2BA9A" w:rsidR="00DB5099" w:rsidRPr="008C57CF" w:rsidRDefault="00DB5099" w:rsidP="00DB5099">
      <w:pPr>
        <w:pStyle w:val="NoSpacing"/>
        <w:jc w:val="both"/>
      </w:pPr>
      <w:r>
        <w:t xml:space="preserve">ii) </w:t>
      </w:r>
      <w:r w:rsidRPr="00AA587D">
        <w:t>Area-</w:t>
      </w:r>
      <w:r w:rsidR="00AA587D" w:rsidRPr="00AA587D">
        <w:t>l</w:t>
      </w:r>
      <w:r w:rsidRPr="00AA587D">
        <w:t xml:space="preserve">evel </w:t>
      </w:r>
      <w:r w:rsidR="00AA587D" w:rsidRPr="00AA587D">
        <w:t>s</w:t>
      </w:r>
      <w:r w:rsidRPr="00AA587D">
        <w:t xml:space="preserve">patial </w:t>
      </w:r>
      <w:r w:rsidR="00AA587D" w:rsidRPr="00AA587D">
        <w:t>f</w:t>
      </w:r>
      <w:r w:rsidRPr="00AA587D">
        <w:t>idelity</w:t>
      </w:r>
      <w:r>
        <w:t xml:space="preserve">: </w:t>
      </w:r>
      <w:r w:rsidRPr="008C57CF">
        <w:t>For these assessments, the (crime) event counts were aggregated to Dissemination Areas (DAs)</w:t>
      </w:r>
      <w:r w:rsidR="00535FF1">
        <w:t xml:space="preserve"> </w:t>
      </w:r>
      <w:r w:rsidR="00535FF1">
        <w:fldChar w:fldCharType="begin"/>
      </w:r>
      <w:r w:rsidR="00720F22">
        <w:instrText xml:space="preserve"> ADDIN EN.CITE &lt;EndNote&gt;&lt;Cite&gt;&lt;Author&gt;Statistics Canada&lt;/Author&gt;&lt;Year&gt;2021&lt;/Year&gt;&lt;RecNum&gt;10233&lt;/RecNum&gt;&lt;DisplayText&gt;&lt;style face="superscript"&gt;24&lt;/style&gt;&lt;/DisplayText&gt;&lt;record&gt;&lt;rec-number&gt;10233&lt;/rec-number&gt;&lt;foreign-keys&gt;&lt;key app="EN" db-id="ded9vtpt1d2wvmex2x0pddz9raws90dfwftf" timestamp="1581033055"&gt;10233&lt;/key&gt;&lt;/foreign-keys&gt;&lt;ref-type name="Web Page"&gt;12&lt;/ref-type&gt;&lt;contributors&gt;&lt;authors&gt;&lt;author&gt;Statistics Canada,&lt;/author&gt;&lt;/authors&gt;&lt;/contributors&gt;&lt;titles&gt;&lt;title&gt;Dissemination area (DA)&lt;/title&gt;&lt;/titles&gt;&lt;dates&gt;&lt;year&gt;2021&lt;/year&gt;&lt;/dates&gt;&lt;urls&gt;&lt;related-urls&gt;&lt;url&gt;https://www12.statcan.gc.ca/census-recensement/2021/ref/dict/az/definition-eng.cfm?ID=geo021&lt;/url&gt;&lt;/related-urls&gt;&lt;/urls&gt;&lt;/record&gt;&lt;/Cite&gt;&lt;/EndNote&gt;</w:instrText>
      </w:r>
      <w:r w:rsidR="00535FF1">
        <w:fldChar w:fldCharType="separate"/>
      </w:r>
      <w:r w:rsidR="00720F22" w:rsidRPr="00720F22">
        <w:rPr>
          <w:noProof/>
          <w:vertAlign w:val="superscript"/>
        </w:rPr>
        <w:t>24</w:t>
      </w:r>
      <w:r w:rsidR="00535FF1">
        <w:fldChar w:fldCharType="end"/>
      </w:r>
      <w:r w:rsidRPr="008C57CF">
        <w:t xml:space="preserve"> for the real, raw-synthetic, and privacy-preserved datasets</w:t>
      </w:r>
      <w:r w:rsidR="00A82099">
        <w:t>.</w:t>
      </w:r>
      <w:r w:rsidRPr="008C57CF">
        <w:t xml:space="preserve"> </w:t>
      </w:r>
      <w:r w:rsidR="00A82099">
        <w:t>A first-order queen contiguity spatial weights matrix was computed to measur</w:t>
      </w:r>
      <w:r>
        <w:t xml:space="preserve">e contiguity </w:t>
      </w:r>
      <w:r w:rsidRPr="008C57CF">
        <w:t xml:space="preserve">among </w:t>
      </w:r>
      <w:r w:rsidR="00A82099">
        <w:t xml:space="preserve">the </w:t>
      </w:r>
      <w:r w:rsidRPr="008C57CF">
        <w:t xml:space="preserve">DAs. </w:t>
      </w:r>
      <w:r w:rsidRPr="00B92DE1">
        <w:t>For each dataset, the analysis was restricted to non-isolated DAs (that is, those with at least one spatial neighbour).</w:t>
      </w:r>
    </w:p>
    <w:p w14:paraId="4AA359B0" w14:textId="77777777" w:rsidR="00DB5099" w:rsidRPr="008C57CF" w:rsidRDefault="00DB5099" w:rsidP="00DB5099">
      <w:pPr>
        <w:pStyle w:val="NoSpacing"/>
        <w:jc w:val="both"/>
      </w:pPr>
    </w:p>
    <w:p w14:paraId="77B49152" w14:textId="16F49898" w:rsidR="00DB5099" w:rsidRPr="008C57CF" w:rsidRDefault="00DB5099" w:rsidP="00DB5099">
      <w:pPr>
        <w:pStyle w:val="NoSpacing"/>
        <w:jc w:val="both"/>
      </w:pPr>
      <w:r w:rsidRPr="00AA587D">
        <w:rPr>
          <w:i/>
          <w:iCs/>
        </w:rPr>
        <w:t>Macro-Level Fidelity</w:t>
      </w:r>
      <w:r>
        <w:t xml:space="preserve">: </w:t>
      </w:r>
      <w:r w:rsidRPr="008C57CF">
        <w:t xml:space="preserve">We began by producing and comparing maps that visualized different aspects of the spatial distribution of crime counts across the DAs. Specifically, Natural Breaks (Jenks) and Quantile classification schemes were applied to create five-class choropleth maps. The Natural Breaks method identified class boundaries that minimized within-class variance and maximized between-class variance, thereby revealing natural groupings, spatial clusters, and extreme values in the data distribution. In contrast, the Quantile classification divided the range of crime counts into classes </w:t>
      </w:r>
      <w:r w:rsidR="00002E94">
        <w:t>with equal numbers</w:t>
      </w:r>
      <w:r w:rsidRPr="008C57CF">
        <w:t xml:space="preserve"> of spatial units (DAs), ensuring a balanced visual representation across the study area. In other words, the Quantile map illustrated how the </w:t>
      </w:r>
      <w:r w:rsidR="00002E94">
        <w:t>distribution of crime events</w:t>
      </w:r>
      <w:r w:rsidRPr="008C57CF">
        <w:t xml:space="preserve"> appeared when each class contained the same number of DAs, emphasizing spatial </w:t>
      </w:r>
      <w:r w:rsidR="00CF29D4">
        <w:t>event burden (of crime)</w:t>
      </w:r>
      <w:r w:rsidRPr="008C57CF">
        <w:t xml:space="preserve"> rather than statistical clustering.</w:t>
      </w:r>
      <w:r>
        <w:t xml:space="preserve"> Following</w:t>
      </w:r>
      <w:r w:rsidRPr="008C57CF">
        <w:t xml:space="preserve"> </w:t>
      </w:r>
      <w:r w:rsidR="00FE75AF">
        <w:t xml:space="preserve">a </w:t>
      </w:r>
      <w:r w:rsidRPr="008C57CF">
        <w:t xml:space="preserve">visual inspection of the choropleth maps, the degree of spatial clustering was quantified using Global Moran's </w:t>
      </w:r>
      <w:r w:rsidRPr="008C57CF">
        <w:rPr>
          <w:i/>
          <w:iCs/>
        </w:rPr>
        <w:t>I</w:t>
      </w:r>
      <w:r w:rsidRPr="008C57CF">
        <w:t xml:space="preserve"> </w:t>
      </w:r>
      <w:r w:rsidRPr="008C57CF">
        <w:fldChar w:fldCharType="begin"/>
      </w:r>
      <w:r w:rsidR="00720F22">
        <w:instrText xml:space="preserve"> ADDIN EN.CITE &lt;EndNote&gt;&lt;Cite&gt;&lt;Author&gt;Anselin&lt;/Author&gt;&lt;Year&gt;2018&lt;/Year&gt;&lt;RecNum&gt;10387&lt;/RecNum&gt;&lt;DisplayText&gt;&lt;style face="superscript"&gt;25&lt;/style&gt;&lt;/DisplayText&gt;&lt;record&gt;&lt;rec-number&gt;10387&lt;/rec-number&gt;&lt;foreign-keys&gt;&lt;key app="EN" db-id="ded9vtpt1d2wvmex2x0pddz9raws90dfwftf" timestamp="1592794568"&gt;10387&lt;/key&gt;&lt;/foreign-keys&gt;&lt;ref-type name="Web Page"&gt;12&lt;/ref-type&gt;&lt;contributors&gt;&lt;authors&gt;&lt;author&gt;Anselin, L&lt;/author&gt;&lt;/authors&gt;&lt;/contributors&gt;&lt;titles&gt;&lt;title&gt;Global spatial autocorrelation (1), Moran scatter plot and spatial correlogram&lt;/title&gt;&lt;secondary-title&gt;GeoDa: An Introduction to Spatial Data Analysis. The University of Chicago&lt;/secondary-title&gt;&lt;/titles&gt;&lt;dates&gt;&lt;year&gt;2018&lt;/year&gt;&lt;/dates&gt;&lt;urls&gt;&lt;related-urls&gt;&lt;url&gt;https://geodacenter.github.io/workbook/5a_global_auto/lab5a.html#fn1&lt;/url&gt;&lt;/related-urls&gt;&lt;/urls&gt;&lt;/record&gt;&lt;/Cite&gt;&lt;/EndNote&gt;</w:instrText>
      </w:r>
      <w:r w:rsidRPr="008C57CF">
        <w:fldChar w:fldCharType="separate"/>
      </w:r>
      <w:r w:rsidR="00720F22" w:rsidRPr="00720F22">
        <w:rPr>
          <w:noProof/>
          <w:vertAlign w:val="superscript"/>
        </w:rPr>
        <w:t>25</w:t>
      </w:r>
      <w:r w:rsidRPr="008C57CF">
        <w:fldChar w:fldCharType="end"/>
      </w:r>
      <w:r w:rsidRPr="008C57CF">
        <w:t xml:space="preserve">. This statistic measured the overall spatial dependence among geographic units, producing a single </w:t>
      </w:r>
      <w:r w:rsidRPr="008C57CF">
        <w:rPr>
          <w:i/>
          <w:iCs/>
        </w:rPr>
        <w:t xml:space="preserve">I </w:t>
      </w:r>
      <w:r w:rsidRPr="008C57CF">
        <w:t xml:space="preserve">value and an associated </w:t>
      </w:r>
      <w:r w:rsidRPr="001241E8">
        <w:t>p-</w:t>
      </w:r>
      <w:r w:rsidRPr="008C57CF">
        <w:t>value that together indicated whether event counts were spatially clustered, dispersed, or randomly distributed.</w:t>
      </w:r>
      <w:r>
        <w:t xml:space="preserve"> </w:t>
      </w:r>
      <w:r w:rsidRPr="008C57CF">
        <w:t>Global Moran's I was computed for each of the three datasets.</w:t>
      </w:r>
    </w:p>
    <w:p w14:paraId="6537F591" w14:textId="77777777" w:rsidR="00DB5099" w:rsidRPr="008C57CF" w:rsidRDefault="00DB5099" w:rsidP="00DB5099">
      <w:pPr>
        <w:pStyle w:val="NoSpacing"/>
        <w:jc w:val="both"/>
      </w:pPr>
    </w:p>
    <w:p w14:paraId="2ED4A267" w14:textId="6228306F" w:rsidR="00DB5099" w:rsidRPr="008C57CF" w:rsidRDefault="00DB5099" w:rsidP="00DB5099">
      <w:pPr>
        <w:pStyle w:val="NoSpacing"/>
        <w:jc w:val="both"/>
      </w:pPr>
      <w:r w:rsidRPr="008C57CF">
        <w:rPr>
          <w:i/>
          <w:iCs/>
        </w:rPr>
        <w:t>Micro-Level Spatial Distribution</w:t>
      </w:r>
      <w:r w:rsidRPr="001241E8">
        <w:t>:</w:t>
      </w:r>
      <w:r>
        <w:rPr>
          <w:b/>
          <w:bCs/>
        </w:rPr>
        <w:t xml:space="preserve"> </w:t>
      </w:r>
      <w:r w:rsidRPr="008C57CF">
        <w:t>To identify specific areas exhibiting significant clustering or spatial outlier behavio</w:t>
      </w:r>
      <w:r w:rsidR="00CF29D4">
        <w:t>u</w:t>
      </w:r>
      <w:r w:rsidRPr="008C57CF">
        <w:t xml:space="preserve">r, Local Indicators of Spatial Association (LISA) were computed using the </w:t>
      </w:r>
      <w:r w:rsidRPr="008C57CF">
        <w:lastRenderedPageBreak/>
        <w:t xml:space="preserve">Local Moran's I statistic for each DA in the real, raw synthetic, and privacy-gated synthetic datasets </w:t>
      </w:r>
      <w:r w:rsidRPr="008C57CF">
        <w:fldChar w:fldCharType="begin"/>
      </w:r>
      <w:r w:rsidR="00720F22">
        <w:instrText xml:space="preserve"> ADDIN EN.CITE &lt;EndNote&gt;&lt;Cite&gt;&lt;Author&gt;ESRI&lt;/Author&gt;&lt;Year&gt;2017&lt;/Year&gt;&lt;RecNum&gt;517&lt;/RecNum&gt;&lt;DisplayText&gt;&lt;style face="superscript"&gt;26,27&lt;/style&gt;&lt;/DisplayText&gt;&lt;record&gt;&lt;rec-number&gt;517&lt;/rec-number&gt;&lt;foreign-keys&gt;&lt;key app="EN" db-id="ded9vtpt1d2wvmex2x0pddz9raws90dfwftf" timestamp="1493836089"&gt;517&lt;/key&gt;&lt;/foreign-keys&gt;&lt;ref-type name="Web Page"&gt;12&lt;/ref-type&gt;&lt;contributors&gt;&lt;authors&gt;&lt;author&gt;Environmental Systems Research Institute - ESRI&lt;/author&gt;&lt;/authors&gt;&lt;/contributors&gt;&lt;titles&gt;&lt;title&gt;How Cluster and Outlier Analysis (Anselin Local Moran&amp;apos;s I) works&lt;/title&gt;&lt;/titles&gt;&lt;volume&gt;2017&lt;/volume&gt;&lt;number&gt;9 Jan &lt;/number&gt;&lt;dates&gt;&lt;year&gt;2017&lt;/year&gt;&lt;/dates&gt;&lt;urls&gt;&lt;related-urls&gt;&lt;url&gt;http://pro.arcgis.com/en/pro-app/tool-reference/spatial-statistics/h-how-cluster-and-outlier-analysis-anselin-local-m.htm&lt;/url&gt;&lt;/related-urls&gt;&lt;/urls&gt;&lt;/record&gt;&lt;/Cite&gt;&lt;Cite&gt;&lt;Author&gt;Anselin&lt;/Author&gt;&lt;Year&gt;1995&lt;/Year&gt;&lt;RecNum&gt;10296&lt;/RecNum&gt;&lt;record&gt;&lt;rec-number&gt;10296&lt;/rec-number&gt;&lt;foreign-keys&gt;&lt;key app="EN" db-id="ded9vtpt1d2wvmex2x0pddz9raws90dfwftf" timestamp="1584859982"&gt;10296&lt;/key&gt;&lt;/foreign-keys&gt;&lt;ref-type name="Journal Article"&gt;17&lt;/ref-type&gt;&lt;contributors&gt;&lt;authors&gt;&lt;author&gt;Anselin, Luc&lt;/author&gt;&lt;/authors&gt;&lt;/contributors&gt;&lt;titles&gt;&lt;title&gt;Local indicators of spatial association—LISA&lt;/title&gt;&lt;secondary-title&gt;Geographical analysis&lt;/secondary-title&gt;&lt;/titles&gt;&lt;periodical&gt;&lt;full-title&gt;Geographical Analysis&lt;/full-title&gt;&lt;/periodical&gt;&lt;pages&gt;93-115&lt;/pages&gt;&lt;volume&gt;27&lt;/volume&gt;&lt;number&gt;2&lt;/number&gt;&lt;dates&gt;&lt;year&gt;1995&lt;/year&gt;&lt;/dates&gt;&lt;isbn&gt;0016-7363&lt;/isbn&gt;&lt;urls&gt;&lt;/urls&gt;&lt;/record&gt;&lt;/Cite&gt;&lt;/EndNote&gt;</w:instrText>
      </w:r>
      <w:r w:rsidRPr="008C57CF">
        <w:fldChar w:fldCharType="separate"/>
      </w:r>
      <w:r w:rsidR="00720F22" w:rsidRPr="00720F22">
        <w:rPr>
          <w:noProof/>
          <w:vertAlign w:val="superscript"/>
        </w:rPr>
        <w:t>26,27</w:t>
      </w:r>
      <w:r w:rsidRPr="008C57CF">
        <w:fldChar w:fldCharType="end"/>
      </w:r>
      <w:r w:rsidRPr="008C57CF">
        <w:t>. For each DA, the method compared its crime count with th</w:t>
      </w:r>
      <w:r w:rsidR="0022285C">
        <w:t>ose of</w:t>
      </w:r>
      <w:r w:rsidRPr="008C57CF">
        <w:t xml:space="preserve"> its immediate neighbours. It then determined whether that area ha</w:t>
      </w:r>
      <w:r w:rsidR="0022285C">
        <w:t>d similarly high or similarly low values compared to its surroundings, or whether it deviated</w:t>
      </w:r>
      <w:r w:rsidRPr="008C57CF">
        <w:t xml:space="preserve"> from the local pattern. Significance of the clusters was assessed through 999 random spatial permutations of the (crime) event values. Each DA was classified into one of five cluster types:</w:t>
      </w:r>
    </w:p>
    <w:p w14:paraId="2E672462" w14:textId="77777777" w:rsidR="00DB5099" w:rsidRPr="008C57CF" w:rsidRDefault="00DB5099" w:rsidP="00DB5099">
      <w:pPr>
        <w:pStyle w:val="NoSpacing"/>
        <w:jc w:val="both"/>
      </w:pPr>
    </w:p>
    <w:p w14:paraId="45EB8AB5" w14:textId="2F5BCDAE" w:rsidR="00DB5099" w:rsidRPr="008C57CF" w:rsidRDefault="00DB5099" w:rsidP="00DB5099">
      <w:pPr>
        <w:pStyle w:val="NoSpacing"/>
        <w:jc w:val="both"/>
      </w:pPr>
      <w:r w:rsidRPr="008C57CF">
        <w:t>High</w:t>
      </w:r>
      <w:r w:rsidR="00EC5E43">
        <w:t>-</w:t>
      </w:r>
      <w:r w:rsidRPr="008C57CF">
        <w:t xml:space="preserve">High </w:t>
      </w:r>
      <w:r w:rsidR="005E18DE">
        <w:t xml:space="preserve"> </w:t>
      </w:r>
      <w:r w:rsidRPr="008C57CF">
        <w:t>(HH): DAs with high event counts surrounded by other high-count DAs (hotspots).</w:t>
      </w:r>
    </w:p>
    <w:p w14:paraId="78352A0D" w14:textId="25373F39" w:rsidR="00DB5099" w:rsidRPr="008C57CF" w:rsidRDefault="00DB5099" w:rsidP="00DB5099">
      <w:pPr>
        <w:pStyle w:val="NoSpacing"/>
        <w:jc w:val="both"/>
      </w:pPr>
      <w:r w:rsidRPr="008C57CF">
        <w:t>Low</w:t>
      </w:r>
      <w:r w:rsidR="00EC5E43">
        <w:t>-</w:t>
      </w:r>
      <w:r w:rsidRPr="008C57CF">
        <w:t>Low    (LL): DAs with low event counts surrounded by low-count neighbo</w:t>
      </w:r>
      <w:r w:rsidR="0022285C">
        <w:t>u</w:t>
      </w:r>
      <w:r w:rsidRPr="008C57CF">
        <w:t>rs (coldspots).</w:t>
      </w:r>
    </w:p>
    <w:p w14:paraId="2A9B2EEF" w14:textId="65B71987" w:rsidR="00DB5099" w:rsidRPr="008C57CF" w:rsidRDefault="00DB5099" w:rsidP="00DB5099">
      <w:pPr>
        <w:pStyle w:val="NoSpacing"/>
        <w:jc w:val="both"/>
      </w:pPr>
      <w:r w:rsidRPr="008C57CF">
        <w:t>High</w:t>
      </w:r>
      <w:r w:rsidR="00EC5E43">
        <w:t>-</w:t>
      </w:r>
      <w:r w:rsidRPr="008C57CF">
        <w:t xml:space="preserve">Low  </w:t>
      </w:r>
      <w:r w:rsidR="009606C8">
        <w:t xml:space="preserve"> </w:t>
      </w:r>
      <w:r w:rsidRPr="008C57CF">
        <w:t>(HL): DAs with high counts surrounded by low-count neighbo</w:t>
      </w:r>
      <w:r w:rsidR="0022285C">
        <w:t>u</w:t>
      </w:r>
      <w:r w:rsidRPr="008C57CF">
        <w:t>rs (spatial outliers).</w:t>
      </w:r>
    </w:p>
    <w:p w14:paraId="1E644431" w14:textId="340659B2" w:rsidR="00DB5099" w:rsidRPr="008C57CF" w:rsidRDefault="00DB5099" w:rsidP="00DB5099">
      <w:pPr>
        <w:pStyle w:val="NoSpacing"/>
        <w:jc w:val="both"/>
      </w:pPr>
      <w:r w:rsidRPr="008C57CF">
        <w:t>Low</w:t>
      </w:r>
      <w:r w:rsidR="00EC5E43">
        <w:t>-</w:t>
      </w:r>
      <w:r w:rsidRPr="008C57CF">
        <w:t xml:space="preserve">High  </w:t>
      </w:r>
      <w:r w:rsidR="009606C8">
        <w:t xml:space="preserve"> </w:t>
      </w:r>
      <w:r w:rsidRPr="008C57CF">
        <w:t>(LH): DAs with low counts surrounded by high-count neighbo</w:t>
      </w:r>
      <w:r w:rsidR="0022285C">
        <w:t>u</w:t>
      </w:r>
      <w:r w:rsidRPr="008C57CF">
        <w:t>rs (</w:t>
      </w:r>
      <w:r w:rsidR="006C52E2" w:rsidRPr="008C57CF">
        <w:t xml:space="preserve">spatial </w:t>
      </w:r>
      <w:r w:rsidRPr="008C57CF">
        <w:t>outliers).</w:t>
      </w:r>
    </w:p>
    <w:p w14:paraId="0798DC94" w14:textId="77777777" w:rsidR="00DB5099" w:rsidRPr="008C57CF" w:rsidRDefault="00DB5099" w:rsidP="00DB5099">
      <w:pPr>
        <w:pStyle w:val="NoSpacing"/>
        <w:jc w:val="both"/>
      </w:pPr>
      <w:r w:rsidRPr="008C57CF">
        <w:t>Not significant (NS): No statistically significant local clustering at p &lt; 0.05.</w:t>
      </w:r>
    </w:p>
    <w:p w14:paraId="0E52C5E7" w14:textId="77777777" w:rsidR="00DB5099" w:rsidRPr="008C57CF" w:rsidRDefault="00DB5099" w:rsidP="00DB5099">
      <w:pPr>
        <w:pStyle w:val="NoSpacing"/>
        <w:jc w:val="both"/>
      </w:pPr>
    </w:p>
    <w:p w14:paraId="187EE1DF" w14:textId="77777777" w:rsidR="00DB5099" w:rsidRPr="008C57CF" w:rsidRDefault="00DB5099" w:rsidP="00DB5099">
      <w:pPr>
        <w:pStyle w:val="NoSpacing"/>
        <w:jc w:val="both"/>
      </w:pPr>
      <w:r w:rsidRPr="008C57CF">
        <w:t xml:space="preserve">Cluster maps were generated for all three datasets to visualize and </w:t>
      </w:r>
      <w:r>
        <w:t xml:space="preserve">empirically </w:t>
      </w:r>
      <w:r w:rsidRPr="008C57CF">
        <w:t>compare</w:t>
      </w:r>
      <w:r>
        <w:t xml:space="preserve"> the fidelity of local</w:t>
      </w:r>
      <w:r w:rsidRPr="008C57CF">
        <w:t xml:space="preserve"> clustering patterns. </w:t>
      </w:r>
    </w:p>
    <w:p w14:paraId="1D06F9F1" w14:textId="77777777" w:rsidR="00DB5099" w:rsidRPr="008C57CF" w:rsidRDefault="00DB5099" w:rsidP="00DB5099">
      <w:pPr>
        <w:pStyle w:val="NoSpacing"/>
        <w:jc w:val="both"/>
      </w:pPr>
    </w:p>
    <w:p w14:paraId="2FAF5E28" w14:textId="58B50120" w:rsidR="00DB5099" w:rsidRPr="00AE4E16" w:rsidRDefault="00A752B7" w:rsidP="00DB5099">
      <w:pPr>
        <w:pStyle w:val="NoSpacing"/>
        <w:jc w:val="both"/>
        <w:rPr>
          <w:b/>
          <w:bCs/>
        </w:rPr>
      </w:pPr>
      <w:r>
        <w:rPr>
          <w:b/>
          <w:bCs/>
        </w:rPr>
        <w:t>7</w:t>
      </w:r>
      <w:r w:rsidR="00DB5099" w:rsidRPr="00AE4E16">
        <w:rPr>
          <w:b/>
          <w:bCs/>
        </w:rPr>
        <w:t>.3 Downstream Task: Spatial Regression Model Utility</w:t>
      </w:r>
    </w:p>
    <w:p w14:paraId="75BBE292" w14:textId="77777777" w:rsidR="00DB5099" w:rsidRPr="00AE4E16" w:rsidRDefault="00DB5099" w:rsidP="00DB5099">
      <w:pPr>
        <w:pStyle w:val="NoSpacing"/>
        <w:jc w:val="both"/>
      </w:pPr>
    </w:p>
    <w:p w14:paraId="43EFE42A" w14:textId="269F108A" w:rsidR="00DB5099" w:rsidRPr="00AE4E16" w:rsidRDefault="00DB5099" w:rsidP="00DB5099">
      <w:pPr>
        <w:pStyle w:val="NoSpacing"/>
        <w:jc w:val="both"/>
      </w:pPr>
      <w:r w:rsidRPr="00AE4E16">
        <w:t xml:space="preserve">The geospatial utility of the GeoCTGAN-synthesized datasets was assessed using a downstream analytical task, specifically by executing a spatial regression analysis at the DA level. This test evaluated whether models trained on </w:t>
      </w:r>
      <w:r w:rsidR="00EE6B6B">
        <w:t>synthetic data could reproduce analytical insights similar to those obtained from</w:t>
      </w:r>
      <w:r w:rsidRPr="00AE4E16">
        <w:t xml:space="preserve"> real data.</w:t>
      </w:r>
    </w:p>
    <w:p w14:paraId="6510F31A" w14:textId="77777777" w:rsidR="00DB5099" w:rsidRPr="00AE4E16" w:rsidRDefault="00DB5099" w:rsidP="00DB5099">
      <w:pPr>
        <w:pStyle w:val="NoSpacing"/>
        <w:jc w:val="both"/>
      </w:pPr>
    </w:p>
    <w:p w14:paraId="564B1019" w14:textId="63D2136D" w:rsidR="00DB5099" w:rsidRPr="00AE4E16" w:rsidRDefault="00DB5099" w:rsidP="00DB5099">
      <w:pPr>
        <w:pStyle w:val="NoSpacing"/>
        <w:jc w:val="both"/>
      </w:pPr>
      <w:r w:rsidRPr="00AE4E16">
        <w:t>A common spatial modelling framework was employed across all datasets. Specifically, Ordinary Least Squares (OLS)</w:t>
      </w:r>
      <w:r>
        <w:t>, Spatial Lag Models (SLM)</w:t>
      </w:r>
      <w:r w:rsidRPr="00AE4E16">
        <w:t xml:space="preserve"> and Spatial Error Models (SEM) were fitted three times using identical specifications and covariates</w:t>
      </w:r>
      <w:r w:rsidR="00457065">
        <w:t xml:space="preserve"> </w:t>
      </w:r>
      <w:r w:rsidR="00E054A3">
        <w:fldChar w:fldCharType="begin"/>
      </w:r>
      <w:r w:rsidR="00720F22">
        <w:instrText xml:space="preserve"> ADDIN EN.CITE &lt;EndNote&gt;&lt;Cite&gt;&lt;Author&gt;Ward&lt;/Author&gt;&lt;Year&gt;2018&lt;/Year&gt;&lt;RecNum&gt;10601&lt;/RecNum&gt;&lt;DisplayText&gt;&lt;style face="superscript"&gt;28,29&lt;/style&gt;&lt;/DisplayText&gt;&lt;record&gt;&lt;rec-number&gt;10601&lt;/rec-number&gt;&lt;foreign-keys&gt;&lt;key app="EN" db-id="ded9vtpt1d2wvmex2x0pddz9raws90dfwftf" timestamp="1639853867"&gt;10601&lt;/key&gt;&lt;/foreign-keys&gt;&lt;ref-type name="Book"&gt;6&lt;/ref-type&gt;&lt;contributors&gt;&lt;authors&gt;&lt;author&gt;Ward, Michael D&lt;/author&gt;&lt;author&gt;Gleditsch, Kristian Skrede&lt;/author&gt;&lt;/authors&gt;&lt;/contributors&gt;&lt;titles&gt;&lt;title&gt;Spatial regression models&lt;/title&gt;&lt;/titles&gt;&lt;volume&gt;155&lt;/volume&gt;&lt;dates&gt;&lt;year&gt;2018&lt;/year&gt;&lt;/dates&gt;&lt;publisher&gt;Sage Publications&lt;/publisher&gt;&lt;isbn&gt;1544328826&lt;/isbn&gt;&lt;urls&gt;&lt;/urls&gt;&lt;/record&gt;&lt;/Cite&gt;&lt;Cite&gt;&lt;Author&gt;Kleinbaum&lt;/Author&gt;&lt;Year&gt;2013&lt;/Year&gt;&lt;RecNum&gt;10289&lt;/RecNum&gt;&lt;record&gt;&lt;rec-number&gt;10289&lt;/rec-number&gt;&lt;foreign-keys&gt;&lt;key app="EN" db-id="ded9vtpt1d2wvmex2x0pddz9raws90dfwftf" timestamp="1583726931"&gt;10289&lt;/key&gt;&lt;/foreign-keys&gt;&lt;ref-type name="Book"&gt;6&lt;/ref-type&gt;&lt;contributors&gt;&lt;authors&gt;&lt;author&gt;Kleinbaum, David G&lt;/author&gt;&lt;author&gt;Kupper, Lawrence L&lt;/author&gt;&lt;author&gt;Nizam, Azhar&lt;/author&gt;&lt;author&gt;Rosenberg, Eli S&lt;/author&gt;&lt;/authors&gt;&lt;/contributors&gt;&lt;titles&gt;&lt;title&gt;Applied regression analysis and other multivariable methods&lt;/title&gt;&lt;/titles&gt;&lt;dates&gt;&lt;year&gt;2013&lt;/year&gt;&lt;/dates&gt;&lt;publisher&gt;Nelson Education&lt;/publisher&gt;&lt;isbn&gt;128596375X&lt;/isbn&gt;&lt;urls&gt;&lt;/urls&gt;&lt;/record&gt;&lt;/Cite&gt;&lt;/EndNote&gt;</w:instrText>
      </w:r>
      <w:r w:rsidR="00E054A3">
        <w:fldChar w:fldCharType="separate"/>
      </w:r>
      <w:r w:rsidR="00720F22" w:rsidRPr="00720F22">
        <w:rPr>
          <w:noProof/>
          <w:vertAlign w:val="superscript"/>
        </w:rPr>
        <w:t>28,29</w:t>
      </w:r>
      <w:r w:rsidR="00E054A3">
        <w:fldChar w:fldCharType="end"/>
      </w:r>
      <w:r w:rsidRPr="00AE4E16">
        <w:t>:</w:t>
      </w:r>
    </w:p>
    <w:p w14:paraId="18B57F41" w14:textId="77777777" w:rsidR="00DB5099" w:rsidRPr="00AE4E16" w:rsidRDefault="00DB5099" w:rsidP="00DB5099">
      <w:pPr>
        <w:pStyle w:val="NoSpacing"/>
        <w:jc w:val="both"/>
      </w:pPr>
    </w:p>
    <w:p w14:paraId="05DF90DF" w14:textId="6032B751" w:rsidR="00DB5099" w:rsidRPr="00AE4E16" w:rsidRDefault="00DB5099" w:rsidP="00DB5099">
      <w:pPr>
        <w:pStyle w:val="NoSpacing"/>
        <w:jc w:val="both"/>
      </w:pPr>
      <w:r w:rsidRPr="00AE4E16">
        <w:t xml:space="preserve">For the dependent variables, Model 1 used the true DA-level crime event counts, while Model 2 was trained on the synthetic event counts before privacy gating and Model 3 employed the privacy-gated synthetic event counts. The dependent variable in all models was the crime rate per 1,000 population, computed from DA-level event counts normalized by 2021 Census Population Totals. </w:t>
      </w:r>
      <w:r w:rsidRPr="002038FA">
        <w:t>The set of predictors reflected key dimensions of social and economic marginalization, including residential instability (</w:t>
      </w:r>
      <w:r w:rsidRPr="002038FA">
        <w:rPr>
          <w:rFonts w:ascii="Courier New" w:hAnsi="Courier New" w:cs="Courier New"/>
        </w:rPr>
        <w:t>households_dwellings_DA21</w:t>
      </w:r>
      <w:r w:rsidRPr="002038FA">
        <w:t>), material deprivation (</w:t>
      </w:r>
      <w:r w:rsidRPr="002038FA">
        <w:rPr>
          <w:rFonts w:ascii="Courier New" w:hAnsi="Courier New" w:cs="Courier New"/>
        </w:rPr>
        <w:t>material_resources_DA21</w:t>
      </w:r>
      <w:r w:rsidRPr="002038FA">
        <w:t>), dependency ratio (</w:t>
      </w:r>
      <w:r w:rsidRPr="002038FA">
        <w:rPr>
          <w:rFonts w:ascii="Courier New" w:hAnsi="Courier New" w:cs="Courier New"/>
        </w:rPr>
        <w:t>age_labourforce_DA21</w:t>
      </w:r>
      <w:r w:rsidRPr="002038FA">
        <w:t>), and the proportion of the racialized population (</w:t>
      </w:r>
      <w:r w:rsidRPr="002038FA">
        <w:rPr>
          <w:rFonts w:ascii="Courier New" w:hAnsi="Courier New" w:cs="Courier New"/>
        </w:rPr>
        <w:t>racialized_NC_pop_DA21</w:t>
      </w:r>
      <w:r w:rsidRPr="002038FA">
        <w:t>).</w:t>
      </w:r>
      <w:r w:rsidRPr="00AE4E16">
        <w:t xml:space="preserve"> All the population and socioeconomic covariates were retrieved from the Ontario Marginalization Index </w:t>
      </w:r>
      <w:r w:rsidRPr="00AE4E16">
        <w:fldChar w:fldCharType="begin"/>
      </w:r>
      <w:r w:rsidR="00720F22">
        <w:instrText xml:space="preserve"> ADDIN EN.CITE &lt;EndNote&gt;&lt;Cite&gt;&lt;Author&gt;Ontario Community Health Profiles Partnership&lt;/Author&gt;&lt;Year&gt;2023&lt;/Year&gt;&lt;RecNum&gt;11084&lt;/RecNum&gt;&lt;DisplayText&gt;&lt;style face="superscript"&gt;30&lt;/style&gt;&lt;/DisplayText&gt;&lt;record&gt;&lt;rec-number&gt;11084&lt;/rec-number&gt;&lt;foreign-keys&gt;&lt;key app="EN" db-id="ded9vtpt1d2wvmex2x0pddz9raws90dfwftf" timestamp="1708370038"&gt;11084&lt;/key&gt;&lt;/foreign-keys&gt;&lt;ref-type name="Web Page"&gt;12&lt;/ref-type&gt;&lt;contributors&gt;&lt;authors&gt;&lt;author&gt;Ontario Community Health Profiles Partnership,&lt;/author&gt;&lt;/authors&gt;&lt;/contributors&gt;&lt;titles&gt;&lt;title&gt;Ontario Marginalization Index (ON-Marg)&lt;/title&gt;&lt;/titles&gt;&lt;dates&gt;&lt;year&gt;2023&lt;/year&gt;&lt;/dates&gt;&lt;urls&gt;&lt;related-urls&gt;&lt;url&gt;https://www.ontariohealthprofiles.ca/onmargON.php#ONMarg2021NHs&lt;/url&gt;&lt;/related-urls&gt;&lt;/urls&gt;&lt;/record&gt;&lt;/Cite&gt;&lt;/EndNote&gt;</w:instrText>
      </w:r>
      <w:r w:rsidRPr="00AE4E16">
        <w:fldChar w:fldCharType="separate"/>
      </w:r>
      <w:r w:rsidR="00720F22" w:rsidRPr="00720F22">
        <w:rPr>
          <w:noProof/>
          <w:vertAlign w:val="superscript"/>
        </w:rPr>
        <w:t>30</w:t>
      </w:r>
      <w:r w:rsidRPr="00AE4E16">
        <w:fldChar w:fldCharType="end"/>
      </w:r>
      <w:r w:rsidRPr="00AE4E16">
        <w:t xml:space="preserve">. </w:t>
      </w:r>
    </w:p>
    <w:p w14:paraId="6CC56D96" w14:textId="77777777" w:rsidR="00DB5099" w:rsidRPr="00AE4E16" w:rsidRDefault="00DB5099" w:rsidP="00DB5099">
      <w:pPr>
        <w:pStyle w:val="NoSpacing"/>
        <w:jc w:val="both"/>
      </w:pPr>
    </w:p>
    <w:p w14:paraId="0F1B8AA0" w14:textId="77777777" w:rsidR="00B04A92" w:rsidRDefault="00DB5099" w:rsidP="00DB5099">
      <w:pPr>
        <w:pStyle w:val="NoSpacing"/>
        <w:jc w:val="both"/>
      </w:pPr>
      <w:r w:rsidRPr="00AE4E16">
        <w:t xml:space="preserve">Model performance and comparability were evaluated on three key aspects: </w:t>
      </w:r>
    </w:p>
    <w:p w14:paraId="135DB953" w14:textId="77777777" w:rsidR="00B04A92" w:rsidRDefault="00B04A92" w:rsidP="00DB5099">
      <w:pPr>
        <w:pStyle w:val="NoSpacing"/>
        <w:jc w:val="both"/>
      </w:pPr>
    </w:p>
    <w:p w14:paraId="1B986AAE" w14:textId="710408BE" w:rsidR="00B04A92" w:rsidRDefault="00DB5099" w:rsidP="00DB5099">
      <w:pPr>
        <w:pStyle w:val="NoSpacing"/>
        <w:jc w:val="both"/>
      </w:pPr>
      <w:r w:rsidRPr="00AE4E16">
        <w:t xml:space="preserve">(i) Model </w:t>
      </w:r>
      <w:r w:rsidR="00B04A92">
        <w:t>f</w:t>
      </w:r>
      <w:r w:rsidRPr="00AE4E16">
        <w:t>it: The coefficient of determination (</w:t>
      </w:r>
      <w:r w:rsidRPr="00AE4E16">
        <w:rPr>
          <w:i/>
          <w:iCs/>
        </w:rPr>
        <w:t>R²</w:t>
      </w:r>
      <w:r w:rsidRPr="00AE4E16">
        <w:t>) from both OLS and Spatial Error Models was used to assess explanatory power,</w:t>
      </w:r>
      <w:r>
        <w:t xml:space="preserve"> </w:t>
      </w:r>
      <w:r w:rsidRPr="001A152A">
        <w:t>and pseudo-R² from the Spatial Lag Model was also reported</w:t>
      </w:r>
      <w:r w:rsidR="00AA54CA">
        <w:t>.</w:t>
      </w:r>
      <w:r w:rsidRPr="00AE4E16">
        <w:t xml:space="preserve"> </w:t>
      </w:r>
    </w:p>
    <w:p w14:paraId="36177EBA" w14:textId="13579030" w:rsidR="00AA54CA" w:rsidRDefault="00DB5099" w:rsidP="00DB5099">
      <w:pPr>
        <w:pStyle w:val="NoSpacing"/>
        <w:jc w:val="both"/>
      </w:pPr>
      <w:r w:rsidRPr="00AE4E16">
        <w:t>(i</w:t>
      </w:r>
      <w:r w:rsidR="004C0578">
        <w:t>i</w:t>
      </w:r>
      <w:r w:rsidRPr="00AE4E16">
        <w:t xml:space="preserve">) Covariate </w:t>
      </w:r>
      <w:r w:rsidR="00B04A92">
        <w:t>e</w:t>
      </w:r>
      <w:r w:rsidRPr="00AE4E16">
        <w:t xml:space="preserve">ffects: </w:t>
      </w:r>
      <w:r w:rsidR="003053F9" w:rsidRPr="003053F9">
        <w:t xml:space="preserve">Coefficient magnitudes and statistical significance (p-values) were compared </w:t>
      </w:r>
      <w:r w:rsidR="00911A2B">
        <w:t>and reported for</w:t>
      </w:r>
      <w:r w:rsidR="003053F9" w:rsidRPr="003053F9">
        <w:t xml:space="preserve"> all Ontario Marginalization Index indicators</w:t>
      </w:r>
      <w:r w:rsidR="00AA54CA">
        <w:t>.</w:t>
      </w:r>
      <w:r w:rsidRPr="00AE4E16">
        <w:t xml:space="preserve"> </w:t>
      </w:r>
    </w:p>
    <w:p w14:paraId="34603A02" w14:textId="77777777" w:rsidR="005C74DA" w:rsidRDefault="00DB5099" w:rsidP="00053C30">
      <w:pPr>
        <w:pStyle w:val="NoSpacing"/>
        <w:jc w:val="both"/>
      </w:pPr>
      <w:r w:rsidRPr="00AE4E16">
        <w:t xml:space="preserve">(iii) Spatial </w:t>
      </w:r>
      <w:r w:rsidR="00AA54CA">
        <w:t>d</w:t>
      </w:r>
      <w:r w:rsidRPr="00AE4E16">
        <w:t xml:space="preserve">ependence: </w:t>
      </w:r>
      <w:r w:rsidR="005C74DA" w:rsidRPr="005C74DA">
        <w:t>The estimated spatial error term (λ) and spatial lag coefficient (ρ) were compared across datasets to assess whether the synthetic data preserved spatial dependence structures</w:t>
      </w:r>
      <w:r w:rsidRPr="00AE4E16">
        <w:t>.</w:t>
      </w:r>
      <w:r w:rsidR="002D38DD">
        <w:t xml:space="preserve"> </w:t>
      </w:r>
    </w:p>
    <w:p w14:paraId="7EB12ABB" w14:textId="6A33424E" w:rsidR="00231D44" w:rsidRDefault="00DB5099" w:rsidP="00053C30">
      <w:pPr>
        <w:pStyle w:val="NoSpacing"/>
        <w:jc w:val="both"/>
      </w:pPr>
      <w:r w:rsidRPr="00AE4E16">
        <w:lastRenderedPageBreak/>
        <w:t xml:space="preserve">Agreement </w:t>
      </w:r>
      <w:r w:rsidR="00231D44">
        <w:t xml:space="preserve">across these three outputs between the real and synthetic datasets </w:t>
      </w:r>
      <w:r w:rsidR="004C0578">
        <w:t>would indicate</w:t>
      </w:r>
      <w:r w:rsidR="00231D44">
        <w:t xml:space="preserve"> that </w:t>
      </w:r>
      <w:r w:rsidR="004C0578">
        <w:t xml:space="preserve">the </w:t>
      </w:r>
      <w:r w:rsidR="00231D44">
        <w:t>analyses conducted on synthetic data would yield results, interpretations, and policy-relevant insights similar to those from analyses conducted on the original, real,</w:t>
      </w:r>
      <w:r w:rsidRPr="00AE4E16">
        <w:t xml:space="preserve"> and </w:t>
      </w:r>
      <w:r w:rsidR="004C0578">
        <w:t>privacy-</w:t>
      </w:r>
      <w:r w:rsidRPr="00AE4E16">
        <w:t>sensitive data.</w:t>
      </w:r>
    </w:p>
    <w:p w14:paraId="7A644AC2" w14:textId="77777777" w:rsidR="00053C30" w:rsidRDefault="00053C30" w:rsidP="00053C30">
      <w:pPr>
        <w:pStyle w:val="NoSpacing"/>
        <w:jc w:val="both"/>
        <w:rPr>
          <w:b/>
          <w:bCs/>
        </w:rPr>
      </w:pPr>
    </w:p>
    <w:p w14:paraId="7350F24B" w14:textId="5FCE0C0D" w:rsidR="00DB5099" w:rsidRPr="008C57CF" w:rsidRDefault="00A752B7" w:rsidP="00DB5099">
      <w:pPr>
        <w:pStyle w:val="NoSpacing"/>
        <w:jc w:val="both"/>
        <w:rPr>
          <w:b/>
          <w:bCs/>
        </w:rPr>
      </w:pPr>
      <w:r>
        <w:rPr>
          <w:b/>
          <w:bCs/>
        </w:rPr>
        <w:t>7</w:t>
      </w:r>
      <w:r w:rsidR="00DB5099">
        <w:rPr>
          <w:b/>
          <w:bCs/>
        </w:rPr>
        <w:t>.4</w:t>
      </w:r>
      <w:r w:rsidR="00DB5099" w:rsidRPr="008C57CF">
        <w:rPr>
          <w:b/>
          <w:bCs/>
        </w:rPr>
        <w:t xml:space="preserve"> Privacy and Disclosure Risk Assessment</w:t>
      </w:r>
    </w:p>
    <w:p w14:paraId="036C1F49" w14:textId="77777777" w:rsidR="00DB5099" w:rsidRPr="008C57CF" w:rsidRDefault="00DB5099" w:rsidP="00DB5099">
      <w:pPr>
        <w:pStyle w:val="NoSpacing"/>
        <w:jc w:val="both"/>
      </w:pPr>
    </w:p>
    <w:p w14:paraId="1DC5C8E5" w14:textId="3D3618C9" w:rsidR="00491F86" w:rsidRDefault="00491F86" w:rsidP="00491F86">
      <w:pPr>
        <w:pStyle w:val="NoSpacing"/>
        <w:jc w:val="both"/>
      </w:pPr>
      <w:r>
        <w:t xml:space="preserve">The privacy evaluation quantified the extent to which the GeoCTGAN-generated data preserved confidentiality and avoided record memorization. </w:t>
      </w:r>
      <w:r w:rsidR="008343C2" w:rsidRPr="008343C2">
        <w:t>All privacy metrics were computed using SDMetrics by comparing each synthetic dataset (Syn‑Raw and Syn‑Priv) against the corresponding real training dataset, with the real holdout (test) dataset additionally used where required (e.g., DCROverfittingProtection).</w:t>
      </w:r>
    </w:p>
    <w:p w14:paraId="47B8B1FD" w14:textId="77777777" w:rsidR="00491F86" w:rsidRDefault="00491F86" w:rsidP="00491F86">
      <w:pPr>
        <w:pStyle w:val="NoSpacing"/>
        <w:jc w:val="both"/>
      </w:pPr>
    </w:p>
    <w:p w14:paraId="3D6ABC60" w14:textId="5F57B80F" w:rsidR="00491F86" w:rsidRDefault="00491F86" w:rsidP="00491F86">
      <w:pPr>
        <w:pStyle w:val="NoSpacing"/>
        <w:jc w:val="both"/>
      </w:pPr>
      <w:r>
        <w:t>i) Disclosure protection:</w:t>
      </w:r>
      <w:r w:rsidR="00D700C6">
        <w:t xml:space="preserve"> </w:t>
      </w:r>
      <w:r>
        <w:t>A privacy score was estimated using the SDMetrics DisclosureProtectionEstimate metric</w:t>
      </w:r>
      <w:r w:rsidR="00D700C6">
        <w:t xml:space="preserve"> </w:t>
      </w:r>
      <w:r w:rsidR="00D700C6">
        <w:fldChar w:fldCharType="begin"/>
      </w:r>
      <w:r w:rsidR="00720F22">
        <w:instrText xml:space="preserve"> ADDIN EN.CITE &lt;EndNote&gt;&lt;Cite&gt;&lt;Author&gt;DataCebo&lt;/Author&gt;&lt;Year&gt;2025&lt;/Year&gt;&lt;RecNum&gt;11345&lt;/RecNum&gt;&lt;DisplayText&gt;&lt;style face="superscript"&gt;31&lt;/style&gt;&lt;/DisplayText&gt;&lt;record&gt;&lt;rec-number&gt;11345&lt;/rec-number&gt;&lt;foreign-keys&gt;&lt;key app="EN" db-id="ded9vtpt1d2wvmex2x0pddz9raws90dfwftf" timestamp="1763682119"&gt;11345&lt;/key&gt;&lt;/foreign-keys&gt;&lt;ref-type name="Web Page"&gt;12&lt;/ref-type&gt;&lt;contributors&gt;&lt;authors&gt;&lt;author&gt;DataCebo&lt;/author&gt;&lt;/authors&gt;&lt;/contributors&gt;&lt;titles&gt;&lt;title&gt;SDMetrics- DisclosureProtectionEstimate&lt;/title&gt;&lt;/titles&gt;&lt;dates&gt;&lt;year&gt;2025&lt;/year&gt;&lt;/dates&gt;&lt;urls&gt;&lt;related-urls&gt;&lt;url&gt;https://docs.sdv.dev/sdmetrics/data-metrics/privacy/disclosureprotectionestimate&lt;/url&gt;&lt;/related-urls&gt;&lt;/urls&gt;&lt;/record&gt;&lt;/Cite&gt;&lt;/EndNote&gt;</w:instrText>
      </w:r>
      <w:r w:rsidR="00D700C6">
        <w:fldChar w:fldCharType="separate"/>
      </w:r>
      <w:r w:rsidR="00720F22" w:rsidRPr="00720F22">
        <w:rPr>
          <w:noProof/>
          <w:vertAlign w:val="superscript"/>
        </w:rPr>
        <w:t>31</w:t>
      </w:r>
      <w:r w:rsidR="00D700C6">
        <w:fldChar w:fldCharType="end"/>
      </w:r>
      <w:r>
        <w:t>, which evaluated resistance to identity and attribute disclosure. Due to the large dataset and high dimensionality, the metric was computed in batches using a moving window of matched real</w:t>
      </w:r>
      <w:r w:rsidR="00D700C6">
        <w:t>-</w:t>
      </w:r>
      <w:r>
        <w:t>synthetic pairs across shared mode</w:t>
      </w:r>
      <w:r w:rsidR="00D700C6">
        <w:t>l</w:t>
      </w:r>
      <w:r>
        <w:t>led columns. Batch-level scores were aggregated using harmonic-mean weights, and final estimates were reported as weighted means with 95% confidence intervals.</w:t>
      </w:r>
    </w:p>
    <w:p w14:paraId="42C97156" w14:textId="77777777" w:rsidR="00491F86" w:rsidRDefault="00491F86" w:rsidP="00491F86">
      <w:pPr>
        <w:pStyle w:val="NoSpacing"/>
        <w:jc w:val="both"/>
      </w:pPr>
    </w:p>
    <w:p w14:paraId="3DB7F1AC" w14:textId="6B38D541" w:rsidR="00491F86" w:rsidRDefault="00491F86" w:rsidP="00491F86">
      <w:pPr>
        <w:pStyle w:val="NoSpacing"/>
        <w:jc w:val="both"/>
      </w:pPr>
      <w:r>
        <w:t>ii) DCR-based protection metrics:</w:t>
      </w:r>
      <w:r w:rsidR="00D700C6">
        <w:t xml:space="preserve"> </w:t>
      </w:r>
      <w:r>
        <w:t>Two complementary DCR-based metrics were used to assess memorization risk and relative synthetic</w:t>
      </w:r>
      <w:r w:rsidR="000E45DB">
        <w:t>-</w:t>
      </w:r>
      <w:r>
        <w:t>real proximity.</w:t>
      </w:r>
    </w:p>
    <w:p w14:paraId="54BF1FE9" w14:textId="77777777" w:rsidR="00491F86" w:rsidRDefault="00491F86" w:rsidP="00491F86">
      <w:pPr>
        <w:pStyle w:val="NoSpacing"/>
        <w:jc w:val="both"/>
      </w:pPr>
    </w:p>
    <w:p w14:paraId="433811F9" w14:textId="115CBC86" w:rsidR="00491F86" w:rsidRDefault="00491F86" w:rsidP="00491F86">
      <w:pPr>
        <w:pStyle w:val="NoSpacing"/>
        <w:jc w:val="both"/>
      </w:pPr>
      <w:r>
        <w:t>First, the DCROverfittingProtection metric</w:t>
      </w:r>
      <w:r w:rsidR="002526C2">
        <w:t xml:space="preserve"> </w:t>
      </w:r>
      <w:r w:rsidR="00B66418">
        <w:fldChar w:fldCharType="begin"/>
      </w:r>
      <w:r w:rsidR="00720F22">
        <w:instrText xml:space="preserve"> ADDIN EN.CITE &lt;EndNote&gt;&lt;Cite&gt;&lt;Author&gt;DataCebo&lt;/Author&gt;&lt;Year&gt;2025&lt;/Year&gt;&lt;RecNum&gt;11346&lt;/RecNum&gt;&lt;DisplayText&gt;&lt;style face="superscript"&gt;32&lt;/style&gt;&lt;/DisplayText&gt;&lt;record&gt;&lt;rec-number&gt;11346&lt;/rec-number&gt;&lt;foreign-keys&gt;&lt;key app="EN" db-id="ded9vtpt1d2wvmex2x0pddz9raws90dfwftf" timestamp="1763682138"&gt;11346&lt;/key&gt;&lt;/foreign-keys&gt;&lt;ref-type name="Web Page"&gt;12&lt;/ref-type&gt;&lt;contributors&gt;&lt;authors&gt;&lt;author&gt;DataCebo&lt;/author&gt;&lt;/authors&gt;&lt;/contributors&gt;&lt;titles&gt;&lt;title&gt;SDMetrics- DCROverfittingProtection&lt;/title&gt;&lt;/titles&gt;&lt;dates&gt;&lt;year&gt;2025&lt;/year&gt;&lt;/dates&gt;&lt;urls&gt;&lt;related-urls&gt;&lt;url&gt;https://docs.sdv.dev/sdmetrics/data-metrics/privacy/dcroverfittingprotection&lt;/url&gt;&lt;/related-urls&gt;&lt;/urls&gt;&lt;/record&gt;&lt;/Cite&gt;&lt;/EndNote&gt;</w:instrText>
      </w:r>
      <w:r w:rsidR="00B66418">
        <w:fldChar w:fldCharType="separate"/>
      </w:r>
      <w:r w:rsidR="00720F22" w:rsidRPr="00720F22">
        <w:rPr>
          <w:noProof/>
          <w:vertAlign w:val="superscript"/>
        </w:rPr>
        <w:t>32</w:t>
      </w:r>
      <w:r w:rsidR="00B66418">
        <w:fldChar w:fldCharType="end"/>
      </w:r>
      <w:r>
        <w:t xml:space="preserve"> was used to detect potential memorization by comparing the distance from each synthetic record to the training data against the distance from each real training record to the real holdout (test) data. A high score (maximum 1) indicates that synthetic records are not unnaturally closer to real training data than expected under natural variation.</w:t>
      </w:r>
    </w:p>
    <w:p w14:paraId="59165F9D" w14:textId="77777777" w:rsidR="00491F86" w:rsidRDefault="00491F86" w:rsidP="00491F86">
      <w:pPr>
        <w:pStyle w:val="NoSpacing"/>
        <w:jc w:val="both"/>
      </w:pPr>
    </w:p>
    <w:p w14:paraId="32562068" w14:textId="5343CC73" w:rsidR="00DB5099" w:rsidRDefault="00491F86" w:rsidP="00491F86">
      <w:pPr>
        <w:pStyle w:val="NoSpacing"/>
        <w:jc w:val="both"/>
      </w:pPr>
      <w:r>
        <w:t>Second, the DCRBaselineProtection metric</w:t>
      </w:r>
      <w:r w:rsidR="002526C2">
        <w:t xml:space="preserve"> </w:t>
      </w:r>
      <w:r w:rsidR="002526C2">
        <w:fldChar w:fldCharType="begin"/>
      </w:r>
      <w:r w:rsidR="00720F22">
        <w:instrText xml:space="preserve"> ADDIN EN.CITE &lt;EndNote&gt;&lt;Cite&gt;&lt;Author&gt;DataCebo&lt;/Author&gt;&lt;Year&gt;2025&lt;/Year&gt;&lt;RecNum&gt;11347&lt;/RecNum&gt;&lt;DisplayText&gt;&lt;style face="superscript"&gt;33&lt;/style&gt;&lt;/DisplayText&gt;&lt;record&gt;&lt;rec-number&gt;11347&lt;/rec-number&gt;&lt;foreign-keys&gt;&lt;key app="EN" db-id="ded9vtpt1d2wvmex2x0pddz9raws90dfwftf" timestamp="1763682195"&gt;11347&lt;/key&gt;&lt;/foreign-keys&gt;&lt;ref-type name="Web Page"&gt;12&lt;/ref-type&gt;&lt;contributors&gt;&lt;authors&gt;&lt;author&gt;DataCebo&lt;/author&gt;&lt;/authors&gt;&lt;/contributors&gt;&lt;titles&gt;&lt;title&gt;SDMetrics- DCRBaselineProtection&lt;/title&gt;&lt;/titles&gt;&lt;dates&gt;&lt;year&gt;2025&lt;/year&gt;&lt;/dates&gt;&lt;urls&gt;&lt;related-urls&gt;&lt;url&gt;https://docs.sdv.dev/sdmetrics/data-metrics/privacy/dcrbaselineprotection&lt;/url&gt;&lt;/related-urls&gt;&lt;/urls&gt;&lt;/record&gt;&lt;/Cite&gt;&lt;/EndNote&gt;</w:instrText>
      </w:r>
      <w:r w:rsidR="002526C2">
        <w:fldChar w:fldCharType="separate"/>
      </w:r>
      <w:r w:rsidR="00720F22" w:rsidRPr="00720F22">
        <w:rPr>
          <w:noProof/>
          <w:vertAlign w:val="superscript"/>
        </w:rPr>
        <w:t>33</w:t>
      </w:r>
      <w:r w:rsidR="002526C2">
        <w:fldChar w:fldCharType="end"/>
      </w:r>
      <w:r>
        <w:t xml:space="preserve">  evaluated whether synthetic records maintained an appropriate level of separation from real data in attribute space. It benchmarks the distance from each synthetic record to its nearest real neighbour against the distance from each real record to its own nearest real neighbour. High scores confirm that the synthetic data mimics the inherent density structure of the real dataset without exhibiting excessive proximity.</w:t>
      </w:r>
    </w:p>
    <w:p w14:paraId="2D260774" w14:textId="77777777" w:rsidR="00DB5099" w:rsidRDefault="00DB5099" w:rsidP="00DB5099">
      <w:pPr>
        <w:pStyle w:val="NoSpacing"/>
        <w:jc w:val="both"/>
      </w:pPr>
    </w:p>
    <w:p w14:paraId="60AE9B9A" w14:textId="4E03C6E6" w:rsidR="00DB5099" w:rsidRDefault="00DB5099" w:rsidP="00DB5099">
      <w:pPr>
        <w:pStyle w:val="NoSpacing"/>
        <w:jc w:val="both"/>
      </w:pPr>
      <w:r w:rsidRPr="0069713E">
        <w:t xml:space="preserve">iii) </w:t>
      </w:r>
      <w:r w:rsidRPr="00746E6C">
        <w:t xml:space="preserve">Spatial </w:t>
      </w:r>
      <w:r w:rsidR="00746E6C">
        <w:t>g</w:t>
      </w:r>
      <w:r w:rsidRPr="00746E6C">
        <w:t>eo-</w:t>
      </w:r>
      <w:r w:rsidR="00746E6C">
        <w:t>l</w:t>
      </w:r>
      <w:r w:rsidRPr="00746E6C">
        <w:t xml:space="preserve">eakage </w:t>
      </w:r>
      <w:r w:rsidR="00746E6C">
        <w:t>a</w:t>
      </w:r>
      <w:r w:rsidRPr="00746E6C">
        <w:t>ssessment</w:t>
      </w:r>
      <w:r>
        <w:t xml:space="preserve">: </w:t>
      </w:r>
      <w:r w:rsidRPr="0069713E">
        <w:t xml:space="preserve">To specifically quantify the spatial privacy risk not captured by tabular DCR, we conducted </w:t>
      </w:r>
      <w:r w:rsidR="00BB5427" w:rsidRPr="00BB5427">
        <w:t>an additional geo-leakage assessment</w:t>
      </w:r>
      <w:r w:rsidRPr="0069713E">
        <w:t xml:space="preserve">. </w:t>
      </w:r>
      <w:r w:rsidR="009B0773" w:rsidRPr="009B0773">
        <w:t>A KDTree was constructed from the metric coordinates of all real training points. The coordinates of each synthetic point were then queried against this tree to compute the exact Euclidean distance (in meters) to its nearest real training point. We reported the proportion of synthetic points falling within predefined proximity thresholds of 5, 10, 25, 50, and 100 m. This metric does not directly indicate record-level re</w:t>
      </w:r>
      <w:r w:rsidR="005209E3">
        <w:t>-</w:t>
      </w:r>
      <w:r w:rsidR="009B0773" w:rsidRPr="009B0773">
        <w:t>identification risk, as synthetic and real events are not matched on quasi-identifiers</w:t>
      </w:r>
      <w:r w:rsidR="008D03B4">
        <w:t>; r</w:t>
      </w:r>
      <w:r w:rsidR="009B0773" w:rsidRPr="009B0773">
        <w:t>ather, it measures purely spatial proximity</w:t>
      </w:r>
      <w:r w:rsidRPr="0006122E">
        <w:t>.</w:t>
      </w:r>
      <w:r>
        <w:t xml:space="preserve"> </w:t>
      </w:r>
    </w:p>
    <w:p w14:paraId="2594554A" w14:textId="77777777" w:rsidR="00DB5099" w:rsidRDefault="00DB5099" w:rsidP="00DB5099">
      <w:pPr>
        <w:pStyle w:val="NoSpacing"/>
        <w:jc w:val="both"/>
      </w:pPr>
    </w:p>
    <w:p w14:paraId="4698B267" w14:textId="7467E12B" w:rsidR="00DB5099" w:rsidRDefault="00DB5099" w:rsidP="00DB5099">
      <w:pPr>
        <w:pStyle w:val="NoSpacing"/>
        <w:jc w:val="both"/>
      </w:pPr>
      <w:r w:rsidRPr="0069713E">
        <w:t xml:space="preserve">iv) </w:t>
      </w:r>
      <w:r w:rsidR="004E49BA" w:rsidRPr="008D03B4">
        <w:rPr>
          <w:i/>
          <w:iCs/>
        </w:rPr>
        <w:t>K</w:t>
      </w:r>
      <w:r w:rsidRPr="008D03B4">
        <w:t>-</w:t>
      </w:r>
      <w:r w:rsidR="004E49BA" w:rsidRPr="008D03B4">
        <w:t>a</w:t>
      </w:r>
      <w:r w:rsidRPr="008D03B4">
        <w:t xml:space="preserve">nonymity </w:t>
      </w:r>
      <w:r w:rsidR="004E49BA" w:rsidRPr="008D03B4">
        <w:t>m</w:t>
      </w:r>
      <w:r w:rsidRPr="008D03B4">
        <w:t>ap (</w:t>
      </w:r>
      <w:r w:rsidRPr="008D03B4">
        <w:rPr>
          <w:i/>
          <w:iCs/>
        </w:rPr>
        <w:t>k</w:t>
      </w:r>
      <w:r w:rsidRPr="008D03B4">
        <w:t>-</w:t>
      </w:r>
      <w:r w:rsidR="004E49BA" w:rsidRPr="008D03B4">
        <w:t>m</w:t>
      </w:r>
      <w:r w:rsidRPr="008D03B4">
        <w:t xml:space="preserve">ap) </w:t>
      </w:r>
      <w:r w:rsidR="008D03B4">
        <w:t>r</w:t>
      </w:r>
      <w:r w:rsidRPr="008D03B4">
        <w:t>e</w:t>
      </w:r>
      <w:r w:rsidR="005209E3">
        <w:t>-</w:t>
      </w:r>
      <w:r w:rsidRPr="008D03B4">
        <w:t xml:space="preserve">identification </w:t>
      </w:r>
      <w:r w:rsidR="008D03B4">
        <w:t>r</w:t>
      </w:r>
      <w:r w:rsidRPr="008D03B4">
        <w:t>isk</w:t>
      </w:r>
      <w:r>
        <w:t>: Finally</w:t>
      </w:r>
      <w:r w:rsidRPr="0069713E">
        <w:t>, we assessed the risk of re</w:t>
      </w:r>
      <w:r w:rsidR="005209E3">
        <w:t>-</w:t>
      </w:r>
      <w:r w:rsidRPr="0069713E">
        <w:t xml:space="preserve">identification by linking </w:t>
      </w:r>
      <w:r w:rsidR="000941E9" w:rsidRPr="000941E9">
        <w:t>quasi-identifying</w:t>
      </w:r>
      <w:r w:rsidR="000941E9">
        <w:t xml:space="preserve"> </w:t>
      </w:r>
      <w:r w:rsidRPr="0069713E">
        <w:t xml:space="preserve">attributes (QIDs) to a coarsened location. </w:t>
      </w:r>
      <w:r w:rsidRPr="004826F8">
        <w:t>We assumed a worst-case adversary who knows the key quasi-identifiers of a crime event, specifically</w:t>
      </w:r>
      <w:r>
        <w:t xml:space="preserve"> </w:t>
      </w:r>
      <w:r w:rsidRPr="004826F8">
        <w:t xml:space="preserve">the police </w:t>
      </w:r>
      <w:r w:rsidRPr="004826F8">
        <w:lastRenderedPageBreak/>
        <w:t>division, crime category, premises type, day of the week</w:t>
      </w:r>
      <w:r>
        <w:t xml:space="preserve"> and </w:t>
      </w:r>
      <w:r w:rsidRPr="004826F8">
        <w:t>month</w:t>
      </w:r>
      <w:r>
        <w:t xml:space="preserve"> of crime</w:t>
      </w:r>
      <w:r w:rsidRPr="004826F8">
        <w:t>, and the approximate 50</w:t>
      </w:r>
      <w:r w:rsidR="00894F90">
        <w:t xml:space="preserve"> </w:t>
      </w:r>
      <w:r w:rsidRPr="004826F8">
        <w:t xml:space="preserve">m </w:t>
      </w:r>
      <w:r>
        <w:t xml:space="preserve">spatial </w:t>
      </w:r>
      <w:r w:rsidRPr="004826F8">
        <w:t xml:space="preserve">grid cell of occurrence. The attacker </w:t>
      </w:r>
      <w:r>
        <w:t xml:space="preserve">then </w:t>
      </w:r>
      <w:r w:rsidRPr="004826F8">
        <w:t xml:space="preserve">attempts to link each synthetic record back to real data by checking how many real events share this exact QID + location combination. A synthetic record </w:t>
      </w:r>
      <w:r w:rsidR="00BF1862">
        <w:t>was</w:t>
      </w:r>
      <w:r w:rsidRPr="004826F8">
        <w:t xml:space="preserve"> considered</w:t>
      </w:r>
      <w:r>
        <w:t xml:space="preserve"> at</w:t>
      </w:r>
      <w:r w:rsidRPr="004826F8">
        <w:t xml:space="preserve"> privacy</w:t>
      </w:r>
      <w:r>
        <w:t xml:space="preserve"> </w:t>
      </w:r>
      <w:r w:rsidRPr="004826F8">
        <w:t>risk if it uniquely matches a real event (</w:t>
      </w:r>
      <w:r w:rsidRPr="00037071">
        <w:rPr>
          <w:i/>
          <w:iCs/>
        </w:rPr>
        <w:t>k</w:t>
      </w:r>
      <w:r w:rsidRPr="004826F8">
        <w:t xml:space="preserve"> = 1) or falls within a small anonymity set (</w:t>
      </w:r>
      <w:r w:rsidRPr="00037071">
        <w:rPr>
          <w:i/>
          <w:iCs/>
        </w:rPr>
        <w:t>k</w:t>
      </w:r>
      <w:r w:rsidRPr="004826F8">
        <w:t xml:space="preserve"> ≤ 5).</w:t>
      </w:r>
      <w:r>
        <w:t xml:space="preserve"> </w:t>
      </w:r>
      <w:r w:rsidR="00804518" w:rsidRPr="00804518">
        <w:t>Only synthetic records with at least one matching real record under this combined key</w:t>
      </w:r>
      <w:r>
        <w:t xml:space="preserve"> were included in the analysis, yielding a conditional </w:t>
      </w:r>
      <w:r w:rsidRPr="00C87761">
        <w:rPr>
          <w:i/>
          <w:iCs/>
        </w:rPr>
        <w:t>k</w:t>
      </w:r>
      <w:r>
        <w:t>-map risk estimate that quantifies re</w:t>
      </w:r>
      <w:r w:rsidR="005209E3">
        <w:t>-</w:t>
      </w:r>
      <w:r>
        <w:t>identification vulnerability within</w:t>
      </w:r>
      <w:r w:rsidRPr="00070BD8">
        <w:t xml:space="preserve"> the matched subset.</w:t>
      </w:r>
      <w:r>
        <w:t xml:space="preserve"> </w:t>
      </w:r>
      <w:r w:rsidRPr="00E33549">
        <w:t xml:space="preserve">This conditional risk formulation avoids underestimating disclosure risk by ensuring that synthetic records with no real match (i.e., those impossible for an attacker to link) do not artificially inflate apparent anonymity. Summary measures were computed for </w:t>
      </w:r>
      <w:r w:rsidRPr="00E33549">
        <w:rPr>
          <w:i/>
          <w:iCs/>
        </w:rPr>
        <w:t>k</w:t>
      </w:r>
      <w:r w:rsidRPr="00E33549">
        <w:t xml:space="preserve"> = 1, 2, 5, and 10 to examine the distribution of anonymity-set sizes across synthetic records susceptible to linkage</w:t>
      </w:r>
      <w:r>
        <w:t xml:space="preserve">. </w:t>
      </w:r>
      <w:r w:rsidR="006E7337" w:rsidRPr="006E7337">
        <w:t>That is, conditional on a successful match, what is the probability of re-identification?</w:t>
      </w:r>
    </w:p>
    <w:p w14:paraId="161A98C5" w14:textId="77777777" w:rsidR="00A752B7" w:rsidRDefault="00A752B7" w:rsidP="004D52AA">
      <w:pPr>
        <w:pStyle w:val="NoSpacing"/>
      </w:pPr>
    </w:p>
    <w:p w14:paraId="2652B17E" w14:textId="7649AEE2" w:rsidR="00520673" w:rsidRDefault="00520673" w:rsidP="004D52AA">
      <w:pPr>
        <w:pStyle w:val="NoSpacing"/>
        <w:rPr>
          <w:b/>
          <w:bCs/>
        </w:rPr>
      </w:pPr>
      <w:r w:rsidRPr="00520673">
        <w:rPr>
          <w:b/>
          <w:bCs/>
        </w:rPr>
        <w:t>8. Benchmarking and ablation analyses</w:t>
      </w:r>
    </w:p>
    <w:p w14:paraId="15779AAA" w14:textId="77777777" w:rsidR="00051D05" w:rsidRPr="00520673" w:rsidRDefault="00051D05" w:rsidP="004D52AA">
      <w:pPr>
        <w:pStyle w:val="NoSpacing"/>
        <w:rPr>
          <w:b/>
          <w:bCs/>
        </w:rPr>
      </w:pPr>
    </w:p>
    <w:p w14:paraId="104BDF9E" w14:textId="792D3556" w:rsidR="00520673" w:rsidRDefault="003F7F1E" w:rsidP="00F52AF0">
      <w:pPr>
        <w:pStyle w:val="NoSpacing"/>
        <w:jc w:val="both"/>
      </w:pPr>
      <w:r>
        <w:t>W</w:t>
      </w:r>
      <w:r w:rsidR="00520673" w:rsidRPr="00520673">
        <w:t xml:space="preserve">e undertook a structured benchmark and ablation analysis using the same training split, temporal cohorting, and evaluation framework as the core GeoCTGAN </w:t>
      </w:r>
      <w:r w:rsidR="000F04F5">
        <w:t>execution</w:t>
      </w:r>
      <w:r w:rsidR="00520673" w:rsidRPr="00520673">
        <w:t xml:space="preserve">. The aim was to </w:t>
      </w:r>
      <w:r w:rsidR="000F04F5">
        <w:t>thoroughly understand</w:t>
      </w:r>
      <w:r w:rsidR="00520673" w:rsidRPr="00520673">
        <w:t xml:space="preserve"> whether GeoCTGAN</w:t>
      </w:r>
      <w:r w:rsidR="00051D05">
        <w:t>'</w:t>
      </w:r>
      <w:r w:rsidR="00520673" w:rsidRPr="00520673">
        <w:t>s network-aware design contributed meaningfully beyond simpler generators and to identify which components of the framework were most responsible for the retained spatial utility.</w:t>
      </w:r>
    </w:p>
    <w:p w14:paraId="09D48BEF" w14:textId="77777777" w:rsidR="00F52AF0" w:rsidRPr="00520673" w:rsidRDefault="00F52AF0" w:rsidP="00F52AF0">
      <w:pPr>
        <w:pStyle w:val="NoSpacing"/>
        <w:jc w:val="both"/>
      </w:pPr>
    </w:p>
    <w:p w14:paraId="40B423EF" w14:textId="0BACB7F3" w:rsidR="00742C3A" w:rsidRDefault="00520673" w:rsidP="00F52AF0">
      <w:pPr>
        <w:pStyle w:val="NoSpacing"/>
        <w:jc w:val="both"/>
      </w:pPr>
      <w:r w:rsidRPr="00520673">
        <w:t>The benchmark set included five cohort-matched comparators: GaussianCopula</w:t>
      </w:r>
      <w:r w:rsidR="0017661C">
        <w:t xml:space="preserve"> </w:t>
      </w:r>
      <w:r w:rsidR="0017661C">
        <w:fldChar w:fldCharType="begin"/>
      </w:r>
      <w:r w:rsidR="0017661C">
        <w:instrText xml:space="preserve"> ADDIN EN.CITE &lt;EndNote&gt;&lt;Cite&gt;&lt;Author&gt;DataCebo&lt;/Author&gt;&lt;Year&gt;2025&lt;/Year&gt;&lt;RecNum&gt;11421&lt;/RecNum&gt;&lt;DisplayText&gt;&lt;style face="superscript"&gt;34&lt;/style&gt;&lt;/DisplayText&gt;&lt;record&gt;&lt;rec-number&gt;11421&lt;/rec-number&gt;&lt;foreign-keys&gt;&lt;key app="EN" db-id="ded9vtpt1d2wvmex2x0pddz9raws90dfwftf" timestamp="1774844668"&gt;11421&lt;/key&gt;&lt;/foreign-keys&gt;&lt;ref-type name="Web Page"&gt;12&lt;/ref-type&gt;&lt;contributors&gt;&lt;authors&gt;&lt;author&gt;DataCebo&lt;/author&gt;&lt;/authors&gt;&lt;/contributors&gt;&lt;titles&gt;&lt;title&gt;SDV- GaussianCopulaSynthesizer&lt;/title&gt;&lt;/titles&gt;&lt;dates&gt;&lt;year&gt;2025&lt;/year&gt;&lt;/dates&gt;&lt;urls&gt;&lt;related-urls&gt;&lt;url&gt;https://docs.sdv.dev/sdv/single-table-data/modeling/synthesizers/gaussiancopulasynthesizer&lt;/url&gt;&lt;/related-urls&gt;&lt;/urls&gt;&lt;/record&gt;&lt;/Cite&gt;&lt;/EndNote&gt;</w:instrText>
      </w:r>
      <w:r w:rsidR="0017661C">
        <w:fldChar w:fldCharType="separate"/>
      </w:r>
      <w:r w:rsidR="0017661C" w:rsidRPr="0017661C">
        <w:rPr>
          <w:noProof/>
          <w:vertAlign w:val="superscript"/>
        </w:rPr>
        <w:t>34</w:t>
      </w:r>
      <w:r w:rsidR="0017661C">
        <w:fldChar w:fldCharType="end"/>
      </w:r>
      <w:r w:rsidRPr="00520673">
        <w:t>, CTGAN</w:t>
      </w:r>
      <w:r w:rsidR="0017661C">
        <w:t xml:space="preserve"> </w:t>
      </w:r>
      <w:r w:rsidR="0017661C">
        <w:fldChar w:fldCharType="begin"/>
      </w:r>
      <w:r w:rsidR="0017661C">
        <w:instrText xml:space="preserve"> ADDIN EN.CITE &lt;EndNote&gt;&lt;Cite&gt;&lt;Author&gt;Xu&lt;/Author&gt;&lt;Year&gt;2019&lt;/Year&gt;&lt;RecNum&gt;10917&lt;/RecNum&gt;&lt;DisplayText&gt;&lt;style face="superscript"&gt;8&lt;/style&gt;&lt;/DisplayText&gt;&lt;record&gt;&lt;rec-number&gt;10917&lt;/rec-number&gt;&lt;foreign-keys&gt;&lt;key app="EN" db-id="ded9vtpt1d2wvmex2x0pddz9raws90dfwftf" timestamp="1690943055"&gt;10917&lt;/key&gt;&lt;/foreign-keys&gt;&lt;ref-type name="Journal Article"&gt;17&lt;/ref-type&gt;&lt;contributors&gt;&lt;authors&gt;&lt;author&gt;Xu, Lei&lt;/author&gt;&lt;author&gt;Skoularidou, Maria&lt;/author&gt;&lt;author&gt;Cuesta-Infante, Alfredo&lt;/author&gt;&lt;author&gt;Veeramachaneni, Kalyan&lt;/author&gt;&lt;/authors&gt;&lt;/contributors&gt;&lt;titles&gt;&lt;title&gt;Modeling tabular data using conditional gan&lt;/title&gt;&lt;secondary-title&gt;Advances in neural information processing systems&lt;/secondary-title&gt;&lt;/titles&gt;&lt;periodical&gt;&lt;full-title&gt;Advances in Neural Information Processing Systems&lt;/full-title&gt;&lt;abbr-1&gt;Adv. Neural Inf. Process. Syst.&lt;/abbr-1&gt;&lt;abbr-2&gt;Adv Neural Inf Process Syst&lt;/abbr-2&gt;&lt;/periodical&gt;&lt;volume&gt;32&lt;/volume&gt;&lt;dates&gt;&lt;year&gt;2019&lt;/year&gt;&lt;/dates&gt;&lt;urls&gt;&lt;/urls&gt;&lt;/record&gt;&lt;/Cite&gt;&lt;/EndNote&gt;</w:instrText>
      </w:r>
      <w:r w:rsidR="0017661C">
        <w:fldChar w:fldCharType="separate"/>
      </w:r>
      <w:r w:rsidR="0017661C" w:rsidRPr="0017661C">
        <w:rPr>
          <w:noProof/>
          <w:vertAlign w:val="superscript"/>
        </w:rPr>
        <w:t>8</w:t>
      </w:r>
      <w:r w:rsidR="0017661C">
        <w:fldChar w:fldCharType="end"/>
      </w:r>
      <w:r w:rsidRPr="00520673">
        <w:t xml:space="preserve">, </w:t>
      </w:r>
      <w:r w:rsidR="00BF3B08" w:rsidRPr="0061769B">
        <w:t>TVAE</w:t>
      </w:r>
      <w:r w:rsidR="00BF3B08">
        <w:t xml:space="preserve"> (</w:t>
      </w:r>
      <w:r w:rsidR="00BF3B08" w:rsidRPr="00706FA9">
        <w:t>Tabular Variational Autoencoder</w:t>
      </w:r>
      <w:r w:rsidR="00BF3B08">
        <w:t xml:space="preserve">) </w:t>
      </w:r>
      <w:r w:rsidR="00BF3B08">
        <w:fldChar w:fldCharType="begin"/>
      </w:r>
      <w:r w:rsidR="00BF3B08">
        <w:instrText xml:space="preserve"> ADDIN EN.CITE &lt;EndNote&gt;&lt;Cite&gt;&lt;Author&gt;Xu&lt;/Author&gt;&lt;Year&gt;2019&lt;/Year&gt;&lt;RecNum&gt;10917&lt;/RecNum&gt;&lt;DisplayText&gt;&lt;style face="superscript"&gt;8&lt;/style&gt;&lt;/DisplayText&gt;&lt;record&gt;&lt;rec-number&gt;10917&lt;/rec-number&gt;&lt;foreign-keys&gt;&lt;key app="EN" db-id="ded9vtpt1d2wvmex2x0pddz9raws90dfwftf" timestamp="1690943055"&gt;10917&lt;/key&gt;&lt;/foreign-keys&gt;&lt;ref-type name="Journal Article"&gt;17&lt;/ref-type&gt;&lt;contributors&gt;&lt;authors&gt;&lt;author&gt;Xu, Lei&lt;/author&gt;&lt;author&gt;Skoularidou, Maria&lt;/author&gt;&lt;author&gt;Cuesta-Infante, Alfredo&lt;/author&gt;&lt;author&gt;Veeramachaneni, Kalyan&lt;/author&gt;&lt;/authors&gt;&lt;/contributors&gt;&lt;titles&gt;&lt;title&gt;Modeling tabular data using conditional gan&lt;/title&gt;&lt;secondary-title&gt;Advances in neural information processing systems&lt;/secondary-title&gt;&lt;/titles&gt;&lt;periodical&gt;&lt;full-title&gt;Advances in Neural Information Processing Systems&lt;/full-title&gt;&lt;abbr-1&gt;Adv. Neural Inf. Process. Syst.&lt;/abbr-1&gt;&lt;abbr-2&gt;Adv Neural Inf Process Syst&lt;/abbr-2&gt;&lt;/periodical&gt;&lt;volume&gt;32&lt;/volume&gt;&lt;dates&gt;&lt;year&gt;2019&lt;/year&gt;&lt;/dates&gt;&lt;urls&gt;&lt;/urls&gt;&lt;/record&gt;&lt;/Cite&gt;&lt;/EndNote&gt;</w:instrText>
      </w:r>
      <w:r w:rsidR="00BF3B08">
        <w:fldChar w:fldCharType="separate"/>
      </w:r>
      <w:r w:rsidR="00BF3B08" w:rsidRPr="00BF3B08">
        <w:rPr>
          <w:noProof/>
          <w:vertAlign w:val="superscript"/>
        </w:rPr>
        <w:t>8</w:t>
      </w:r>
      <w:r w:rsidR="00BF3B08">
        <w:fldChar w:fldCharType="end"/>
      </w:r>
      <w:r w:rsidR="00BF3B08" w:rsidRPr="0061769B">
        <w:t>,</w:t>
      </w:r>
      <w:r w:rsidR="00885180">
        <w:t xml:space="preserve"> </w:t>
      </w:r>
      <w:r w:rsidR="00885180" w:rsidRPr="0061769B">
        <w:t>REaLTabFormer</w:t>
      </w:r>
      <w:r w:rsidR="00885180">
        <w:t xml:space="preserve"> (</w:t>
      </w:r>
      <w:r w:rsidR="00885180" w:rsidRPr="00C5219B">
        <w:t>Realistic Relational and Tabular Transformer</w:t>
      </w:r>
      <w:r w:rsidR="00885180">
        <w:t xml:space="preserve">) </w:t>
      </w:r>
      <w:r w:rsidR="00885180">
        <w:fldChar w:fldCharType="begin"/>
      </w:r>
      <w:r w:rsidR="0017661C">
        <w:instrText xml:space="preserve"> ADDIN EN.CITE &lt;EndNote&gt;&lt;Cite&gt;&lt;Author&gt;Solatorio&lt;/Author&gt;&lt;Year&gt;2023&lt;/Year&gt;&lt;RecNum&gt;11422&lt;/RecNum&gt;&lt;DisplayText&gt;&lt;style face="superscript"&gt;35&lt;/style&gt;&lt;/DisplayText&gt;&lt;record&gt;&lt;rec-number&gt;11422&lt;/rec-number&gt;&lt;foreign-keys&gt;&lt;key app="EN" db-id="ded9vtpt1d2wvmex2x0pddz9raws90dfwftf" timestamp="1774844747"&gt;11422&lt;/key&gt;&lt;/foreign-keys&gt;&lt;ref-type name="Journal Article"&gt;17&lt;/ref-type&gt;&lt;contributors&gt;&lt;authors&gt;&lt;author&gt;Solatorio, Aivin V&lt;/author&gt;&lt;author&gt;Dupriez, Olivier&lt;/author&gt;&lt;/authors&gt;&lt;/contributors&gt;&lt;titles&gt;&lt;title&gt;Realtabformer: Generating realistic relational and tabular data using transformers&lt;/title&gt;&lt;secondary-title&gt;arXiv preprint arXiv:2302.02041&lt;/secondary-title&gt;&lt;/titles&gt;&lt;periodical&gt;&lt;full-title&gt;arXiv preprint arXiv:2302.02041&lt;/full-title&gt;&lt;/periodical&gt;&lt;dates&gt;&lt;year&gt;2023&lt;/year&gt;&lt;/dates&gt;&lt;urls&gt;&lt;/urls&gt;&lt;/record&gt;&lt;/Cite&gt;&lt;/EndNote&gt;</w:instrText>
      </w:r>
      <w:r w:rsidR="00885180">
        <w:fldChar w:fldCharType="separate"/>
      </w:r>
      <w:r w:rsidR="0017661C" w:rsidRPr="0017661C">
        <w:rPr>
          <w:noProof/>
          <w:vertAlign w:val="superscript"/>
        </w:rPr>
        <w:t>35</w:t>
      </w:r>
      <w:r w:rsidR="00885180">
        <w:fldChar w:fldCharType="end"/>
      </w:r>
      <w:r w:rsidRPr="00520673">
        <w:t>, and a custom KDE-Attr</w:t>
      </w:r>
      <w:r w:rsidR="007414DF">
        <w:t xml:space="preserve">ibute </w:t>
      </w:r>
      <w:r w:rsidRPr="00520673">
        <w:t xml:space="preserve">Bootstrap </w:t>
      </w:r>
      <w:r w:rsidR="00742C3A" w:rsidRPr="0061769B">
        <w:t>baseline that resampled locations from a smoothed spatial surface while bootstrapping attributes within cohorts</w:t>
      </w:r>
      <w:r w:rsidR="00742C3A">
        <w:t xml:space="preserve"> </w:t>
      </w:r>
      <w:r w:rsidR="00742C3A">
        <w:fldChar w:fldCharType="begin"/>
      </w:r>
      <w:r w:rsidR="00742C3A">
        <w:instrText xml:space="preserve"> ADDIN EN.CITE &lt;EndNote&gt;&lt;Cite&gt;&lt;Author&gt;Silverman&lt;/Author&gt;&lt;Year&gt;2018&lt;/Year&gt;&lt;RecNum&gt;11364&lt;/RecNum&gt;&lt;DisplayText&gt;&lt;style face="superscript"&gt;20,21&lt;/style&gt;&lt;/DisplayText&gt;&lt;record&gt;&lt;rec-number&gt;11364&lt;/rec-number&gt;&lt;foreign-keys&gt;&lt;key app="EN" db-id="ded9vtpt1d2wvmex2x0pddz9raws90dfwftf" timestamp="1764555830"&gt;11364&lt;/key&gt;&lt;/foreign-keys&gt;&lt;ref-type name="Book"&gt;6&lt;/ref-type&gt;&lt;contributors&gt;&lt;authors&gt;&lt;author&gt;Silverman, Bernard W&lt;/author&gt;&lt;/authors&gt;&lt;/contributors&gt;&lt;titles&gt;&lt;title&gt;Density estimation for statistics and data analysis&lt;/title&gt;&lt;/titles&gt;&lt;dates&gt;&lt;year&gt;2018&lt;/year&gt;&lt;/dates&gt;&lt;publisher&gt;Routledge&lt;/publisher&gt;&lt;isbn&gt;1315140918&lt;/isbn&gt;&lt;urls&gt;&lt;/urls&gt;&lt;/record&gt;&lt;/Cite&gt;&lt;Cite&gt;&lt;Author&gt;Scott&lt;/Author&gt;&lt;Year&gt;2015&lt;/Year&gt;&lt;RecNum&gt;11365&lt;/RecNum&gt;&lt;record&gt;&lt;rec-number&gt;11365&lt;/rec-number&gt;&lt;foreign-keys&gt;&lt;key app="EN" db-id="ded9vtpt1d2wvmex2x0pddz9raws90dfwftf" timestamp="1764555928"&gt;11365&lt;/key&gt;&lt;/foreign-keys&gt;&lt;ref-type name="Book"&gt;6&lt;/ref-type&gt;&lt;contributors&gt;&lt;authors&gt;&lt;author&gt;Scott, David W&lt;/author&gt;&lt;/authors&gt;&lt;/contributors&gt;&lt;titles&gt;&lt;title&gt;Multivariate density estimation: theory, practice, and visualization&lt;/title&gt;&lt;/titles&gt;&lt;dates&gt;&lt;year&gt;2015&lt;/year&gt;&lt;/dates&gt;&lt;publisher&gt;John Wiley &amp;amp; Sons&lt;/publisher&gt;&lt;isbn&gt;0471697559&lt;/isbn&gt;&lt;urls&gt;&lt;/urls&gt;&lt;/record&gt;&lt;/Cite&gt;&lt;/EndNote&gt;</w:instrText>
      </w:r>
      <w:r w:rsidR="00742C3A">
        <w:fldChar w:fldCharType="separate"/>
      </w:r>
      <w:r w:rsidR="00742C3A" w:rsidRPr="00742C3A">
        <w:rPr>
          <w:noProof/>
          <w:vertAlign w:val="superscript"/>
        </w:rPr>
        <w:t>20,21</w:t>
      </w:r>
      <w:r w:rsidR="00742C3A">
        <w:fldChar w:fldCharType="end"/>
      </w:r>
      <w:r w:rsidRPr="00520673">
        <w:t>. These methods were trained on the raw latitude</w:t>
      </w:r>
      <w:r w:rsidR="00742C3A">
        <w:t>-</w:t>
      </w:r>
      <w:r w:rsidRPr="00520673">
        <w:t xml:space="preserve">longitude-plus-attribute table and therefore did not use topological embeddings or capacity-constrained reconstruction. </w:t>
      </w:r>
    </w:p>
    <w:p w14:paraId="05FBBC38" w14:textId="77777777" w:rsidR="00F52AF0" w:rsidRDefault="00F52AF0" w:rsidP="00F52AF0">
      <w:pPr>
        <w:pStyle w:val="NoSpacing"/>
        <w:jc w:val="both"/>
      </w:pPr>
    </w:p>
    <w:p w14:paraId="055B4367" w14:textId="19A5E84A" w:rsidR="00DC0452" w:rsidRDefault="00520673" w:rsidP="00F52AF0">
      <w:pPr>
        <w:pStyle w:val="NoSpacing"/>
        <w:jc w:val="both"/>
      </w:pPr>
      <w:r w:rsidRPr="00520673">
        <w:t xml:space="preserve">The ablation </w:t>
      </w:r>
      <w:r w:rsidR="00FC06DA">
        <w:t xml:space="preserve">aimed </w:t>
      </w:r>
      <w:r w:rsidR="008D07F3">
        <w:t xml:space="preserve">to examine </w:t>
      </w:r>
      <w:r w:rsidR="00FC06DA" w:rsidRPr="00BB0405">
        <w:rPr>
          <w:rFonts w:cs="Times New Roman"/>
        </w:rPr>
        <w:t>the effects of topology encoding, temporal cohorting, and capacity-aware assignment</w:t>
      </w:r>
      <w:r w:rsidR="008D07F3">
        <w:rPr>
          <w:rFonts w:cs="Times New Roman"/>
        </w:rPr>
        <w:t xml:space="preserve">. The ablation </w:t>
      </w:r>
      <w:r w:rsidRPr="00520673">
        <w:t xml:space="preserve">set comprised three reduced variants of GeoCTGAN: </w:t>
      </w:r>
    </w:p>
    <w:p w14:paraId="63564519" w14:textId="77777777" w:rsidR="00F52AF0" w:rsidRDefault="00F52AF0" w:rsidP="00F52AF0">
      <w:pPr>
        <w:pStyle w:val="NoSpacing"/>
      </w:pPr>
    </w:p>
    <w:p w14:paraId="78BE1485" w14:textId="1648F970" w:rsidR="00DC0452" w:rsidRDefault="00520673" w:rsidP="00F52AF0">
      <w:pPr>
        <w:pStyle w:val="NoSpacing"/>
        <w:numPr>
          <w:ilvl w:val="0"/>
          <w:numId w:val="2"/>
        </w:numPr>
      </w:pPr>
      <w:r w:rsidRPr="008D07F3">
        <w:rPr>
          <w:b/>
          <w:bCs/>
        </w:rPr>
        <w:t>NoTopology</w:t>
      </w:r>
      <w:r w:rsidR="008D07F3">
        <w:t>:</w:t>
      </w:r>
      <w:r w:rsidRPr="00DC0452">
        <w:t xml:space="preserve"> which removed the DeepWalk embeddings </w:t>
      </w:r>
    </w:p>
    <w:p w14:paraId="66D490FE" w14:textId="08960A31" w:rsidR="00DC0452" w:rsidRDefault="00520673" w:rsidP="00F52AF0">
      <w:pPr>
        <w:pStyle w:val="NoSpacing"/>
        <w:numPr>
          <w:ilvl w:val="0"/>
          <w:numId w:val="2"/>
        </w:numPr>
      </w:pPr>
      <w:r w:rsidRPr="008D07F3">
        <w:rPr>
          <w:b/>
          <w:bCs/>
        </w:rPr>
        <w:t>NoCohort</w:t>
      </w:r>
      <w:r w:rsidR="008D07F3">
        <w:t>:</w:t>
      </w:r>
      <w:r w:rsidRPr="00DC0452">
        <w:t xml:space="preserve"> which replaced year</w:t>
      </w:r>
      <w:r w:rsidR="008D07F3">
        <w:t>-</w:t>
      </w:r>
      <w:r w:rsidRPr="00DC0452">
        <w:t xml:space="preserve">month cohorting with a single global CTGAN and </w:t>
      </w:r>
    </w:p>
    <w:p w14:paraId="13426570" w14:textId="48DE3EBA" w:rsidR="00BB0405" w:rsidRDefault="00520673" w:rsidP="00F52AF0">
      <w:pPr>
        <w:pStyle w:val="NoSpacing"/>
        <w:numPr>
          <w:ilvl w:val="0"/>
          <w:numId w:val="2"/>
        </w:numPr>
      </w:pPr>
      <w:r w:rsidRPr="008D07F3">
        <w:rPr>
          <w:b/>
          <w:bCs/>
        </w:rPr>
        <w:t>NoCapacity</w:t>
      </w:r>
      <w:r w:rsidR="008D07F3">
        <w:t>:</w:t>
      </w:r>
      <w:r w:rsidRPr="00DC0452">
        <w:t xml:space="preserve"> which retained the learned spatial representation but removed segment-capacity constraints during reconstruction. </w:t>
      </w:r>
    </w:p>
    <w:p w14:paraId="37D153D0" w14:textId="77777777" w:rsidR="00F52AF0" w:rsidRDefault="00F52AF0" w:rsidP="00F52AF0">
      <w:pPr>
        <w:pStyle w:val="NoSpacing"/>
      </w:pPr>
    </w:p>
    <w:p w14:paraId="3C135373" w14:textId="6FB4EC46" w:rsidR="001E0BCA" w:rsidRDefault="00520673" w:rsidP="00F52AF0">
      <w:pPr>
        <w:pStyle w:val="NoSpacing"/>
        <w:jc w:val="both"/>
      </w:pPr>
      <w:r w:rsidRPr="00520673">
        <w:t>All benchmark and ablation outputs were evaluated using the same utility and privacy framework described in Supplementary Methods 7</w:t>
      </w:r>
      <w:r w:rsidR="00823374">
        <w:t xml:space="preserve"> (</w:t>
      </w:r>
      <w:r w:rsidR="00823374" w:rsidRPr="00823374">
        <w:t>Evaluation Framework</w:t>
      </w:r>
      <w:r w:rsidR="00823374">
        <w:t>)</w:t>
      </w:r>
      <w:r w:rsidRPr="00520673">
        <w:t xml:space="preserve">. </w:t>
      </w:r>
      <w:r w:rsidR="00CE21F9">
        <w:t>We reported the</w:t>
      </w:r>
      <w:r w:rsidRPr="00520673">
        <w:t xml:space="preserve"> SDMetrics</w:t>
      </w:r>
      <w:r w:rsidR="0056575F">
        <w:t>'</w:t>
      </w:r>
      <w:r w:rsidRPr="00520673">
        <w:t xml:space="preserve"> overall quality</w:t>
      </w:r>
      <w:r w:rsidR="00B6341B">
        <w:t xml:space="preserve"> score</w:t>
      </w:r>
      <w:r w:rsidRPr="00520673">
        <w:t>, median Hellinger distance, KDE surface agreement, and 100 m grid-count agreement. Multiscale spatial utility was assessed on square grids of 25, 50, 100, 250, and 500 m using two statistics: the Pearson correlation of grid counts and the Jaccard overlap of hotspot cells</w:t>
      </w:r>
      <w:r w:rsidR="00B832D1">
        <w:t xml:space="preserve"> </w:t>
      </w:r>
      <w:r w:rsidR="00B832D1">
        <w:fldChar w:fldCharType="begin"/>
      </w:r>
      <w:r w:rsidR="002645B8">
        <w:instrText xml:space="preserve"> ADDIN EN.CITE &lt;EndNote&gt;&lt;Cite&gt;&lt;Author&gt;SciPy&lt;/Author&gt;&lt;Year&gt;2026&lt;/Year&gt;&lt;RecNum&gt;11424&lt;/RecNum&gt;&lt;DisplayText&gt;&lt;style face="superscript"&gt;36,37&lt;/style&gt;&lt;/DisplayText&gt;&lt;record&gt;&lt;rec-number&gt;11424&lt;/rec-number&gt;&lt;foreign-keys&gt;&lt;key app="EN" db-id="ded9vtpt1d2wvmex2x0pddz9raws90dfwftf" timestamp="1774845902"&gt;11424&lt;/key&gt;&lt;/foreign-keys&gt;&lt;ref-type name="Web Page"&gt;12&lt;/ref-type&gt;&lt;contributors&gt;&lt;authors&gt;&lt;author&gt;SciPy&lt;/author&gt;&lt;/authors&gt;&lt;/contributors&gt;&lt;titles&gt;&lt;title&gt;SciPy Spatial Distance: Jaccard Index&lt;/title&gt;&lt;/titles&gt;&lt;dates&gt;&lt;year&gt;2026&lt;/year&gt;&lt;/dates&gt;&lt;urls&gt;&lt;related-urls&gt;&lt;url&gt;https://docs.scipy.org/doc/scipy/reference/generated/scipy.spatial.distance.jaccard.html#scipy.spatial.distance.jaccard&lt;/url&gt;&lt;/related-urls&gt;&lt;/urls&gt;&lt;/record&gt;&lt;/Cite&gt;&lt;Cite&gt;&lt;Author&gt;Noble&lt;/Author&gt;&lt;Year&gt;2025&lt;/Year&gt;&lt;RecNum&gt;11425&lt;/RecNum&gt;&lt;record&gt;&lt;rec-number&gt;11425&lt;/rec-number&gt;&lt;foreign-keys&gt;&lt;key app="EN" db-id="ded9vtpt1d2wvmex2x0pddz9raws90dfwftf" timestamp="1774846091"&gt;11425&lt;/key&gt;&lt;/foreign-keys&gt;&lt;ref-type name="Web Page"&gt;12&lt;/ref-type&gt;&lt;contributors&gt;&lt;authors&gt;&lt;author&gt;Joshua Noble&lt;/author&gt;&lt;/authors&gt;&lt;/contributors&gt;&lt;titles&gt;&lt;title&gt;What is Jaccard similarity?&lt;/title&gt;&lt;/titles&gt;&lt;dates&gt;&lt;year&gt;2025&lt;/year&gt;&lt;/dates&gt;&lt;publisher&gt;IBM&lt;/publisher&gt;&lt;urls&gt;&lt;related-urls&gt;&lt;url&gt;https://www.ibm.com/think/topics/jaccard-similarity#:~:text=Jaccard%20similarity%20is%20a%20statistical,that%20the%20sets%20are%20identical.&lt;/url&gt;&lt;/related-urls&gt;&lt;/urls&gt;&lt;/record&gt;&lt;/Cite&gt;&lt;/EndNote&gt;</w:instrText>
      </w:r>
      <w:r w:rsidR="00B832D1">
        <w:fldChar w:fldCharType="separate"/>
      </w:r>
      <w:r w:rsidR="002645B8" w:rsidRPr="002645B8">
        <w:rPr>
          <w:noProof/>
          <w:vertAlign w:val="superscript"/>
        </w:rPr>
        <w:t>36,37</w:t>
      </w:r>
      <w:r w:rsidR="00B832D1">
        <w:fldChar w:fldCharType="end"/>
      </w:r>
      <w:r w:rsidRPr="00520673">
        <w:t xml:space="preserve">, where hotspots were defined as the top 10% of occupied cells. As </w:t>
      </w:r>
      <w:r w:rsidR="00D119C6">
        <w:t xml:space="preserve">noted </w:t>
      </w:r>
      <w:r w:rsidRPr="00520673">
        <w:t xml:space="preserve">in the main </w:t>
      </w:r>
      <w:r w:rsidR="0048630E">
        <w:t>text</w:t>
      </w:r>
      <w:r w:rsidRPr="00520673">
        <w:t>, the minimum supported grid was defined as the finest tested scale at which grid-count correlation was at least 0.80 and hotspot Jaccard overlap was at least 0.40</w:t>
      </w:r>
      <w:r w:rsidR="00CC5C0B">
        <w:t xml:space="preserve"> (cutoff based on defining hotspots as the top 10% of occupied cells)</w:t>
      </w:r>
      <w:r w:rsidRPr="00520673">
        <w:t>. Nearest-neighbour distance (NND) CDFs were also used to assess whether each method reproduced the short-range clustering structure of the real point pattern.</w:t>
      </w:r>
      <w:r w:rsidR="0079231C">
        <w:t xml:space="preserve"> </w:t>
      </w:r>
      <w:r w:rsidR="001641D0" w:rsidRPr="001641D0">
        <w:t xml:space="preserve">We </w:t>
      </w:r>
      <w:r w:rsidR="001641D0" w:rsidRPr="001641D0">
        <w:lastRenderedPageBreak/>
        <w:t xml:space="preserve">also summarized performance using a composite utility score, calculated as the unweighted mean of four components aligned to a higher-is-better scale: the SDMetrics overall quality score, the KDE surface Pearson correlation, the complement of the median Hellinger distance (1 </w:t>
      </w:r>
      <w:r w:rsidR="00412A15">
        <w:t>minus</w:t>
      </w:r>
      <w:r w:rsidR="001641D0" w:rsidRPr="001641D0">
        <w:t xml:space="preserve"> median Hellinger distance), and the complement of the NND Kolmogorov</w:t>
      </w:r>
      <w:r w:rsidR="00412A15">
        <w:t>-</w:t>
      </w:r>
      <w:r w:rsidR="001641D0" w:rsidRPr="001641D0">
        <w:t xml:space="preserve">Smirnov statistic (1 </w:t>
      </w:r>
      <w:r w:rsidR="00412A15">
        <w:t>minus</w:t>
      </w:r>
      <w:r w:rsidR="001641D0" w:rsidRPr="001641D0">
        <w:t xml:space="preserve"> NND KS).</w:t>
      </w:r>
    </w:p>
    <w:p w14:paraId="4662FD31" w14:textId="77777777" w:rsidR="00412A15" w:rsidRDefault="00412A15" w:rsidP="00F52AF0">
      <w:pPr>
        <w:pStyle w:val="NoSpacing"/>
        <w:jc w:val="both"/>
      </w:pPr>
    </w:p>
    <w:p w14:paraId="1228C581" w14:textId="1FFA7429" w:rsidR="009814DD" w:rsidRDefault="00F4146B" w:rsidP="00F52AF0">
      <w:pPr>
        <w:pStyle w:val="NoSpacing"/>
        <w:jc w:val="both"/>
      </w:pPr>
      <w:r w:rsidRPr="00F52AF0">
        <w:t>Supplementary Fig</w:t>
      </w:r>
      <w:r w:rsidR="00A03C28" w:rsidRPr="00F52AF0">
        <w:t>s</w:t>
      </w:r>
      <w:r w:rsidRPr="00F52AF0">
        <w:t>. 4</w:t>
      </w:r>
      <w:r w:rsidR="00A03C28" w:rsidRPr="00F52AF0">
        <w:t xml:space="preserve"> and 5</w:t>
      </w:r>
      <w:r w:rsidRPr="00F52AF0">
        <w:t xml:space="preserve"> </w:t>
      </w:r>
      <w:r w:rsidR="00744D35" w:rsidRPr="00F52AF0">
        <w:t xml:space="preserve">show </w:t>
      </w:r>
      <w:r w:rsidR="001E0BCA" w:rsidRPr="00F52AF0">
        <w:t>the external benchmark comparison. These figures show that some simpler baselines remained competitive on generic tabular criteria, particularly marginal distribution agreement</w:t>
      </w:r>
      <w:r w:rsidR="00744D35" w:rsidRPr="00F52AF0">
        <w:t xml:space="preserve"> (e.g., median Hellinger scores)</w:t>
      </w:r>
      <w:r w:rsidR="001E0BCA" w:rsidRPr="00F52AF0">
        <w:t>, but this did not translate into faithful spatial organization. GeoCTGAN-Full showed the strongest agreement with the real density surface and with fine-scale spatial counts, while the NND curves</w:t>
      </w:r>
      <w:r w:rsidR="003B3F40" w:rsidRPr="00F52AF0">
        <w:t xml:space="preserve"> (Supplementary Fig. 5)</w:t>
      </w:r>
      <w:r w:rsidR="001E0BCA" w:rsidRPr="00F52AF0">
        <w:t xml:space="preserve"> indicate that it also remained much closer to the real short-range clustering pattern than the raw coordinate baselines. The benchmark figures</w:t>
      </w:r>
      <w:r w:rsidR="003B3F40" w:rsidRPr="00F52AF0">
        <w:t>,</w:t>
      </w:r>
      <w:r w:rsidR="001E0BCA" w:rsidRPr="00F52AF0">
        <w:t xml:space="preserve"> therefore</w:t>
      </w:r>
      <w:r w:rsidR="00744D35" w:rsidRPr="00F52AF0">
        <w:t>,</w:t>
      </w:r>
      <w:r w:rsidR="001E0BCA" w:rsidRPr="00F52AF0">
        <w:t xml:space="preserve"> clarify that conventional tabular synthesis applied directly to latitude and longitude can preserve attribute structure without preserving the micro-scale spatial configuration needed for meaningful </w:t>
      </w:r>
      <w:r w:rsidR="00496D59" w:rsidRPr="00F52AF0">
        <w:t xml:space="preserve">spatial </w:t>
      </w:r>
      <w:r w:rsidR="001E0BCA" w:rsidRPr="00F52AF0">
        <w:t>analysis.</w:t>
      </w:r>
    </w:p>
    <w:p w14:paraId="7E218CE2" w14:textId="77777777" w:rsidR="00F52AF0" w:rsidRPr="00F52AF0" w:rsidRDefault="00F52AF0" w:rsidP="00F52AF0">
      <w:pPr>
        <w:pStyle w:val="NoSpacing"/>
        <w:jc w:val="both"/>
      </w:pPr>
    </w:p>
    <w:p w14:paraId="0216926D" w14:textId="3233F24C" w:rsidR="001E0BCA" w:rsidRDefault="00F143EA" w:rsidP="00520673">
      <w:pPr>
        <w:jc w:val="both"/>
      </w:pPr>
      <w:r>
        <w:rPr>
          <w:noProof/>
        </w:rPr>
        <w:drawing>
          <wp:inline distT="0" distB="0" distL="0" distR="0" wp14:anchorId="0DE32AF9" wp14:editId="64A12FE3">
            <wp:extent cx="5943600" cy="4199890"/>
            <wp:effectExtent l="0" t="0" r="0" b="0"/>
            <wp:docPr id="102760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02067" name="Picture 10276020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p>
    <w:p w14:paraId="128C9407" w14:textId="77777777" w:rsidR="002A1D53" w:rsidRPr="002B7192" w:rsidRDefault="002A1D53" w:rsidP="002B7192">
      <w:pPr>
        <w:pStyle w:val="NoSpacing"/>
        <w:jc w:val="both"/>
        <w:rPr>
          <w:b/>
          <w:bCs/>
        </w:rPr>
      </w:pPr>
      <w:r w:rsidRPr="002B7192">
        <w:rPr>
          <w:b/>
          <w:bCs/>
        </w:rPr>
        <w:t>Supplementary Fig. 4 | Benchmark utility comparison across baseline generators and GeoCTGAN.</w:t>
      </w:r>
    </w:p>
    <w:p w14:paraId="529D99BD" w14:textId="582E23A0" w:rsidR="00F143EA" w:rsidRDefault="002B7192" w:rsidP="002B7192">
      <w:pPr>
        <w:pStyle w:val="NoSpacing"/>
      </w:pPr>
      <w:r>
        <w:t>C</w:t>
      </w:r>
      <w:r w:rsidR="002A1D53" w:rsidRPr="002A1D53">
        <w:t>omparing GeoCTGAN-Full with five cohort-matched baselines. (a) SDMetrics</w:t>
      </w:r>
      <w:r w:rsidR="00280D0B">
        <w:t>'</w:t>
      </w:r>
      <w:r w:rsidR="002A1D53" w:rsidRPr="002A1D53">
        <w:t xml:space="preserve"> overall quality score. (b) Pearson correlation between real and synthetic kernel density estimation (KDE) surfaces. (c) Pearson correlation of 100 m grid-cell counts. (d) Median Hellinger distance across </w:t>
      </w:r>
      <w:r w:rsidR="002A1D53" w:rsidRPr="002A1D53">
        <w:lastRenderedPageBreak/>
        <w:t>modelled attributes. Higher values indicate better performance in (a</w:t>
      </w:r>
      <w:r w:rsidR="002F102C">
        <w:t>-</w:t>
      </w:r>
      <w:r w:rsidR="002A1D53" w:rsidRPr="002A1D53">
        <w:t>c), whereas lower values indicate better performance in (d).</w:t>
      </w:r>
      <w:r w:rsidR="009814DD" w:rsidRPr="002A1D53">
        <w:t xml:space="preserve"> </w:t>
      </w:r>
    </w:p>
    <w:p w14:paraId="59450F82" w14:textId="77777777" w:rsidR="005108AA" w:rsidRPr="002A1D53" w:rsidRDefault="005108AA" w:rsidP="002B7192">
      <w:pPr>
        <w:pStyle w:val="NoSpacing"/>
      </w:pPr>
    </w:p>
    <w:p w14:paraId="73AB448A" w14:textId="5EDC6335" w:rsidR="00F143EA" w:rsidRDefault="00F143EA" w:rsidP="00520673">
      <w:pPr>
        <w:jc w:val="both"/>
        <w:rPr>
          <w:b/>
          <w:bCs/>
        </w:rPr>
      </w:pPr>
      <w:r>
        <w:rPr>
          <w:b/>
          <w:bCs/>
          <w:noProof/>
        </w:rPr>
        <w:drawing>
          <wp:inline distT="0" distB="0" distL="0" distR="0" wp14:anchorId="47D6DD97" wp14:editId="4A021128">
            <wp:extent cx="5943600" cy="4333064"/>
            <wp:effectExtent l="0" t="0" r="0" b="0"/>
            <wp:docPr id="1798069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69832" name="Picture 1798069832"/>
                    <pic:cNvPicPr/>
                  </pic:nvPicPr>
                  <pic:blipFill rotWithShape="1">
                    <a:blip r:embed="rId13" cstate="print">
                      <a:extLst>
                        <a:ext uri="{28A0092B-C50C-407E-A947-70E740481C1C}">
                          <a14:useLocalDpi xmlns:a14="http://schemas.microsoft.com/office/drawing/2010/main" val="0"/>
                        </a:ext>
                      </a:extLst>
                    </a:blip>
                    <a:srcRect t="4108"/>
                    <a:stretch>
                      <a:fillRect/>
                    </a:stretch>
                  </pic:blipFill>
                  <pic:spPr bwMode="auto">
                    <a:xfrm>
                      <a:off x="0" y="0"/>
                      <a:ext cx="5943600" cy="4333064"/>
                    </a:xfrm>
                    <a:prstGeom prst="rect">
                      <a:avLst/>
                    </a:prstGeom>
                    <a:ln>
                      <a:noFill/>
                    </a:ln>
                    <a:extLst>
                      <a:ext uri="{53640926-AAD7-44D8-BBD7-CCE9431645EC}">
                        <a14:shadowObscured xmlns:a14="http://schemas.microsoft.com/office/drawing/2010/main"/>
                      </a:ext>
                    </a:extLst>
                  </pic:spPr>
                </pic:pic>
              </a:graphicData>
            </a:graphic>
          </wp:inline>
        </w:drawing>
      </w:r>
    </w:p>
    <w:p w14:paraId="74FE9D22" w14:textId="77777777" w:rsidR="00FC6896" w:rsidRPr="00FC6896" w:rsidRDefault="00FC6896" w:rsidP="00FC6896">
      <w:pPr>
        <w:pStyle w:val="NoSpacing"/>
        <w:jc w:val="both"/>
        <w:rPr>
          <w:b/>
          <w:bCs/>
        </w:rPr>
      </w:pPr>
      <w:r w:rsidRPr="00FC6896">
        <w:rPr>
          <w:b/>
          <w:bCs/>
        </w:rPr>
        <w:t>Supplementary Fig. 5 | Point-pattern fidelity assessed using nearest-neighbour distance distributions.</w:t>
      </w:r>
    </w:p>
    <w:p w14:paraId="19CD53CF" w14:textId="1FABA512" w:rsidR="00FC6896" w:rsidRDefault="00FC6896" w:rsidP="00FC6896">
      <w:pPr>
        <w:pStyle w:val="NoSpacing"/>
        <w:jc w:val="both"/>
      </w:pPr>
      <w:r>
        <w:t xml:space="preserve">Empirical cumulative distribution functions (CDFs) of nearest-neighbour distances (0-50 m) for the real training data, GeoCTGAN-Full, GeoCTGAN-Priv, and </w:t>
      </w:r>
      <w:r w:rsidR="00BE174D">
        <w:t>the</w:t>
      </w:r>
      <w:r>
        <w:t xml:space="preserve"> benchmark </w:t>
      </w:r>
      <w:r w:rsidR="00BE174D">
        <w:t>models</w:t>
      </w:r>
      <w:r>
        <w:t>. Curves closer to the real-data distribution indicate better preservation of short-range clustering in the synthetic point pattern.</w:t>
      </w:r>
    </w:p>
    <w:p w14:paraId="3BE16C83" w14:textId="77777777" w:rsidR="00FC6896" w:rsidRDefault="00FC6896" w:rsidP="00FC6896">
      <w:pPr>
        <w:pStyle w:val="NoSpacing"/>
        <w:jc w:val="both"/>
      </w:pPr>
    </w:p>
    <w:p w14:paraId="332EF082" w14:textId="7887C73C" w:rsidR="00016F2E" w:rsidRDefault="00582805" w:rsidP="00FC6896">
      <w:pPr>
        <w:pStyle w:val="NoSpacing"/>
        <w:jc w:val="both"/>
      </w:pPr>
      <w:r w:rsidRPr="00582805">
        <w:t>Supplementary Figs. 6</w:t>
      </w:r>
      <w:r w:rsidR="009B5356">
        <w:t xml:space="preserve">, 7 and </w:t>
      </w:r>
      <w:r w:rsidRPr="00582805">
        <w:t>8</w:t>
      </w:r>
      <w:r w:rsidR="009B5356">
        <w:t xml:space="preserve"> illustrate</w:t>
      </w:r>
      <w:r w:rsidR="009B5356" w:rsidRPr="009B5356">
        <w:t xml:space="preserve"> the privacy benchmarking results. Together, these figures show that the privacy-gated release</w:t>
      </w:r>
      <w:r w:rsidR="002E0BAC">
        <w:t xml:space="preserve"> of GeoCTGAN (</w:t>
      </w:r>
      <w:r w:rsidR="002E0BAC" w:rsidRPr="009B5356">
        <w:t>GeoCTGAN-Priv</w:t>
      </w:r>
      <w:r w:rsidR="002E0BAC">
        <w:t>)</w:t>
      </w:r>
      <w:r w:rsidR="009B5356" w:rsidRPr="009B5356">
        <w:t xml:space="preserve"> substantially reduced near-real spatial overlaps while retaining a utility profile close to that of the full model. They also show </w:t>
      </w:r>
      <w:r w:rsidR="009B5356">
        <w:t>that low proximity alone should not be interpreted as evidence of a better privacy-utility balance</w:t>
      </w:r>
      <w:r w:rsidR="005A575A">
        <w:t>,</w:t>
      </w:r>
      <w:r w:rsidR="002E0BAC">
        <w:t xml:space="preserve"> as</w:t>
      </w:r>
      <w:r w:rsidR="009B5356">
        <w:t xml:space="preserve"> several simpler baselines also exhibited very low overlap of ≤5 m</w:t>
      </w:r>
      <w:r w:rsidR="009B5356" w:rsidRPr="009B5356">
        <w:t>, but only because their spatial outputs were overly diffuse</w:t>
      </w:r>
      <w:r w:rsidR="005A575A">
        <w:t xml:space="preserve"> (Supplementary Fig.</w:t>
      </w:r>
      <w:r w:rsidR="003662A5">
        <w:t xml:space="preserve"> </w:t>
      </w:r>
      <w:r w:rsidR="0071619F">
        <w:t>5</w:t>
      </w:r>
      <w:r w:rsidR="003662A5">
        <w:t>)</w:t>
      </w:r>
      <w:r w:rsidR="009B5356" w:rsidRPr="009B5356">
        <w:t xml:space="preserve">. In contrast, GeoCTGAN-Priv retained coherent multiscale structure and remained analytically usable, although </w:t>
      </w:r>
      <w:r w:rsidR="008A2545">
        <w:t xml:space="preserve">spatially </w:t>
      </w:r>
      <w:r w:rsidR="009B5356" w:rsidRPr="009B5356">
        <w:t xml:space="preserve">coarser than GeoCTGAN-Full. </w:t>
      </w:r>
      <w:r w:rsidR="002739ED">
        <w:t xml:space="preserve">Supplementary Fig. </w:t>
      </w:r>
      <w:r w:rsidR="00F9046F">
        <w:t>7</w:t>
      </w:r>
      <w:r w:rsidR="002739ED">
        <w:t xml:space="preserve"> </w:t>
      </w:r>
      <w:r w:rsidR="009B5356" w:rsidRPr="009B5356">
        <w:t>is particularly helpful for visualizing this distinction because it places near-real proximity and overall utility on the same axis of comparison.</w:t>
      </w:r>
    </w:p>
    <w:p w14:paraId="6D840E4B" w14:textId="6621A1CB" w:rsidR="00016F2E" w:rsidRDefault="00A45038" w:rsidP="00520673">
      <w:pPr>
        <w:jc w:val="both"/>
      </w:pPr>
      <w:r>
        <w:rPr>
          <w:noProof/>
        </w:rPr>
        <w:lastRenderedPageBreak/>
        <w:drawing>
          <wp:inline distT="0" distB="0" distL="0" distR="0" wp14:anchorId="3348D82A" wp14:editId="634E1560">
            <wp:extent cx="5943600" cy="4238625"/>
            <wp:effectExtent l="0" t="0" r="0" b="9525"/>
            <wp:docPr id="9720990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99040" name="Picture 9720990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38625"/>
                    </a:xfrm>
                    <a:prstGeom prst="rect">
                      <a:avLst/>
                    </a:prstGeom>
                  </pic:spPr>
                </pic:pic>
              </a:graphicData>
            </a:graphic>
          </wp:inline>
        </w:drawing>
      </w:r>
    </w:p>
    <w:p w14:paraId="29578722" w14:textId="77777777" w:rsidR="00554CE8" w:rsidRPr="00554CE8" w:rsidRDefault="00554CE8" w:rsidP="00554CE8">
      <w:pPr>
        <w:pStyle w:val="NoSpacing"/>
        <w:jc w:val="both"/>
      </w:pPr>
      <w:r w:rsidRPr="00554CE8">
        <w:rPr>
          <w:b/>
          <w:bCs/>
        </w:rPr>
        <w:t>Supplementary Fig. 6 | Privacy benchmarking across GeoCTGAN and baseline generators</w:t>
      </w:r>
      <w:r w:rsidRPr="00554CE8">
        <w:t>.</w:t>
      </w:r>
    </w:p>
    <w:p w14:paraId="5EF3F86A" w14:textId="30E1AD41" w:rsidR="00016F2E" w:rsidRPr="00554CE8" w:rsidRDefault="00554CE8" w:rsidP="00554CE8">
      <w:pPr>
        <w:pStyle w:val="NoSpacing"/>
        <w:jc w:val="both"/>
      </w:pPr>
      <w:r>
        <w:t>Comparing</w:t>
      </w:r>
      <w:r w:rsidRPr="00554CE8">
        <w:t xml:space="preserve"> privacy-related and utility-related metrics across GeoCTGAN-Full, GeoCTGAN-Priv, and the benchmark </w:t>
      </w:r>
      <w:r w:rsidR="00286E7E">
        <w:t>generator models, showing</w:t>
      </w:r>
      <w:r w:rsidRPr="00554CE8">
        <w:t xml:space="preserve"> (a) Percentage of synthetic points located within 5 m of a real training point. (b) SDMetrics disclosure protection estimate. (c) DCR baseline protection. (d) Composite utility score. Lower values are preferable in (a), whereas higher values are preferable in (b</w:t>
      </w:r>
      <w:r w:rsidR="003A7402">
        <w:t>-</w:t>
      </w:r>
      <w:r w:rsidRPr="00554CE8">
        <w:t>d).</w:t>
      </w:r>
      <w:r w:rsidR="00016F2E" w:rsidRPr="00554CE8">
        <w:t xml:space="preserve"> </w:t>
      </w:r>
    </w:p>
    <w:p w14:paraId="296CA64C" w14:textId="702FDA36" w:rsidR="003C6012" w:rsidRDefault="003C6012" w:rsidP="00016F2E">
      <w:pPr>
        <w:jc w:val="both"/>
        <w:rPr>
          <w:b/>
          <w:bCs/>
        </w:rPr>
      </w:pPr>
      <w:r>
        <w:rPr>
          <w:b/>
          <w:bCs/>
          <w:noProof/>
        </w:rPr>
        <w:lastRenderedPageBreak/>
        <w:drawing>
          <wp:inline distT="0" distB="0" distL="0" distR="0" wp14:anchorId="76D34459" wp14:editId="230C6FA9">
            <wp:extent cx="5943600" cy="4332393"/>
            <wp:effectExtent l="0" t="0" r="0" b="0"/>
            <wp:docPr id="1181082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82263" name="Picture 1181082263"/>
                    <pic:cNvPicPr/>
                  </pic:nvPicPr>
                  <pic:blipFill rotWithShape="1">
                    <a:blip r:embed="rId15" cstate="print">
                      <a:extLst>
                        <a:ext uri="{28A0092B-C50C-407E-A947-70E740481C1C}">
                          <a14:useLocalDpi xmlns:a14="http://schemas.microsoft.com/office/drawing/2010/main" val="0"/>
                        </a:ext>
                      </a:extLst>
                    </a:blip>
                    <a:srcRect t="4122"/>
                    <a:stretch>
                      <a:fillRect/>
                    </a:stretch>
                  </pic:blipFill>
                  <pic:spPr bwMode="auto">
                    <a:xfrm>
                      <a:off x="0" y="0"/>
                      <a:ext cx="5943600" cy="4332393"/>
                    </a:xfrm>
                    <a:prstGeom prst="rect">
                      <a:avLst/>
                    </a:prstGeom>
                    <a:ln>
                      <a:noFill/>
                    </a:ln>
                    <a:extLst>
                      <a:ext uri="{53640926-AAD7-44D8-BBD7-CCE9431645EC}">
                        <a14:shadowObscured xmlns:a14="http://schemas.microsoft.com/office/drawing/2010/main"/>
                      </a:ext>
                    </a:extLst>
                  </pic:spPr>
                </pic:pic>
              </a:graphicData>
            </a:graphic>
          </wp:inline>
        </w:drawing>
      </w:r>
    </w:p>
    <w:p w14:paraId="5D04F8B1" w14:textId="53C21553" w:rsidR="00353A8F" w:rsidRPr="006E68D8" w:rsidRDefault="00353A8F" w:rsidP="006E68D8">
      <w:pPr>
        <w:pStyle w:val="NoSpacing"/>
        <w:jc w:val="both"/>
        <w:rPr>
          <w:b/>
          <w:bCs/>
        </w:rPr>
      </w:pPr>
      <w:r w:rsidRPr="006E68D8">
        <w:rPr>
          <w:b/>
          <w:bCs/>
        </w:rPr>
        <w:t>Supplementary Fig. 7 | Privacy</w:t>
      </w:r>
      <w:r w:rsidR="006E68D8">
        <w:rPr>
          <w:b/>
          <w:bCs/>
        </w:rPr>
        <w:t>-</w:t>
      </w:r>
      <w:r w:rsidRPr="006E68D8">
        <w:rPr>
          <w:b/>
          <w:bCs/>
        </w:rPr>
        <w:t xml:space="preserve">utility </w:t>
      </w:r>
      <w:r w:rsidR="009A691B">
        <w:rPr>
          <w:b/>
          <w:bCs/>
        </w:rPr>
        <w:t>assessment</w:t>
      </w:r>
      <w:r w:rsidRPr="006E68D8">
        <w:rPr>
          <w:b/>
          <w:bCs/>
        </w:rPr>
        <w:t xml:space="preserve"> across privacy-benchmarked methods.</w:t>
      </w:r>
    </w:p>
    <w:p w14:paraId="34A4C431" w14:textId="6DD2BA26" w:rsidR="006E68D8" w:rsidRDefault="00353A8F" w:rsidP="006E68D8">
      <w:pPr>
        <w:pStyle w:val="NoSpacing"/>
        <w:jc w:val="both"/>
      </w:pPr>
      <w:r w:rsidRPr="00353A8F">
        <w:t>Scatter plot showing the relationship between near-real spatial proximity and overall synthetic-data utility. The x-axis shows the percentage of synthetic points within 5 m of a real training point, and the y-axis shows the composite utility score. Points toward the upper-left indicate a more favourable privacy</w:t>
      </w:r>
      <w:r w:rsidR="00F34F6B">
        <w:t>-</w:t>
      </w:r>
      <w:r w:rsidRPr="00353A8F">
        <w:t>utility balance.</w:t>
      </w:r>
    </w:p>
    <w:p w14:paraId="3C67ACE1" w14:textId="05E3145F" w:rsidR="00B614A9" w:rsidRDefault="00B614A9">
      <w:r>
        <w:br w:type="page"/>
      </w:r>
    </w:p>
    <w:p w14:paraId="739127FF" w14:textId="77777777" w:rsidR="006E68D8" w:rsidRDefault="006E68D8" w:rsidP="006E68D8">
      <w:pPr>
        <w:pStyle w:val="NoSpacing"/>
        <w:jc w:val="both"/>
      </w:pPr>
    </w:p>
    <w:p w14:paraId="1B33A993" w14:textId="6086756C" w:rsidR="00AE34DF" w:rsidRDefault="00AE34DF" w:rsidP="00353A8F">
      <w:pPr>
        <w:jc w:val="both"/>
        <w:rPr>
          <w:b/>
          <w:bCs/>
        </w:rPr>
      </w:pPr>
      <w:r>
        <w:rPr>
          <w:b/>
          <w:bCs/>
          <w:noProof/>
        </w:rPr>
        <w:drawing>
          <wp:inline distT="0" distB="0" distL="0" distR="0" wp14:anchorId="2153A247" wp14:editId="62E56965">
            <wp:extent cx="5943600" cy="2712720"/>
            <wp:effectExtent l="0" t="0" r="0" b="0"/>
            <wp:docPr id="138282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22200" name="Picture 13828222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712720"/>
                    </a:xfrm>
                    <a:prstGeom prst="rect">
                      <a:avLst/>
                    </a:prstGeom>
                  </pic:spPr>
                </pic:pic>
              </a:graphicData>
            </a:graphic>
          </wp:inline>
        </w:drawing>
      </w:r>
    </w:p>
    <w:p w14:paraId="4A753365" w14:textId="326F6B19" w:rsidR="00B614A9" w:rsidRPr="00B614A9" w:rsidRDefault="00B614A9" w:rsidP="00B614A9">
      <w:pPr>
        <w:pStyle w:val="NoSpacing"/>
        <w:jc w:val="both"/>
        <w:rPr>
          <w:b/>
          <w:bCs/>
        </w:rPr>
      </w:pPr>
      <w:r w:rsidRPr="00B614A9">
        <w:rPr>
          <w:b/>
          <w:bCs/>
        </w:rPr>
        <w:t xml:space="preserve">Supplementary Fig. 8 | </w:t>
      </w:r>
      <w:r w:rsidR="003C1294" w:rsidRPr="003C1294">
        <w:rPr>
          <w:b/>
          <w:bCs/>
        </w:rPr>
        <w:t xml:space="preserve">Multiscale </w:t>
      </w:r>
      <w:r w:rsidR="00AB521C">
        <w:rPr>
          <w:b/>
          <w:bCs/>
        </w:rPr>
        <w:t xml:space="preserve">spatial </w:t>
      </w:r>
      <w:r w:rsidR="003C1294" w:rsidRPr="003C1294">
        <w:rPr>
          <w:b/>
          <w:bCs/>
        </w:rPr>
        <w:t>utility benchmarking of grid-count and hotspot fidelity</w:t>
      </w:r>
      <w:r w:rsidRPr="00B614A9">
        <w:rPr>
          <w:b/>
          <w:bCs/>
        </w:rPr>
        <w:t>.</w:t>
      </w:r>
    </w:p>
    <w:p w14:paraId="6BF324E3" w14:textId="1B6BD27A" w:rsidR="00641435" w:rsidRDefault="00B614A9" w:rsidP="00B614A9">
      <w:pPr>
        <w:pStyle w:val="NoSpacing"/>
        <w:jc w:val="both"/>
      </w:pPr>
      <w:r w:rsidRPr="00B614A9">
        <w:t xml:space="preserve">Comparison of GeoCTGAN-Full, GeoCTGAN-Priv, and benchmark </w:t>
      </w:r>
      <w:r w:rsidR="00BC2654">
        <w:t>models</w:t>
      </w:r>
      <w:r w:rsidRPr="00B614A9">
        <w:t xml:space="preserve"> across square grids of 25, 50, 100, 250, and 500 m</w:t>
      </w:r>
      <w:r w:rsidR="000F1467">
        <w:t>, illustrating</w:t>
      </w:r>
      <w:r w:rsidRPr="00B614A9">
        <w:t xml:space="preserve"> (a) Pearson correlation of real and synthetic grid-cell counts. (b) Jaccard overlap of hotspot cells, where hotspots were defined as the top 10% of occupied cells. Higher values indicate better agreement with the real spatial pattern.</w:t>
      </w:r>
      <w:r w:rsidR="00641435" w:rsidRPr="009D3B60">
        <w:t xml:space="preserve"> </w:t>
      </w:r>
    </w:p>
    <w:p w14:paraId="63D88E97" w14:textId="77777777" w:rsidR="00B614A9" w:rsidRDefault="00B614A9" w:rsidP="00B614A9">
      <w:pPr>
        <w:pStyle w:val="NoSpacing"/>
        <w:jc w:val="both"/>
      </w:pPr>
    </w:p>
    <w:p w14:paraId="67881DFB" w14:textId="2DBBE8B9" w:rsidR="00641435" w:rsidRDefault="00C7717B" w:rsidP="00F52AF0">
      <w:pPr>
        <w:pStyle w:val="NoSpacing"/>
        <w:jc w:val="both"/>
      </w:pPr>
      <w:r>
        <w:t>Supplementary Figs. S9-S10</w:t>
      </w:r>
      <w:r w:rsidR="00AE41C2">
        <w:t xml:space="preserve"> </w:t>
      </w:r>
      <w:r w:rsidR="00AE41C2" w:rsidRPr="00AE41C2">
        <w:t xml:space="preserve">report the structural ablation results. These figures show that the three components of GeoCTGAN do not contribute equally. Removing topology or cohorting reduced overall realism </w:t>
      </w:r>
      <w:r w:rsidR="00AE41C2">
        <w:t>to a lesser extent, whereas removing the capacity-constrained reconstruction step led to</w:t>
      </w:r>
      <w:r w:rsidR="00AE41C2" w:rsidRPr="00AE41C2">
        <w:t xml:space="preserve"> the </w:t>
      </w:r>
      <w:r w:rsidR="009C40CB">
        <w:t>sharpest</w:t>
      </w:r>
      <w:r w:rsidR="00AE41C2" w:rsidRPr="00AE41C2">
        <w:t xml:space="preserve"> loss of spatial fidelity across scales. In particular, the NoCapacity variant remained </w:t>
      </w:r>
      <w:r w:rsidR="00456DA4">
        <w:t>clearly</w:t>
      </w:r>
      <w:r w:rsidR="00AE41C2" w:rsidRPr="00AE41C2">
        <w:t xml:space="preserve"> weaker on both grid-count agreement and hotspot overlap and did not satisfy the support criterion at any tested scale. </w:t>
      </w:r>
      <w:r w:rsidR="00456DA4">
        <w:t>In</w:t>
      </w:r>
      <w:r w:rsidR="00AE41C2" w:rsidRPr="00AE41C2">
        <w:t xml:space="preserve"> contrast, NoTopology and NoCohort retained much of the broader spatial structure, indicating that topology encoding and temporal cohorting improve realism, but that the capacity-aware reconstruction step is the primary mechanism preserving usable local spatial arrangement.</w:t>
      </w:r>
    </w:p>
    <w:p w14:paraId="3D7CF134" w14:textId="77777777" w:rsidR="00A45038" w:rsidRDefault="00A45038" w:rsidP="00F52AF0">
      <w:pPr>
        <w:pStyle w:val="NoSpacing"/>
        <w:jc w:val="both"/>
      </w:pPr>
    </w:p>
    <w:p w14:paraId="56709D4C" w14:textId="3325E63E" w:rsidR="00A45038" w:rsidRDefault="00A45038" w:rsidP="00F52AF0">
      <w:pPr>
        <w:pStyle w:val="NoSpacing"/>
        <w:jc w:val="both"/>
      </w:pPr>
      <w:r>
        <w:rPr>
          <w:noProof/>
        </w:rPr>
        <w:lastRenderedPageBreak/>
        <w:drawing>
          <wp:inline distT="0" distB="0" distL="0" distR="0" wp14:anchorId="4FFE9A3C" wp14:editId="119D86EE">
            <wp:extent cx="5943600" cy="4363720"/>
            <wp:effectExtent l="0" t="0" r="0" b="0"/>
            <wp:docPr id="15873628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62849" name="Picture 15873628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363720"/>
                    </a:xfrm>
                    <a:prstGeom prst="rect">
                      <a:avLst/>
                    </a:prstGeom>
                  </pic:spPr>
                </pic:pic>
              </a:graphicData>
            </a:graphic>
          </wp:inline>
        </w:drawing>
      </w:r>
    </w:p>
    <w:p w14:paraId="2D047E60" w14:textId="77777777" w:rsidR="00DC6EF8" w:rsidRDefault="00DC6EF8" w:rsidP="00F52AF0">
      <w:pPr>
        <w:pStyle w:val="NoSpacing"/>
        <w:jc w:val="both"/>
      </w:pPr>
    </w:p>
    <w:p w14:paraId="0773E147" w14:textId="77777777" w:rsidR="00DC6EF8" w:rsidRPr="00DC6EF8" w:rsidRDefault="00DC6EF8" w:rsidP="00DC6EF8">
      <w:pPr>
        <w:pStyle w:val="NoSpacing"/>
        <w:jc w:val="both"/>
        <w:rPr>
          <w:b/>
          <w:bCs/>
        </w:rPr>
      </w:pPr>
      <w:r w:rsidRPr="00DC6EF8">
        <w:rPr>
          <w:b/>
          <w:bCs/>
        </w:rPr>
        <w:t>Supplementary Fig. 9 | Structural ablation analysis of GeoCTGAN.</w:t>
      </w:r>
    </w:p>
    <w:p w14:paraId="625FC6BD" w14:textId="01EAF7AB" w:rsidR="000F1467" w:rsidRDefault="00DC6EF8" w:rsidP="00DC6EF8">
      <w:pPr>
        <w:pStyle w:val="NoSpacing"/>
        <w:jc w:val="both"/>
      </w:pPr>
      <w:r>
        <w:t>C</w:t>
      </w:r>
      <w:r w:rsidRPr="00DC6EF8">
        <w:t>omparing GeoCTGAN-Full with three ablation variants: NoTopology, NoCohort, and NoCapacity</w:t>
      </w:r>
      <w:r w:rsidR="008B4EE4">
        <w:t xml:space="preserve">, </w:t>
      </w:r>
      <w:r w:rsidR="00CC74BF">
        <w:t>showing</w:t>
      </w:r>
      <w:r w:rsidR="008B4EE4">
        <w:t xml:space="preserve"> the</w:t>
      </w:r>
      <w:r w:rsidRPr="00DC6EF8">
        <w:t xml:space="preserve"> (a) Composite utility score. (b) KDE surface Pearson correlation. (c) Pearson correlation of 100 m grid-cell counts. (d) Percentage of synthetic points within 5 m of a real training point. Higher values indicate better performance in (a</w:t>
      </w:r>
      <w:r w:rsidR="000E45DB">
        <w:t>-</w:t>
      </w:r>
      <w:r w:rsidRPr="00DC6EF8">
        <w:t>c), whereas lower values indicate lower near-real spatial overlap in (d).</w:t>
      </w:r>
    </w:p>
    <w:p w14:paraId="63FC378B" w14:textId="37036FE0" w:rsidR="00B43F5E" w:rsidRDefault="00B43F5E">
      <w:r>
        <w:br w:type="page"/>
      </w:r>
    </w:p>
    <w:p w14:paraId="19E7B380" w14:textId="77777777" w:rsidR="00DC6EF8" w:rsidRDefault="00DC6EF8" w:rsidP="00DC6EF8">
      <w:pPr>
        <w:pStyle w:val="NoSpacing"/>
      </w:pPr>
    </w:p>
    <w:p w14:paraId="5315867D" w14:textId="49CA276A" w:rsidR="00A45038" w:rsidRDefault="009F0B15" w:rsidP="00F52AF0">
      <w:pPr>
        <w:pStyle w:val="NoSpacing"/>
        <w:jc w:val="both"/>
        <w:rPr>
          <w:b/>
          <w:bCs/>
        </w:rPr>
      </w:pPr>
      <w:r>
        <w:rPr>
          <w:b/>
          <w:bCs/>
          <w:noProof/>
        </w:rPr>
        <w:drawing>
          <wp:inline distT="0" distB="0" distL="0" distR="0" wp14:anchorId="6B56D8A9" wp14:editId="066576E9">
            <wp:extent cx="5943600" cy="2570480"/>
            <wp:effectExtent l="0" t="0" r="0" b="1270"/>
            <wp:docPr id="1894841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41686" name="Picture 18948416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70480"/>
                    </a:xfrm>
                    <a:prstGeom prst="rect">
                      <a:avLst/>
                    </a:prstGeom>
                  </pic:spPr>
                </pic:pic>
              </a:graphicData>
            </a:graphic>
          </wp:inline>
        </w:drawing>
      </w:r>
    </w:p>
    <w:p w14:paraId="352FD0AE" w14:textId="77777777" w:rsidR="009F0B15" w:rsidRDefault="009F0B15" w:rsidP="00B43F5E">
      <w:pPr>
        <w:pStyle w:val="NoSpacing"/>
        <w:jc w:val="both"/>
        <w:rPr>
          <w:b/>
          <w:bCs/>
        </w:rPr>
      </w:pPr>
    </w:p>
    <w:p w14:paraId="65E7F91B" w14:textId="6CC74F08" w:rsidR="00B43F5E" w:rsidRPr="00B43F5E" w:rsidRDefault="00B43F5E" w:rsidP="00B43F5E">
      <w:pPr>
        <w:pStyle w:val="NoSpacing"/>
        <w:jc w:val="both"/>
        <w:rPr>
          <w:b/>
          <w:bCs/>
        </w:rPr>
      </w:pPr>
      <w:r w:rsidRPr="00B43F5E">
        <w:rPr>
          <w:b/>
          <w:bCs/>
        </w:rPr>
        <w:t>Supplementary Fig. 10 | Multiscale spatial utility across GeoCTGAN ablation variants.</w:t>
      </w:r>
    </w:p>
    <w:p w14:paraId="268E3058" w14:textId="28777256" w:rsidR="00016F2E" w:rsidRDefault="00B43F5E" w:rsidP="00B43F5E">
      <w:pPr>
        <w:pStyle w:val="NoSpacing"/>
        <w:jc w:val="both"/>
      </w:pPr>
      <w:r w:rsidRPr="00B43F5E">
        <w:t xml:space="preserve">Comparison of GeoCTGAN-Full, NoTopology, NoCohort, and NoCapacity across square grids of 25, 50, 100, 250, and 500 m. (a) Pearson correlation of real and synthetic grid-cell counts. (b) Jaccard overlap of hotspot cells, where hotspots were defined as the top 10% of occupied cells. The figure shows how </w:t>
      </w:r>
      <w:r w:rsidR="008B1C2E">
        <w:t>removing individual components affects spatial agreement at</w:t>
      </w:r>
      <w:r w:rsidRPr="00B43F5E">
        <w:t xml:space="preserve"> increasingly coarse analysis scales.</w:t>
      </w:r>
    </w:p>
    <w:p w14:paraId="5772DD3C" w14:textId="2ACD71A9" w:rsidR="00A461C3" w:rsidRPr="00520673" w:rsidRDefault="00A461C3" w:rsidP="00520673">
      <w:pPr>
        <w:jc w:val="both"/>
      </w:pPr>
      <w:r w:rsidRPr="00520673">
        <w:br w:type="page"/>
      </w:r>
    </w:p>
    <w:p w14:paraId="77ACE156" w14:textId="7A3B7E8D" w:rsidR="007651D2" w:rsidRPr="007651D2" w:rsidRDefault="00A752B7" w:rsidP="007651D2">
      <w:pPr>
        <w:rPr>
          <w:b/>
          <w:bCs/>
        </w:rPr>
      </w:pPr>
      <w:r>
        <w:rPr>
          <w:b/>
          <w:bCs/>
        </w:rPr>
        <w:lastRenderedPageBreak/>
        <w:t>References</w:t>
      </w:r>
    </w:p>
    <w:p w14:paraId="3F6DB110" w14:textId="77777777" w:rsidR="007651D2" w:rsidRDefault="007651D2" w:rsidP="007651D2">
      <w:pPr>
        <w:pStyle w:val="NoSpacing"/>
      </w:pPr>
    </w:p>
    <w:p w14:paraId="53B04DEA" w14:textId="77777777" w:rsidR="002645B8" w:rsidRPr="002645B8" w:rsidRDefault="007651D2" w:rsidP="002645B8">
      <w:pPr>
        <w:pStyle w:val="EndNoteBibliography"/>
        <w:spacing w:after="0"/>
        <w:ind w:left="720" w:hanging="720"/>
      </w:pPr>
      <w:r>
        <w:fldChar w:fldCharType="begin"/>
      </w:r>
      <w:r>
        <w:instrText xml:space="preserve"> ADDIN EN.REFLIST </w:instrText>
      </w:r>
      <w:r>
        <w:fldChar w:fldCharType="separate"/>
      </w:r>
      <w:r w:rsidR="002645B8" w:rsidRPr="002645B8">
        <w:t>1</w:t>
      </w:r>
      <w:r w:rsidR="002645B8" w:rsidRPr="002645B8">
        <w:tab/>
        <w:t xml:space="preserve">Perozzi, B., Al-Rfou, R. &amp; Skiena, S. in </w:t>
      </w:r>
      <w:r w:rsidR="002645B8" w:rsidRPr="002645B8">
        <w:rPr>
          <w:i/>
        </w:rPr>
        <w:t>Proceedings of the 20th ACM SIGKDD international conference on Knowledge discovery and data mining.</w:t>
      </w:r>
      <w:r w:rsidR="002645B8" w:rsidRPr="002645B8">
        <w:t xml:space="preserve">  701-710.</w:t>
      </w:r>
    </w:p>
    <w:p w14:paraId="397308F3" w14:textId="261341CD" w:rsidR="002645B8" w:rsidRPr="002645B8" w:rsidRDefault="002645B8" w:rsidP="002645B8">
      <w:pPr>
        <w:pStyle w:val="EndNoteBibliography"/>
        <w:spacing w:after="0"/>
        <w:ind w:left="720" w:hanging="720"/>
      </w:pPr>
      <w:r w:rsidRPr="002645B8">
        <w:t>2</w:t>
      </w:r>
      <w:r w:rsidRPr="002645B8">
        <w:tab/>
        <w:t xml:space="preserve">Toronto Police Service. </w:t>
      </w:r>
      <w:r w:rsidRPr="002645B8">
        <w:rPr>
          <w:i/>
        </w:rPr>
        <w:t>Toronto Police Service Public Safety Data Portal</w:t>
      </w:r>
      <w:r w:rsidRPr="002645B8">
        <w:t>, &lt;</w:t>
      </w:r>
      <w:hyperlink r:id="rId19" w:history="1">
        <w:r w:rsidRPr="002645B8">
          <w:rPr>
            <w:rStyle w:val="Hyperlink"/>
          </w:rPr>
          <w:t>https://data.torontopolice.on.ca/pages/open-data</w:t>
        </w:r>
      </w:hyperlink>
      <w:r w:rsidRPr="002645B8">
        <w:t>&gt; (2025).</w:t>
      </w:r>
    </w:p>
    <w:p w14:paraId="4A822101" w14:textId="77777777" w:rsidR="002645B8" w:rsidRPr="002645B8" w:rsidRDefault="002645B8" w:rsidP="002645B8">
      <w:pPr>
        <w:pStyle w:val="EndNoteBibliography"/>
        <w:spacing w:after="0"/>
        <w:ind w:left="720" w:hanging="720"/>
      </w:pPr>
      <w:r w:rsidRPr="002645B8">
        <w:t>3</w:t>
      </w:r>
      <w:r w:rsidRPr="002645B8">
        <w:tab/>
        <w:t xml:space="preserve">Boeing, G. Modeling and analyzing urban networks and amenities with OSMnx. </w:t>
      </w:r>
      <w:r w:rsidRPr="002645B8">
        <w:rPr>
          <w:i/>
        </w:rPr>
        <w:t>Geographical Analysis</w:t>
      </w:r>
      <w:r w:rsidRPr="002645B8">
        <w:t xml:space="preserve"> (2025).</w:t>
      </w:r>
    </w:p>
    <w:p w14:paraId="0E1D0827" w14:textId="77777777" w:rsidR="002645B8" w:rsidRPr="002645B8" w:rsidRDefault="002645B8" w:rsidP="002645B8">
      <w:pPr>
        <w:pStyle w:val="EndNoteBibliography"/>
        <w:spacing w:after="0"/>
        <w:ind w:left="720" w:hanging="720"/>
      </w:pPr>
      <w:r w:rsidRPr="002645B8">
        <w:t>4</w:t>
      </w:r>
      <w:r w:rsidRPr="002645B8">
        <w:tab/>
        <w:t>Řehůřek, R. &amp; Sojka, P. Software framework for topic modelling with large corpora.  (2010).</w:t>
      </w:r>
    </w:p>
    <w:p w14:paraId="4236F28D" w14:textId="77777777" w:rsidR="002645B8" w:rsidRPr="002645B8" w:rsidRDefault="002645B8" w:rsidP="002645B8">
      <w:pPr>
        <w:pStyle w:val="EndNoteBibliography"/>
        <w:spacing w:after="0"/>
        <w:ind w:left="720" w:hanging="720"/>
      </w:pPr>
      <w:r w:rsidRPr="002645B8">
        <w:t>5</w:t>
      </w:r>
      <w:r w:rsidRPr="002645B8">
        <w:tab/>
        <w:t xml:space="preserve">Johnson, S. D. &amp; Summers, L. Testing ecological theories of offender spatial decision making using a discrete choice model. </w:t>
      </w:r>
      <w:r w:rsidRPr="002645B8">
        <w:rPr>
          <w:i/>
        </w:rPr>
        <w:t>Crime &amp; Delinquency</w:t>
      </w:r>
      <w:r w:rsidRPr="002645B8">
        <w:t xml:space="preserve"> </w:t>
      </w:r>
      <w:r w:rsidRPr="002645B8">
        <w:rPr>
          <w:b/>
        </w:rPr>
        <w:t>61</w:t>
      </w:r>
      <w:r w:rsidRPr="002645B8">
        <w:t>, 454-480 (2015).</w:t>
      </w:r>
    </w:p>
    <w:p w14:paraId="57530205" w14:textId="77777777" w:rsidR="002645B8" w:rsidRPr="002645B8" w:rsidRDefault="002645B8" w:rsidP="002645B8">
      <w:pPr>
        <w:pStyle w:val="EndNoteBibliography"/>
        <w:spacing w:after="0"/>
        <w:ind w:left="720" w:hanging="720"/>
      </w:pPr>
      <w:r w:rsidRPr="002645B8">
        <w:t>6</w:t>
      </w:r>
      <w:r w:rsidRPr="002645B8">
        <w:tab/>
        <w:t xml:space="preserve">Brantingham, P. J. &amp; Brantingham, P. L. </w:t>
      </w:r>
      <w:r w:rsidRPr="002645B8">
        <w:rPr>
          <w:i/>
        </w:rPr>
        <w:t>Environmental Criminology</w:t>
      </w:r>
      <w:r w:rsidRPr="002645B8">
        <w:t>.  (Sage Publications Beverly Hills, CA, 1981).</w:t>
      </w:r>
    </w:p>
    <w:p w14:paraId="4E783767" w14:textId="77777777" w:rsidR="002645B8" w:rsidRPr="002645B8" w:rsidRDefault="002645B8" w:rsidP="002645B8">
      <w:pPr>
        <w:pStyle w:val="EndNoteBibliography"/>
        <w:spacing w:after="0"/>
        <w:ind w:left="720" w:hanging="720"/>
      </w:pPr>
      <w:r w:rsidRPr="002645B8">
        <w:t>7</w:t>
      </w:r>
      <w:r w:rsidRPr="002645B8">
        <w:tab/>
        <w:t xml:space="preserve">Brantingham, P. J., Brantingham, P. L. &amp; Andresen, M. A. The geometry of crime and crime pattern theory. </w:t>
      </w:r>
      <w:r w:rsidRPr="002645B8">
        <w:rPr>
          <w:i/>
        </w:rPr>
        <w:t>Environmental Criminology and Crime Analysis</w:t>
      </w:r>
      <w:r w:rsidRPr="002645B8">
        <w:t xml:space="preserve"> </w:t>
      </w:r>
      <w:r w:rsidRPr="002645B8">
        <w:rPr>
          <w:b/>
        </w:rPr>
        <w:t>2</w:t>
      </w:r>
      <w:r w:rsidRPr="002645B8">
        <w:t xml:space="preserve"> (2017).</w:t>
      </w:r>
    </w:p>
    <w:p w14:paraId="667F611A" w14:textId="77777777" w:rsidR="002645B8" w:rsidRPr="002645B8" w:rsidRDefault="002645B8" w:rsidP="002645B8">
      <w:pPr>
        <w:pStyle w:val="EndNoteBibliography"/>
        <w:spacing w:after="0"/>
        <w:ind w:left="720" w:hanging="720"/>
      </w:pPr>
      <w:r w:rsidRPr="002645B8">
        <w:t>8</w:t>
      </w:r>
      <w:r w:rsidRPr="002645B8">
        <w:tab/>
        <w:t xml:space="preserve">Xu, L., Skoularidou, M., Cuesta-Infante, A. &amp; Veeramachaneni, K. Modeling tabular data using conditional gan. </w:t>
      </w:r>
      <w:r w:rsidRPr="002645B8">
        <w:rPr>
          <w:i/>
        </w:rPr>
        <w:t>Adv. Neural Inf. Process. Syst.</w:t>
      </w:r>
      <w:r w:rsidRPr="002645B8">
        <w:t xml:space="preserve"> </w:t>
      </w:r>
      <w:r w:rsidRPr="002645B8">
        <w:rPr>
          <w:b/>
        </w:rPr>
        <w:t>32</w:t>
      </w:r>
      <w:r w:rsidRPr="002645B8">
        <w:t xml:space="preserve"> (2019).</w:t>
      </w:r>
    </w:p>
    <w:p w14:paraId="25E15511" w14:textId="1709F691" w:rsidR="002645B8" w:rsidRPr="002645B8" w:rsidRDefault="002645B8" w:rsidP="002645B8">
      <w:pPr>
        <w:pStyle w:val="EndNoteBibliography"/>
        <w:spacing w:after="0"/>
        <w:ind w:left="720" w:hanging="720"/>
      </w:pPr>
      <w:r w:rsidRPr="002645B8">
        <w:t>9</w:t>
      </w:r>
      <w:r w:rsidRPr="002645B8">
        <w:tab/>
        <w:t xml:space="preserve">Scikit-learn Developers. </w:t>
      </w:r>
      <w:r w:rsidRPr="002645B8">
        <w:rPr>
          <w:i/>
        </w:rPr>
        <w:t>Time-related feature engineering</w:t>
      </w:r>
      <w:r w:rsidRPr="002645B8">
        <w:t>, &lt;</w:t>
      </w:r>
      <w:hyperlink r:id="rId20" w:history="1">
        <w:r w:rsidRPr="002645B8">
          <w:rPr>
            <w:rStyle w:val="Hyperlink"/>
          </w:rPr>
          <w:t>https://scikit-learn.org/stable/auto_examples/applications/plot_cyclical_feature_engineering.html?utm_source=chatgpt.com</w:t>
        </w:r>
      </w:hyperlink>
      <w:r w:rsidRPr="002645B8">
        <w:t>&gt; (2025).</w:t>
      </w:r>
    </w:p>
    <w:p w14:paraId="395465B8" w14:textId="77777777" w:rsidR="002645B8" w:rsidRPr="002645B8" w:rsidRDefault="002645B8" w:rsidP="002645B8">
      <w:pPr>
        <w:pStyle w:val="EndNoteBibliography"/>
        <w:spacing w:after="0"/>
        <w:ind w:left="720" w:hanging="720"/>
      </w:pPr>
      <w:r w:rsidRPr="002645B8">
        <w:t>10</w:t>
      </w:r>
      <w:r w:rsidRPr="002645B8">
        <w:tab/>
        <w:t>Basri, M. A.</w:t>
      </w:r>
      <w:r w:rsidRPr="002645B8">
        <w:rPr>
          <w:i/>
        </w:rPr>
        <w:t xml:space="preserve"> et al.</w:t>
      </w:r>
      <w:r w:rsidRPr="002645B8">
        <w:t xml:space="preserve"> A Hyperparameter Tuning Framework for Tabular Synthetic Data Generation Methods. </w:t>
      </w:r>
      <w:r w:rsidRPr="002645B8">
        <w:rPr>
          <w:i/>
        </w:rPr>
        <w:t>Journal of Computational Vision and Imaging Systems</w:t>
      </w:r>
      <w:r w:rsidRPr="002645B8">
        <w:t xml:space="preserve"> </w:t>
      </w:r>
      <w:r w:rsidRPr="002645B8">
        <w:rPr>
          <w:b/>
        </w:rPr>
        <w:t>9</w:t>
      </w:r>
      <w:r w:rsidRPr="002645B8">
        <w:t>, 76-79 (2023).</w:t>
      </w:r>
    </w:p>
    <w:p w14:paraId="57444D2C" w14:textId="77777777" w:rsidR="002645B8" w:rsidRPr="002645B8" w:rsidRDefault="002645B8" w:rsidP="002645B8">
      <w:pPr>
        <w:pStyle w:val="EndNoteBibliography"/>
        <w:spacing w:after="0"/>
        <w:ind w:left="720" w:hanging="720"/>
      </w:pPr>
      <w:r w:rsidRPr="002645B8">
        <w:t>11</w:t>
      </w:r>
      <w:r w:rsidRPr="002645B8">
        <w:tab/>
        <w:t xml:space="preserve">Goldberger, J., Hinton, G. E., Roweis, S. &amp; Salakhutdinov, R. R. Neighbourhood components analysis. </w:t>
      </w:r>
      <w:r w:rsidRPr="002645B8">
        <w:rPr>
          <w:i/>
        </w:rPr>
        <w:t>Adv. Neural Inf. Process. Syst.</w:t>
      </w:r>
      <w:r w:rsidRPr="002645B8">
        <w:t xml:space="preserve"> </w:t>
      </w:r>
      <w:r w:rsidRPr="002645B8">
        <w:rPr>
          <w:b/>
        </w:rPr>
        <w:t>17</w:t>
      </w:r>
      <w:r w:rsidRPr="002645B8">
        <w:t xml:space="preserve"> (2004).</w:t>
      </w:r>
    </w:p>
    <w:p w14:paraId="3A2DFECC" w14:textId="77777777" w:rsidR="002645B8" w:rsidRPr="002645B8" w:rsidRDefault="002645B8" w:rsidP="002645B8">
      <w:pPr>
        <w:pStyle w:val="EndNoteBibliography"/>
        <w:spacing w:after="0"/>
        <w:ind w:left="720" w:hanging="720"/>
      </w:pPr>
      <w:r w:rsidRPr="002645B8">
        <w:t>12</w:t>
      </w:r>
      <w:r w:rsidRPr="002645B8">
        <w:tab/>
        <w:t xml:space="preserve">Gruteser, M. &amp; Grunwald, D. in </w:t>
      </w:r>
      <w:r w:rsidRPr="002645B8">
        <w:rPr>
          <w:i/>
        </w:rPr>
        <w:t>Proceedings of the 1st international conference on Mobile systems, applications and services.</w:t>
      </w:r>
      <w:r w:rsidRPr="002645B8">
        <w:t xml:space="preserve">  31-42.</w:t>
      </w:r>
    </w:p>
    <w:p w14:paraId="19CCDC92" w14:textId="77777777" w:rsidR="002645B8" w:rsidRPr="002645B8" w:rsidRDefault="002645B8" w:rsidP="002645B8">
      <w:pPr>
        <w:pStyle w:val="EndNoteBibliography"/>
        <w:spacing w:after="0"/>
        <w:ind w:left="720" w:hanging="720"/>
      </w:pPr>
      <w:r w:rsidRPr="002645B8">
        <w:t>13</w:t>
      </w:r>
      <w:r w:rsidRPr="002645B8">
        <w:tab/>
        <w:t xml:space="preserve">Sweeney, L. k-anonymity: A model for protecting privacy. </w:t>
      </w:r>
      <w:r w:rsidRPr="002645B8">
        <w:rPr>
          <w:i/>
        </w:rPr>
        <w:t>International journal of uncertainty, fuzziness and knowledge-based systems</w:t>
      </w:r>
      <w:r w:rsidRPr="002645B8">
        <w:t xml:space="preserve"> </w:t>
      </w:r>
      <w:r w:rsidRPr="002645B8">
        <w:rPr>
          <w:b/>
        </w:rPr>
        <w:t>10</w:t>
      </w:r>
      <w:r w:rsidRPr="002645B8">
        <w:t>, 557-570 (2002).</w:t>
      </w:r>
    </w:p>
    <w:p w14:paraId="400F158B" w14:textId="77777777" w:rsidR="002645B8" w:rsidRPr="002645B8" w:rsidRDefault="002645B8" w:rsidP="002645B8">
      <w:pPr>
        <w:pStyle w:val="EndNoteBibliography"/>
        <w:spacing w:after="0"/>
        <w:ind w:left="720" w:hanging="720"/>
      </w:pPr>
      <w:r w:rsidRPr="002645B8">
        <w:t>14</w:t>
      </w:r>
      <w:r w:rsidRPr="002645B8">
        <w:tab/>
        <w:t>Park, N.</w:t>
      </w:r>
      <w:r w:rsidRPr="002645B8">
        <w:rPr>
          <w:i/>
        </w:rPr>
        <w:t xml:space="preserve"> et al.</w:t>
      </w:r>
      <w:r w:rsidRPr="002645B8">
        <w:t xml:space="preserve"> Data synthesis based on generative adversarial networks. </w:t>
      </w:r>
      <w:r w:rsidRPr="002645B8">
        <w:rPr>
          <w:i/>
        </w:rPr>
        <w:t>arXiv preprint arXiv:1806.03384</w:t>
      </w:r>
      <w:r w:rsidRPr="002645B8">
        <w:t xml:space="preserve"> (2018).</w:t>
      </w:r>
    </w:p>
    <w:p w14:paraId="79530E69" w14:textId="77777777" w:rsidR="002645B8" w:rsidRPr="002645B8" w:rsidRDefault="002645B8" w:rsidP="002645B8">
      <w:pPr>
        <w:pStyle w:val="EndNoteBibliography"/>
        <w:spacing w:after="0"/>
        <w:ind w:left="720" w:hanging="720"/>
      </w:pPr>
      <w:r w:rsidRPr="002645B8">
        <w:t>15</w:t>
      </w:r>
      <w:r w:rsidRPr="002645B8">
        <w:tab/>
        <w:t xml:space="preserve">El Emam, K., Mosquera, L. &amp; Hoptroff, R. </w:t>
      </w:r>
      <w:r w:rsidRPr="002645B8">
        <w:rPr>
          <w:i/>
        </w:rPr>
        <w:t>Practical synthetic data generation: balancing privacy and the broad availability of data</w:t>
      </w:r>
      <w:r w:rsidRPr="002645B8">
        <w:t>.  (O'Reilly Media, 2020).</w:t>
      </w:r>
    </w:p>
    <w:p w14:paraId="3CC2404E" w14:textId="77777777" w:rsidR="002645B8" w:rsidRPr="002645B8" w:rsidRDefault="002645B8" w:rsidP="002645B8">
      <w:pPr>
        <w:pStyle w:val="EndNoteBibliography"/>
        <w:spacing w:after="0"/>
        <w:ind w:left="720" w:hanging="720"/>
      </w:pPr>
      <w:r w:rsidRPr="002645B8">
        <w:t>16</w:t>
      </w:r>
      <w:r w:rsidRPr="002645B8">
        <w:tab/>
        <w:t xml:space="preserve">El Emam, K. Seven ways to evaluate the utility of synthetic data. </w:t>
      </w:r>
      <w:r w:rsidRPr="002645B8">
        <w:rPr>
          <w:i/>
        </w:rPr>
        <w:t>IEEE Security &amp; Privacy</w:t>
      </w:r>
      <w:r w:rsidRPr="002645B8">
        <w:t xml:space="preserve"> </w:t>
      </w:r>
      <w:r w:rsidRPr="002645B8">
        <w:rPr>
          <w:b/>
        </w:rPr>
        <w:t>18</w:t>
      </w:r>
      <w:r w:rsidRPr="002645B8">
        <w:t>, 56-59 (2020).</w:t>
      </w:r>
    </w:p>
    <w:p w14:paraId="64001645" w14:textId="77777777" w:rsidR="002645B8" w:rsidRPr="002645B8" w:rsidRDefault="002645B8" w:rsidP="002645B8">
      <w:pPr>
        <w:pStyle w:val="EndNoteBibliography"/>
        <w:spacing w:after="0"/>
        <w:ind w:left="720" w:hanging="720"/>
      </w:pPr>
      <w:r w:rsidRPr="002645B8">
        <w:t>17</w:t>
      </w:r>
      <w:r w:rsidRPr="002645B8">
        <w:tab/>
        <w:t xml:space="preserve">Baddeley, A., Rubak, E. &amp; Turner, R. </w:t>
      </w:r>
      <w:r w:rsidRPr="002645B8">
        <w:rPr>
          <w:i/>
        </w:rPr>
        <w:t>Spatial point patterns: methodology and applications with R</w:t>
      </w:r>
      <w:r w:rsidRPr="002645B8">
        <w:t>. Vol. 1 (CRC press Boca Raton, 2016).</w:t>
      </w:r>
    </w:p>
    <w:p w14:paraId="637B3B66" w14:textId="77777777" w:rsidR="002645B8" w:rsidRPr="002645B8" w:rsidRDefault="002645B8" w:rsidP="002645B8">
      <w:pPr>
        <w:pStyle w:val="EndNoteBibliography"/>
        <w:spacing w:after="0"/>
        <w:ind w:left="720" w:hanging="720"/>
      </w:pPr>
      <w:r w:rsidRPr="002645B8">
        <w:t>18</w:t>
      </w:r>
      <w:r w:rsidRPr="002645B8">
        <w:tab/>
        <w:t xml:space="preserve">Bentley, J. L. Multidimensional binary search trees used for associative searching. </w:t>
      </w:r>
      <w:r w:rsidRPr="002645B8">
        <w:rPr>
          <w:i/>
        </w:rPr>
        <w:t>CACM</w:t>
      </w:r>
      <w:r w:rsidRPr="002645B8">
        <w:t xml:space="preserve"> </w:t>
      </w:r>
      <w:r w:rsidRPr="002645B8">
        <w:rPr>
          <w:b/>
        </w:rPr>
        <w:t>18</w:t>
      </w:r>
      <w:r w:rsidRPr="002645B8">
        <w:t>, 509-517 (1975).</w:t>
      </w:r>
    </w:p>
    <w:p w14:paraId="2925751E" w14:textId="77777777" w:rsidR="002645B8" w:rsidRPr="002645B8" w:rsidRDefault="002645B8" w:rsidP="002645B8">
      <w:pPr>
        <w:pStyle w:val="EndNoteBibliography"/>
        <w:spacing w:after="0"/>
        <w:ind w:left="720" w:hanging="720"/>
      </w:pPr>
      <w:r w:rsidRPr="002645B8">
        <w:t>19</w:t>
      </w:r>
      <w:r w:rsidRPr="002645B8">
        <w:tab/>
        <w:t xml:space="preserve">Berger, V. W. &amp; Zhou, Y. Kolmogorov–smirnov test: Overview. </w:t>
      </w:r>
      <w:r w:rsidRPr="002645B8">
        <w:rPr>
          <w:i/>
        </w:rPr>
        <w:t>Wiley statsref: Statistics reference online</w:t>
      </w:r>
      <w:r w:rsidRPr="002645B8">
        <w:t xml:space="preserve"> (2014).</w:t>
      </w:r>
    </w:p>
    <w:p w14:paraId="43C8DF69" w14:textId="77777777" w:rsidR="002645B8" w:rsidRPr="002645B8" w:rsidRDefault="002645B8" w:rsidP="002645B8">
      <w:pPr>
        <w:pStyle w:val="EndNoteBibliography"/>
        <w:spacing w:after="0"/>
        <w:ind w:left="720" w:hanging="720"/>
      </w:pPr>
      <w:r w:rsidRPr="002645B8">
        <w:t>20</w:t>
      </w:r>
      <w:r w:rsidRPr="002645B8">
        <w:tab/>
        <w:t xml:space="preserve">Silverman, B. W. </w:t>
      </w:r>
      <w:r w:rsidRPr="002645B8">
        <w:rPr>
          <w:i/>
        </w:rPr>
        <w:t>Density estimation for statistics and data analysis</w:t>
      </w:r>
      <w:r w:rsidRPr="002645B8">
        <w:t>.  (Routledge, 2018).</w:t>
      </w:r>
    </w:p>
    <w:p w14:paraId="4A6392A8" w14:textId="77777777" w:rsidR="002645B8" w:rsidRPr="002645B8" w:rsidRDefault="002645B8" w:rsidP="002645B8">
      <w:pPr>
        <w:pStyle w:val="EndNoteBibliography"/>
        <w:spacing w:after="0"/>
        <w:ind w:left="720" w:hanging="720"/>
      </w:pPr>
      <w:r w:rsidRPr="002645B8">
        <w:t>21</w:t>
      </w:r>
      <w:r w:rsidRPr="002645B8">
        <w:tab/>
        <w:t xml:space="preserve">Scott, D. W. </w:t>
      </w:r>
      <w:r w:rsidRPr="002645B8">
        <w:rPr>
          <w:i/>
        </w:rPr>
        <w:t>Multivariate density estimation: theory, practice, and visualization</w:t>
      </w:r>
      <w:r w:rsidRPr="002645B8">
        <w:t>.  (John Wiley &amp; Sons, 2015).</w:t>
      </w:r>
    </w:p>
    <w:p w14:paraId="752D9471" w14:textId="77777777" w:rsidR="002645B8" w:rsidRPr="002645B8" w:rsidRDefault="002645B8" w:rsidP="002645B8">
      <w:pPr>
        <w:pStyle w:val="EndNoteBibliography"/>
        <w:spacing w:after="0"/>
        <w:ind w:left="720" w:hanging="720"/>
      </w:pPr>
      <w:r w:rsidRPr="002645B8">
        <w:t>22</w:t>
      </w:r>
      <w:r w:rsidRPr="002645B8">
        <w:tab/>
        <w:t>Kulldorff, M.     (2010).</w:t>
      </w:r>
    </w:p>
    <w:p w14:paraId="763BFBDD" w14:textId="77777777" w:rsidR="002645B8" w:rsidRPr="002645B8" w:rsidRDefault="002645B8" w:rsidP="002645B8">
      <w:pPr>
        <w:pStyle w:val="EndNoteBibliography"/>
        <w:spacing w:after="0"/>
        <w:ind w:left="720" w:hanging="720"/>
      </w:pPr>
      <w:r w:rsidRPr="002645B8">
        <w:lastRenderedPageBreak/>
        <w:t>23</w:t>
      </w:r>
      <w:r w:rsidRPr="002645B8">
        <w:tab/>
        <w:t>Kulldorff, M.     (2015).</w:t>
      </w:r>
    </w:p>
    <w:p w14:paraId="31D8F2E8" w14:textId="515AA83D" w:rsidR="002645B8" w:rsidRPr="002645B8" w:rsidRDefault="002645B8" w:rsidP="002645B8">
      <w:pPr>
        <w:pStyle w:val="EndNoteBibliography"/>
        <w:spacing w:after="0"/>
        <w:ind w:left="720" w:hanging="720"/>
      </w:pPr>
      <w:r w:rsidRPr="002645B8">
        <w:t>24</w:t>
      </w:r>
      <w:r w:rsidRPr="002645B8">
        <w:tab/>
        <w:t xml:space="preserve">Statistics Canada. </w:t>
      </w:r>
      <w:r w:rsidRPr="002645B8">
        <w:rPr>
          <w:i/>
        </w:rPr>
        <w:t>Dissemination area (DA)</w:t>
      </w:r>
      <w:r w:rsidRPr="002645B8">
        <w:t>, &lt;</w:t>
      </w:r>
      <w:hyperlink r:id="rId21" w:history="1">
        <w:r w:rsidRPr="002645B8">
          <w:rPr>
            <w:rStyle w:val="Hyperlink"/>
          </w:rPr>
          <w:t>https://www12.statcan.gc.ca/census-recensement/2021/ref/dict/az/definition-eng.cfm?ID=geo021</w:t>
        </w:r>
      </w:hyperlink>
      <w:r w:rsidRPr="002645B8">
        <w:t>&gt; (2021).</w:t>
      </w:r>
    </w:p>
    <w:p w14:paraId="3D6A812C" w14:textId="7A002DF0" w:rsidR="002645B8" w:rsidRPr="002645B8" w:rsidRDefault="002645B8" w:rsidP="002645B8">
      <w:pPr>
        <w:pStyle w:val="EndNoteBibliography"/>
        <w:spacing w:after="0"/>
        <w:ind w:left="720" w:hanging="720"/>
      </w:pPr>
      <w:r w:rsidRPr="002645B8">
        <w:t>25</w:t>
      </w:r>
      <w:r w:rsidRPr="002645B8">
        <w:tab/>
        <w:t xml:space="preserve">Anselin, L. </w:t>
      </w:r>
      <w:r w:rsidRPr="002645B8">
        <w:rPr>
          <w:i/>
        </w:rPr>
        <w:t>Global spatial autocorrelation (1), Moran scatter plot and spatial correlogram</w:t>
      </w:r>
      <w:r w:rsidRPr="002645B8">
        <w:t>, &lt;</w:t>
      </w:r>
      <w:hyperlink r:id="rId22" w:anchor="fn1" w:history="1">
        <w:r w:rsidRPr="002645B8">
          <w:rPr>
            <w:rStyle w:val="Hyperlink"/>
          </w:rPr>
          <w:t>https://geodacenter.github.io/workbook/5a_global_auto/lab5a.html#fn1</w:t>
        </w:r>
      </w:hyperlink>
      <w:r w:rsidRPr="002645B8">
        <w:t>&gt; (2018).</w:t>
      </w:r>
    </w:p>
    <w:p w14:paraId="1E6D6754" w14:textId="2BD8C31A" w:rsidR="002645B8" w:rsidRPr="002645B8" w:rsidRDefault="002645B8" w:rsidP="002645B8">
      <w:pPr>
        <w:pStyle w:val="EndNoteBibliography"/>
        <w:spacing w:after="0"/>
        <w:ind w:left="720" w:hanging="720"/>
      </w:pPr>
      <w:r w:rsidRPr="002645B8">
        <w:t>26</w:t>
      </w:r>
      <w:r w:rsidRPr="002645B8">
        <w:tab/>
        <w:t xml:space="preserve">ESRI, E. S. R. I.-. </w:t>
      </w:r>
      <w:r w:rsidRPr="002645B8">
        <w:rPr>
          <w:i/>
        </w:rPr>
        <w:t>How Cluster and Outlier Analysis (Anselin Local Moran's I) works</w:t>
      </w:r>
      <w:r w:rsidRPr="002645B8">
        <w:t>, &lt;</w:t>
      </w:r>
      <w:hyperlink r:id="rId23" w:history="1">
        <w:r w:rsidRPr="002645B8">
          <w:rPr>
            <w:rStyle w:val="Hyperlink"/>
          </w:rPr>
          <w:t>http://pro.arcgis.com/en/pro-app/tool-reference/spatial-statistics/h-how-cluster-and-outlier-analysis-anselin-local-m.htm</w:t>
        </w:r>
      </w:hyperlink>
      <w:r w:rsidRPr="002645B8">
        <w:t>&gt; (2017).</w:t>
      </w:r>
    </w:p>
    <w:p w14:paraId="3A1198F1" w14:textId="77777777" w:rsidR="002645B8" w:rsidRPr="002645B8" w:rsidRDefault="002645B8" w:rsidP="002645B8">
      <w:pPr>
        <w:pStyle w:val="EndNoteBibliography"/>
        <w:spacing w:after="0"/>
        <w:ind w:left="720" w:hanging="720"/>
      </w:pPr>
      <w:r w:rsidRPr="002645B8">
        <w:t>27</w:t>
      </w:r>
      <w:r w:rsidRPr="002645B8">
        <w:tab/>
        <w:t xml:space="preserve">Anselin, L. Local indicators of spatial association—LISA. </w:t>
      </w:r>
      <w:r w:rsidRPr="002645B8">
        <w:rPr>
          <w:i/>
        </w:rPr>
        <w:t>Geographical analysis</w:t>
      </w:r>
      <w:r w:rsidRPr="002645B8">
        <w:t xml:space="preserve"> </w:t>
      </w:r>
      <w:r w:rsidRPr="002645B8">
        <w:rPr>
          <w:b/>
        </w:rPr>
        <w:t>27</w:t>
      </w:r>
      <w:r w:rsidRPr="002645B8">
        <w:t>, 93-115 (1995).</w:t>
      </w:r>
    </w:p>
    <w:p w14:paraId="0310087B" w14:textId="77777777" w:rsidR="002645B8" w:rsidRPr="002645B8" w:rsidRDefault="002645B8" w:rsidP="002645B8">
      <w:pPr>
        <w:pStyle w:val="EndNoteBibliography"/>
        <w:spacing w:after="0"/>
        <w:ind w:left="720" w:hanging="720"/>
      </w:pPr>
      <w:r w:rsidRPr="002645B8">
        <w:t>28</w:t>
      </w:r>
      <w:r w:rsidRPr="002645B8">
        <w:tab/>
        <w:t xml:space="preserve">Ward, M. D. &amp; Gleditsch, K. S. </w:t>
      </w:r>
      <w:r w:rsidRPr="002645B8">
        <w:rPr>
          <w:i/>
        </w:rPr>
        <w:t>Spatial regression models</w:t>
      </w:r>
      <w:r w:rsidRPr="002645B8">
        <w:t>. Vol. 155 (Sage Publications, 2018).</w:t>
      </w:r>
    </w:p>
    <w:p w14:paraId="48574ACE" w14:textId="77777777" w:rsidR="002645B8" w:rsidRPr="002645B8" w:rsidRDefault="002645B8" w:rsidP="002645B8">
      <w:pPr>
        <w:pStyle w:val="EndNoteBibliography"/>
        <w:spacing w:after="0"/>
        <w:ind w:left="720" w:hanging="720"/>
      </w:pPr>
      <w:r w:rsidRPr="002645B8">
        <w:t>29</w:t>
      </w:r>
      <w:r w:rsidRPr="002645B8">
        <w:tab/>
        <w:t xml:space="preserve">Kleinbaum, D. G., Kupper, L. L., Nizam, A. &amp; Rosenberg, E. S. </w:t>
      </w:r>
      <w:r w:rsidRPr="002645B8">
        <w:rPr>
          <w:i/>
        </w:rPr>
        <w:t>Applied regression analysis and other multivariable methods</w:t>
      </w:r>
      <w:r w:rsidRPr="002645B8">
        <w:t>.  (Nelson Education, 2013).</w:t>
      </w:r>
    </w:p>
    <w:p w14:paraId="20AF7694" w14:textId="5557A33D" w:rsidR="002645B8" w:rsidRPr="002645B8" w:rsidRDefault="002645B8" w:rsidP="002645B8">
      <w:pPr>
        <w:pStyle w:val="EndNoteBibliography"/>
        <w:spacing w:after="0"/>
        <w:ind w:left="720" w:hanging="720"/>
      </w:pPr>
      <w:r w:rsidRPr="002645B8">
        <w:t>30</w:t>
      </w:r>
      <w:r w:rsidRPr="002645B8">
        <w:tab/>
        <w:t xml:space="preserve">Ontario Community Health Profiles Partnership. </w:t>
      </w:r>
      <w:r w:rsidRPr="002645B8">
        <w:rPr>
          <w:i/>
        </w:rPr>
        <w:t>Ontario Marginalization Index (ON-Marg)</w:t>
      </w:r>
      <w:r w:rsidRPr="002645B8">
        <w:t>, &lt;</w:t>
      </w:r>
      <w:hyperlink r:id="rId24" w:anchor="ONMarg2021NHs" w:history="1">
        <w:r w:rsidRPr="002645B8">
          <w:rPr>
            <w:rStyle w:val="Hyperlink"/>
          </w:rPr>
          <w:t>https://www.ontariohealthprofiles.ca/onmargON.php#ONMarg2021NHs</w:t>
        </w:r>
      </w:hyperlink>
      <w:r w:rsidRPr="002645B8">
        <w:t>&gt; (2023).</w:t>
      </w:r>
    </w:p>
    <w:p w14:paraId="0B5DA7E4" w14:textId="5FC279D7" w:rsidR="002645B8" w:rsidRPr="002645B8" w:rsidRDefault="002645B8" w:rsidP="002645B8">
      <w:pPr>
        <w:pStyle w:val="EndNoteBibliography"/>
        <w:spacing w:after="0"/>
        <w:ind w:left="720" w:hanging="720"/>
      </w:pPr>
      <w:r w:rsidRPr="002645B8">
        <w:t>31</w:t>
      </w:r>
      <w:r w:rsidRPr="002645B8">
        <w:tab/>
        <w:t xml:space="preserve">DataCebo. </w:t>
      </w:r>
      <w:r w:rsidRPr="002645B8">
        <w:rPr>
          <w:i/>
        </w:rPr>
        <w:t>SDMetrics- DisclosureProtectionEstimate</w:t>
      </w:r>
      <w:r w:rsidRPr="002645B8">
        <w:t>, &lt;</w:t>
      </w:r>
      <w:hyperlink r:id="rId25" w:history="1">
        <w:r w:rsidRPr="002645B8">
          <w:rPr>
            <w:rStyle w:val="Hyperlink"/>
          </w:rPr>
          <w:t>https://docs.sdv.dev/sdmetrics/data-metrics/privacy/disclosureprotectionestimate</w:t>
        </w:r>
      </w:hyperlink>
      <w:r w:rsidRPr="002645B8">
        <w:t>&gt; (2025).</w:t>
      </w:r>
    </w:p>
    <w:p w14:paraId="1D05630F" w14:textId="1DA97A09" w:rsidR="002645B8" w:rsidRPr="002645B8" w:rsidRDefault="002645B8" w:rsidP="002645B8">
      <w:pPr>
        <w:pStyle w:val="EndNoteBibliography"/>
        <w:spacing w:after="0"/>
        <w:ind w:left="720" w:hanging="720"/>
      </w:pPr>
      <w:r w:rsidRPr="002645B8">
        <w:t>32</w:t>
      </w:r>
      <w:r w:rsidRPr="002645B8">
        <w:tab/>
        <w:t xml:space="preserve">DataCebo. </w:t>
      </w:r>
      <w:r w:rsidRPr="002645B8">
        <w:rPr>
          <w:i/>
        </w:rPr>
        <w:t>SDMetrics- DCROverfittingProtection</w:t>
      </w:r>
      <w:r w:rsidRPr="002645B8">
        <w:t>, &lt;</w:t>
      </w:r>
      <w:hyperlink r:id="rId26" w:history="1">
        <w:r w:rsidRPr="002645B8">
          <w:rPr>
            <w:rStyle w:val="Hyperlink"/>
          </w:rPr>
          <w:t>https://docs.sdv.dev/sdmetrics/data-metrics/privacy/dcroverfittingprotection</w:t>
        </w:r>
      </w:hyperlink>
      <w:r w:rsidRPr="002645B8">
        <w:t>&gt; (2025).</w:t>
      </w:r>
    </w:p>
    <w:p w14:paraId="6ECAAA1B" w14:textId="6E831182" w:rsidR="002645B8" w:rsidRPr="002645B8" w:rsidRDefault="002645B8" w:rsidP="002645B8">
      <w:pPr>
        <w:pStyle w:val="EndNoteBibliography"/>
        <w:spacing w:after="0"/>
        <w:ind w:left="720" w:hanging="720"/>
      </w:pPr>
      <w:r w:rsidRPr="002645B8">
        <w:t>33</w:t>
      </w:r>
      <w:r w:rsidRPr="002645B8">
        <w:tab/>
        <w:t xml:space="preserve">DataCebo. </w:t>
      </w:r>
      <w:r w:rsidRPr="002645B8">
        <w:rPr>
          <w:i/>
        </w:rPr>
        <w:t>SDMetrics- DCRBaselineProtection</w:t>
      </w:r>
      <w:r w:rsidRPr="002645B8">
        <w:t>, &lt;</w:t>
      </w:r>
      <w:hyperlink r:id="rId27" w:history="1">
        <w:r w:rsidRPr="002645B8">
          <w:rPr>
            <w:rStyle w:val="Hyperlink"/>
          </w:rPr>
          <w:t>https://docs.sdv.dev/sdmetrics/data-metrics/privacy/dcrbaselineprotection</w:t>
        </w:r>
      </w:hyperlink>
      <w:r w:rsidRPr="002645B8">
        <w:t>&gt; (2025).</w:t>
      </w:r>
    </w:p>
    <w:p w14:paraId="68D94FBB" w14:textId="4A8F1029" w:rsidR="002645B8" w:rsidRPr="002645B8" w:rsidRDefault="002645B8" w:rsidP="002645B8">
      <w:pPr>
        <w:pStyle w:val="EndNoteBibliography"/>
        <w:spacing w:after="0"/>
        <w:ind w:left="720" w:hanging="720"/>
      </w:pPr>
      <w:r w:rsidRPr="002645B8">
        <w:t>34</w:t>
      </w:r>
      <w:r w:rsidRPr="002645B8">
        <w:tab/>
        <w:t xml:space="preserve">DataCebo. </w:t>
      </w:r>
      <w:r w:rsidRPr="002645B8">
        <w:rPr>
          <w:i/>
        </w:rPr>
        <w:t>SDV- GaussianCopulaSynthesizer</w:t>
      </w:r>
      <w:r w:rsidRPr="002645B8">
        <w:t>, &lt;</w:t>
      </w:r>
      <w:hyperlink r:id="rId28" w:history="1">
        <w:r w:rsidRPr="002645B8">
          <w:rPr>
            <w:rStyle w:val="Hyperlink"/>
          </w:rPr>
          <w:t>https://docs.sdv.dev/sdv/single-table-data/modeling/synthesizers/gaussiancopulasynthesizer</w:t>
        </w:r>
      </w:hyperlink>
      <w:r w:rsidRPr="002645B8">
        <w:t>&gt; (2025).</w:t>
      </w:r>
    </w:p>
    <w:p w14:paraId="1B234C30" w14:textId="77777777" w:rsidR="002645B8" w:rsidRPr="002645B8" w:rsidRDefault="002645B8" w:rsidP="002645B8">
      <w:pPr>
        <w:pStyle w:val="EndNoteBibliography"/>
        <w:spacing w:after="0"/>
        <w:ind w:left="720" w:hanging="720"/>
      </w:pPr>
      <w:r w:rsidRPr="002645B8">
        <w:t>35</w:t>
      </w:r>
      <w:r w:rsidRPr="002645B8">
        <w:tab/>
        <w:t xml:space="preserve">Solatorio, A. V. &amp; Dupriez, O. Realtabformer: Generating realistic relational and tabular data using transformers. </w:t>
      </w:r>
      <w:r w:rsidRPr="002645B8">
        <w:rPr>
          <w:i/>
        </w:rPr>
        <w:t>arXiv preprint arXiv:2302.02041</w:t>
      </w:r>
      <w:r w:rsidRPr="002645B8">
        <w:t xml:space="preserve"> (2023).</w:t>
      </w:r>
    </w:p>
    <w:p w14:paraId="28BCA3A8" w14:textId="4CD4B5D6" w:rsidR="002645B8" w:rsidRPr="002645B8" w:rsidRDefault="002645B8" w:rsidP="002645B8">
      <w:pPr>
        <w:pStyle w:val="EndNoteBibliography"/>
        <w:spacing w:after="0"/>
        <w:ind w:left="720" w:hanging="720"/>
      </w:pPr>
      <w:r w:rsidRPr="002645B8">
        <w:t>36</w:t>
      </w:r>
      <w:r w:rsidRPr="002645B8">
        <w:tab/>
        <w:t xml:space="preserve">SciPy. </w:t>
      </w:r>
      <w:r w:rsidRPr="002645B8">
        <w:rPr>
          <w:i/>
        </w:rPr>
        <w:t>SciPy Spatial Distance: Jaccard Index</w:t>
      </w:r>
      <w:r w:rsidRPr="002645B8">
        <w:t>, &lt;</w:t>
      </w:r>
      <w:hyperlink r:id="rId29" w:anchor="scipy.spatial.distance.jaccard" w:history="1">
        <w:r w:rsidRPr="002645B8">
          <w:rPr>
            <w:rStyle w:val="Hyperlink"/>
          </w:rPr>
          <w:t>https://docs.scipy.org/doc/scipy/reference/generated/scipy.spatial.distance.jaccard.html#scipy.spatial.distance.jaccard</w:t>
        </w:r>
      </w:hyperlink>
      <w:r w:rsidRPr="002645B8">
        <w:t>&gt; (2026).</w:t>
      </w:r>
    </w:p>
    <w:p w14:paraId="75CC19EE" w14:textId="2161B040" w:rsidR="002645B8" w:rsidRPr="002645B8" w:rsidRDefault="002645B8" w:rsidP="002645B8">
      <w:pPr>
        <w:pStyle w:val="EndNoteBibliography"/>
        <w:ind w:left="720" w:hanging="720"/>
      </w:pPr>
      <w:r w:rsidRPr="002645B8">
        <w:t>37</w:t>
      </w:r>
      <w:r w:rsidRPr="002645B8">
        <w:tab/>
        <w:t xml:space="preserve">Noble, J. </w:t>
      </w:r>
      <w:r w:rsidRPr="002645B8">
        <w:rPr>
          <w:i/>
        </w:rPr>
        <w:t>What is Jaccard similarity?</w:t>
      </w:r>
      <w:r w:rsidRPr="002645B8">
        <w:t>, &lt;</w:t>
      </w:r>
      <w:hyperlink r:id="rId30" w:anchor=":~:text=Jaccard%20similarity%20is%20a%20statistical,that%20the%20sets%20are%20identical" w:history="1">
        <w:r w:rsidRPr="002645B8">
          <w:rPr>
            <w:rStyle w:val="Hyperlink"/>
          </w:rPr>
          <w:t>https://www.ibm.com/think/topics/jaccard-similarity#:~:text=Jaccard%20similarity%20is%20a%20statistical,that%20the%20sets%20are%20identical</w:t>
        </w:r>
      </w:hyperlink>
      <w:r w:rsidRPr="002645B8">
        <w:t>.&gt; (2025).</w:t>
      </w:r>
    </w:p>
    <w:p w14:paraId="259DC605" w14:textId="6A05C760" w:rsidR="00A752B7" w:rsidRPr="007651D2" w:rsidRDefault="007651D2" w:rsidP="007651D2">
      <w:pPr>
        <w:pStyle w:val="NoSpacing"/>
      </w:pPr>
      <w:r>
        <w:fldChar w:fldCharType="end"/>
      </w:r>
    </w:p>
    <w:sectPr w:rsidR="00A752B7" w:rsidRPr="007651D2">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D5E9A" w14:textId="77777777" w:rsidR="00911899" w:rsidRDefault="00911899" w:rsidP="000F29DC">
      <w:pPr>
        <w:spacing w:after="0" w:line="240" w:lineRule="auto"/>
      </w:pPr>
      <w:r>
        <w:separator/>
      </w:r>
    </w:p>
  </w:endnote>
  <w:endnote w:type="continuationSeparator" w:id="0">
    <w:p w14:paraId="2608B044" w14:textId="77777777" w:rsidR="00911899" w:rsidRDefault="00911899" w:rsidP="000F2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121415"/>
      <w:docPartObj>
        <w:docPartGallery w:val="Page Numbers (Bottom of Page)"/>
        <w:docPartUnique/>
      </w:docPartObj>
    </w:sdtPr>
    <w:sdtContent>
      <w:sdt>
        <w:sdtPr>
          <w:id w:val="-1769616900"/>
          <w:docPartObj>
            <w:docPartGallery w:val="Page Numbers (Top of Page)"/>
            <w:docPartUnique/>
          </w:docPartObj>
        </w:sdtPr>
        <w:sdtContent>
          <w:p w14:paraId="6C8C8CA2" w14:textId="6E198D06" w:rsidR="00A752B7" w:rsidRDefault="00A752B7">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312C97B" w14:textId="77777777" w:rsidR="000F29DC" w:rsidRDefault="000F29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699EC" w14:textId="77777777" w:rsidR="00911899" w:rsidRDefault="00911899" w:rsidP="000F29DC">
      <w:pPr>
        <w:spacing w:after="0" w:line="240" w:lineRule="auto"/>
      </w:pPr>
      <w:r>
        <w:separator/>
      </w:r>
    </w:p>
  </w:footnote>
  <w:footnote w:type="continuationSeparator" w:id="0">
    <w:p w14:paraId="3E5A41C0" w14:textId="77777777" w:rsidR="00911899" w:rsidRDefault="00911899" w:rsidP="000F2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FAE7" w14:textId="609688F5" w:rsidR="000F29DC" w:rsidRDefault="00A752B7" w:rsidP="00A752B7">
    <w:pPr>
      <w:pStyle w:val="Header"/>
      <w:jc w:val="right"/>
    </w:pPr>
    <w:r>
      <w:t>Supplementary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00275"/>
    <w:multiLevelType w:val="hybridMultilevel"/>
    <w:tmpl w:val="AD5E6DCE"/>
    <w:lvl w:ilvl="0" w:tplc="7BBC778E">
      <w:start w:val="1"/>
      <w:numFmt w:val="lowerRoman"/>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914AF4"/>
    <w:multiLevelType w:val="hybridMultilevel"/>
    <w:tmpl w:val="2C6239C4"/>
    <w:lvl w:ilvl="0" w:tplc="7BBC778E">
      <w:start w:val="1"/>
      <w:numFmt w:val="lowerRoman"/>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432748">
    <w:abstractNumId w:val="1"/>
  </w:num>
  <w:num w:numId="2" w16cid:durableId="148874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2NDG1MDS3NDMxNDdT0lEKTi0uzszPAykwMqkFAHGazJw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d9vtpt1d2wvmex2x0pddz9raws90dfwftf&quot;&gt;31MAY2017-Converted&lt;record-ids&gt;&lt;item&gt;471&lt;/item&gt;&lt;item&gt;517&lt;/item&gt;&lt;item&gt;672&lt;/item&gt;&lt;item&gt;10212&lt;/item&gt;&lt;item&gt;10223&lt;/item&gt;&lt;item&gt;10233&lt;/item&gt;&lt;item&gt;10278&lt;/item&gt;&lt;item&gt;10289&lt;/item&gt;&lt;item&gt;10296&lt;/item&gt;&lt;item&gt;10387&lt;/item&gt;&lt;item&gt;10601&lt;/item&gt;&lt;item&gt;10917&lt;/item&gt;&lt;item&gt;10919&lt;/item&gt;&lt;item&gt;10962&lt;/item&gt;&lt;item&gt;11084&lt;/item&gt;&lt;item&gt;11171&lt;/item&gt;&lt;item&gt;11328&lt;/item&gt;&lt;item&gt;11331&lt;/item&gt;&lt;item&gt;11333&lt;/item&gt;&lt;item&gt;11343&lt;/item&gt;&lt;item&gt;11344&lt;/item&gt;&lt;item&gt;11345&lt;/item&gt;&lt;item&gt;11346&lt;/item&gt;&lt;item&gt;11347&lt;/item&gt;&lt;item&gt;11354&lt;/item&gt;&lt;item&gt;11356&lt;/item&gt;&lt;item&gt;11357&lt;/item&gt;&lt;item&gt;11358&lt;/item&gt;&lt;item&gt;11359&lt;/item&gt;&lt;item&gt;11361&lt;/item&gt;&lt;item&gt;11362&lt;/item&gt;&lt;item&gt;11363&lt;/item&gt;&lt;item&gt;11364&lt;/item&gt;&lt;item&gt;11365&lt;/item&gt;&lt;item&gt;11412&lt;/item&gt;&lt;item&gt;11421&lt;/item&gt;&lt;item&gt;11422&lt;/item&gt;&lt;item&gt;11424&lt;/item&gt;&lt;item&gt;11425&lt;/item&gt;&lt;/record-ids&gt;&lt;/item&gt;&lt;/Libraries&gt;"/>
  </w:docVars>
  <w:rsids>
    <w:rsidRoot w:val="00D26498"/>
    <w:rsid w:val="00002E94"/>
    <w:rsid w:val="00015EB4"/>
    <w:rsid w:val="00015FD3"/>
    <w:rsid w:val="00016F2E"/>
    <w:rsid w:val="00023071"/>
    <w:rsid w:val="00024779"/>
    <w:rsid w:val="000301A3"/>
    <w:rsid w:val="00043D7C"/>
    <w:rsid w:val="00050E3A"/>
    <w:rsid w:val="00051D05"/>
    <w:rsid w:val="00053C30"/>
    <w:rsid w:val="000643EA"/>
    <w:rsid w:val="00065D98"/>
    <w:rsid w:val="00070478"/>
    <w:rsid w:val="00071EBC"/>
    <w:rsid w:val="00071ECD"/>
    <w:rsid w:val="000763C3"/>
    <w:rsid w:val="00080A10"/>
    <w:rsid w:val="00081199"/>
    <w:rsid w:val="000811D7"/>
    <w:rsid w:val="00081A4B"/>
    <w:rsid w:val="00085E12"/>
    <w:rsid w:val="00090FE1"/>
    <w:rsid w:val="000941E9"/>
    <w:rsid w:val="00095682"/>
    <w:rsid w:val="000C13AB"/>
    <w:rsid w:val="000C14E0"/>
    <w:rsid w:val="000C492B"/>
    <w:rsid w:val="000D1B97"/>
    <w:rsid w:val="000D7218"/>
    <w:rsid w:val="000D7425"/>
    <w:rsid w:val="000E45DB"/>
    <w:rsid w:val="000F04F5"/>
    <w:rsid w:val="000F1467"/>
    <w:rsid w:val="000F29DC"/>
    <w:rsid w:val="000F4B61"/>
    <w:rsid w:val="000F7EE3"/>
    <w:rsid w:val="00112F91"/>
    <w:rsid w:val="001207E8"/>
    <w:rsid w:val="001241E8"/>
    <w:rsid w:val="00126BCF"/>
    <w:rsid w:val="00126BE0"/>
    <w:rsid w:val="00145236"/>
    <w:rsid w:val="00151608"/>
    <w:rsid w:val="0016016F"/>
    <w:rsid w:val="001641D0"/>
    <w:rsid w:val="00164D1A"/>
    <w:rsid w:val="00172DD2"/>
    <w:rsid w:val="00174B5A"/>
    <w:rsid w:val="0017661C"/>
    <w:rsid w:val="00191045"/>
    <w:rsid w:val="00192F59"/>
    <w:rsid w:val="0019409C"/>
    <w:rsid w:val="001A07AB"/>
    <w:rsid w:val="001B2183"/>
    <w:rsid w:val="001C41DB"/>
    <w:rsid w:val="001C550A"/>
    <w:rsid w:val="001E0BCA"/>
    <w:rsid w:val="001E10D3"/>
    <w:rsid w:val="001F3384"/>
    <w:rsid w:val="001F5980"/>
    <w:rsid w:val="002038FA"/>
    <w:rsid w:val="00206C31"/>
    <w:rsid w:val="00212A7C"/>
    <w:rsid w:val="00212C39"/>
    <w:rsid w:val="002154F9"/>
    <w:rsid w:val="00221CBC"/>
    <w:rsid w:val="002224A4"/>
    <w:rsid w:val="0022285C"/>
    <w:rsid w:val="00226FCC"/>
    <w:rsid w:val="00231D44"/>
    <w:rsid w:val="00243DAC"/>
    <w:rsid w:val="002526C2"/>
    <w:rsid w:val="002645B8"/>
    <w:rsid w:val="002739ED"/>
    <w:rsid w:val="00280D0B"/>
    <w:rsid w:val="00284F05"/>
    <w:rsid w:val="00286E7E"/>
    <w:rsid w:val="002A1D53"/>
    <w:rsid w:val="002A5CE8"/>
    <w:rsid w:val="002B65CA"/>
    <w:rsid w:val="002B7192"/>
    <w:rsid w:val="002C33BC"/>
    <w:rsid w:val="002C3A53"/>
    <w:rsid w:val="002C6986"/>
    <w:rsid w:val="002D0E97"/>
    <w:rsid w:val="002D38DD"/>
    <w:rsid w:val="002E0BAC"/>
    <w:rsid w:val="002E14CF"/>
    <w:rsid w:val="002F0A44"/>
    <w:rsid w:val="002F102C"/>
    <w:rsid w:val="002F2559"/>
    <w:rsid w:val="002F2748"/>
    <w:rsid w:val="002F454D"/>
    <w:rsid w:val="003053F9"/>
    <w:rsid w:val="00313444"/>
    <w:rsid w:val="00323DC1"/>
    <w:rsid w:val="0033151D"/>
    <w:rsid w:val="00335ADD"/>
    <w:rsid w:val="00341E17"/>
    <w:rsid w:val="00344556"/>
    <w:rsid w:val="003536A8"/>
    <w:rsid w:val="00353A8F"/>
    <w:rsid w:val="00357D90"/>
    <w:rsid w:val="00362B1E"/>
    <w:rsid w:val="003662A5"/>
    <w:rsid w:val="00370690"/>
    <w:rsid w:val="003725CD"/>
    <w:rsid w:val="003741FC"/>
    <w:rsid w:val="00383E12"/>
    <w:rsid w:val="00387E50"/>
    <w:rsid w:val="003A56EF"/>
    <w:rsid w:val="003A7402"/>
    <w:rsid w:val="003B3F40"/>
    <w:rsid w:val="003C1294"/>
    <w:rsid w:val="003C6012"/>
    <w:rsid w:val="003D64E3"/>
    <w:rsid w:val="003E01F2"/>
    <w:rsid w:val="003F46E5"/>
    <w:rsid w:val="003F53EC"/>
    <w:rsid w:val="003F5B4E"/>
    <w:rsid w:val="003F7F1E"/>
    <w:rsid w:val="00400F1A"/>
    <w:rsid w:val="00412A15"/>
    <w:rsid w:val="0041340A"/>
    <w:rsid w:val="004238C7"/>
    <w:rsid w:val="004310F0"/>
    <w:rsid w:val="00437C90"/>
    <w:rsid w:val="0045230E"/>
    <w:rsid w:val="00456DA4"/>
    <w:rsid w:val="00457065"/>
    <w:rsid w:val="0046084C"/>
    <w:rsid w:val="00465804"/>
    <w:rsid w:val="00486093"/>
    <w:rsid w:val="0048630E"/>
    <w:rsid w:val="00491F86"/>
    <w:rsid w:val="00496D59"/>
    <w:rsid w:val="00497941"/>
    <w:rsid w:val="004A18EE"/>
    <w:rsid w:val="004B14A6"/>
    <w:rsid w:val="004C0578"/>
    <w:rsid w:val="004C08CD"/>
    <w:rsid w:val="004C2377"/>
    <w:rsid w:val="004C5FEE"/>
    <w:rsid w:val="004C7918"/>
    <w:rsid w:val="004D52AA"/>
    <w:rsid w:val="004E49BA"/>
    <w:rsid w:val="004E59AC"/>
    <w:rsid w:val="004F356A"/>
    <w:rsid w:val="00501844"/>
    <w:rsid w:val="00502593"/>
    <w:rsid w:val="00504F10"/>
    <w:rsid w:val="005108AA"/>
    <w:rsid w:val="00520673"/>
    <w:rsid w:val="005209E3"/>
    <w:rsid w:val="005311A1"/>
    <w:rsid w:val="00535FF1"/>
    <w:rsid w:val="00546D52"/>
    <w:rsid w:val="00547E53"/>
    <w:rsid w:val="00552245"/>
    <w:rsid w:val="00554CE8"/>
    <w:rsid w:val="00555C07"/>
    <w:rsid w:val="005565CD"/>
    <w:rsid w:val="00557110"/>
    <w:rsid w:val="00557352"/>
    <w:rsid w:val="0056575F"/>
    <w:rsid w:val="00567631"/>
    <w:rsid w:val="00575B8B"/>
    <w:rsid w:val="00576CD4"/>
    <w:rsid w:val="00582805"/>
    <w:rsid w:val="00582E6C"/>
    <w:rsid w:val="00594DC3"/>
    <w:rsid w:val="0059502B"/>
    <w:rsid w:val="005A575A"/>
    <w:rsid w:val="005A6882"/>
    <w:rsid w:val="005B3B61"/>
    <w:rsid w:val="005C5BED"/>
    <w:rsid w:val="005C74DA"/>
    <w:rsid w:val="005C7C67"/>
    <w:rsid w:val="005D3863"/>
    <w:rsid w:val="005E18DE"/>
    <w:rsid w:val="005E24A5"/>
    <w:rsid w:val="005E316C"/>
    <w:rsid w:val="005F29B5"/>
    <w:rsid w:val="00601764"/>
    <w:rsid w:val="0062312B"/>
    <w:rsid w:val="00624C3B"/>
    <w:rsid w:val="0063738C"/>
    <w:rsid w:val="006412DE"/>
    <w:rsid w:val="00641435"/>
    <w:rsid w:val="00642C12"/>
    <w:rsid w:val="00651DEE"/>
    <w:rsid w:val="00662489"/>
    <w:rsid w:val="00662FAA"/>
    <w:rsid w:val="00667241"/>
    <w:rsid w:val="006746DC"/>
    <w:rsid w:val="00682051"/>
    <w:rsid w:val="006826BB"/>
    <w:rsid w:val="00682B4B"/>
    <w:rsid w:val="00694FEA"/>
    <w:rsid w:val="006A6C7A"/>
    <w:rsid w:val="006B17EA"/>
    <w:rsid w:val="006B528D"/>
    <w:rsid w:val="006B6AB5"/>
    <w:rsid w:val="006C52E2"/>
    <w:rsid w:val="006D352F"/>
    <w:rsid w:val="006D74CA"/>
    <w:rsid w:val="006D773E"/>
    <w:rsid w:val="006E62C6"/>
    <w:rsid w:val="006E68D8"/>
    <w:rsid w:val="006E7337"/>
    <w:rsid w:val="006F2006"/>
    <w:rsid w:val="006F6A2E"/>
    <w:rsid w:val="00702690"/>
    <w:rsid w:val="007034A8"/>
    <w:rsid w:val="00706F6E"/>
    <w:rsid w:val="0071619F"/>
    <w:rsid w:val="00720F22"/>
    <w:rsid w:val="0072430D"/>
    <w:rsid w:val="007307CE"/>
    <w:rsid w:val="00737C2D"/>
    <w:rsid w:val="007414DF"/>
    <w:rsid w:val="00742C3A"/>
    <w:rsid w:val="00744D35"/>
    <w:rsid w:val="00746E6C"/>
    <w:rsid w:val="00747492"/>
    <w:rsid w:val="00747E5D"/>
    <w:rsid w:val="007533BA"/>
    <w:rsid w:val="00762242"/>
    <w:rsid w:val="007644F4"/>
    <w:rsid w:val="007651D2"/>
    <w:rsid w:val="007721A8"/>
    <w:rsid w:val="00772D85"/>
    <w:rsid w:val="00781118"/>
    <w:rsid w:val="00784FF9"/>
    <w:rsid w:val="0079183E"/>
    <w:rsid w:val="0079231C"/>
    <w:rsid w:val="00794D49"/>
    <w:rsid w:val="007A086A"/>
    <w:rsid w:val="007A3A33"/>
    <w:rsid w:val="007A6F6F"/>
    <w:rsid w:val="007B67C8"/>
    <w:rsid w:val="007E31D1"/>
    <w:rsid w:val="007F465D"/>
    <w:rsid w:val="00800C8B"/>
    <w:rsid w:val="008014B0"/>
    <w:rsid w:val="00802891"/>
    <w:rsid w:val="00804518"/>
    <w:rsid w:val="008122B1"/>
    <w:rsid w:val="008158E5"/>
    <w:rsid w:val="00823374"/>
    <w:rsid w:val="00825917"/>
    <w:rsid w:val="00833D32"/>
    <w:rsid w:val="008343C2"/>
    <w:rsid w:val="00835888"/>
    <w:rsid w:val="008437B7"/>
    <w:rsid w:val="00867EFB"/>
    <w:rsid w:val="00870439"/>
    <w:rsid w:val="00885180"/>
    <w:rsid w:val="00886A5A"/>
    <w:rsid w:val="00894F90"/>
    <w:rsid w:val="008A2545"/>
    <w:rsid w:val="008B0833"/>
    <w:rsid w:val="008B1C2E"/>
    <w:rsid w:val="008B2804"/>
    <w:rsid w:val="008B4EE4"/>
    <w:rsid w:val="008C0C24"/>
    <w:rsid w:val="008C2C53"/>
    <w:rsid w:val="008D03B4"/>
    <w:rsid w:val="008D07F3"/>
    <w:rsid w:val="008D15A6"/>
    <w:rsid w:val="008F1BFC"/>
    <w:rsid w:val="008F1F51"/>
    <w:rsid w:val="008F5F32"/>
    <w:rsid w:val="00902C1B"/>
    <w:rsid w:val="00902F32"/>
    <w:rsid w:val="00911899"/>
    <w:rsid w:val="00911A2B"/>
    <w:rsid w:val="009256D4"/>
    <w:rsid w:val="0093207B"/>
    <w:rsid w:val="00934A74"/>
    <w:rsid w:val="0094074F"/>
    <w:rsid w:val="00943538"/>
    <w:rsid w:val="0095400F"/>
    <w:rsid w:val="00955BE7"/>
    <w:rsid w:val="00957195"/>
    <w:rsid w:val="009606C8"/>
    <w:rsid w:val="00961AAE"/>
    <w:rsid w:val="009645F4"/>
    <w:rsid w:val="009665DE"/>
    <w:rsid w:val="00980D87"/>
    <w:rsid w:val="009814DD"/>
    <w:rsid w:val="00981652"/>
    <w:rsid w:val="0099354F"/>
    <w:rsid w:val="009A0933"/>
    <w:rsid w:val="009A691B"/>
    <w:rsid w:val="009B0773"/>
    <w:rsid w:val="009B0CD8"/>
    <w:rsid w:val="009B5356"/>
    <w:rsid w:val="009B774D"/>
    <w:rsid w:val="009C40CB"/>
    <w:rsid w:val="009D3B60"/>
    <w:rsid w:val="009E3486"/>
    <w:rsid w:val="009E6F97"/>
    <w:rsid w:val="009F0B15"/>
    <w:rsid w:val="009F43E6"/>
    <w:rsid w:val="009F6019"/>
    <w:rsid w:val="009F7546"/>
    <w:rsid w:val="00A03C28"/>
    <w:rsid w:val="00A215E4"/>
    <w:rsid w:val="00A24DA1"/>
    <w:rsid w:val="00A323B0"/>
    <w:rsid w:val="00A37B23"/>
    <w:rsid w:val="00A45038"/>
    <w:rsid w:val="00A461C3"/>
    <w:rsid w:val="00A46327"/>
    <w:rsid w:val="00A47C10"/>
    <w:rsid w:val="00A517BA"/>
    <w:rsid w:val="00A55CC7"/>
    <w:rsid w:val="00A64532"/>
    <w:rsid w:val="00A67E29"/>
    <w:rsid w:val="00A702E3"/>
    <w:rsid w:val="00A723E6"/>
    <w:rsid w:val="00A752B7"/>
    <w:rsid w:val="00A759A5"/>
    <w:rsid w:val="00A82099"/>
    <w:rsid w:val="00A9343A"/>
    <w:rsid w:val="00A96956"/>
    <w:rsid w:val="00AA54CA"/>
    <w:rsid w:val="00AA587D"/>
    <w:rsid w:val="00AB3068"/>
    <w:rsid w:val="00AB521C"/>
    <w:rsid w:val="00AB5F65"/>
    <w:rsid w:val="00AC40EA"/>
    <w:rsid w:val="00AC6C87"/>
    <w:rsid w:val="00AD4DD1"/>
    <w:rsid w:val="00AD6C65"/>
    <w:rsid w:val="00AE1E36"/>
    <w:rsid w:val="00AE2C3D"/>
    <w:rsid w:val="00AE34DF"/>
    <w:rsid w:val="00AE41C2"/>
    <w:rsid w:val="00AF2F28"/>
    <w:rsid w:val="00AF39A8"/>
    <w:rsid w:val="00AF60F5"/>
    <w:rsid w:val="00AF6AF2"/>
    <w:rsid w:val="00B04A92"/>
    <w:rsid w:val="00B06136"/>
    <w:rsid w:val="00B31D45"/>
    <w:rsid w:val="00B43F5E"/>
    <w:rsid w:val="00B4401B"/>
    <w:rsid w:val="00B55C27"/>
    <w:rsid w:val="00B56E2C"/>
    <w:rsid w:val="00B614A9"/>
    <w:rsid w:val="00B6341B"/>
    <w:rsid w:val="00B66418"/>
    <w:rsid w:val="00B703E8"/>
    <w:rsid w:val="00B832D1"/>
    <w:rsid w:val="00BA3AA5"/>
    <w:rsid w:val="00BA51E5"/>
    <w:rsid w:val="00BB0405"/>
    <w:rsid w:val="00BB5427"/>
    <w:rsid w:val="00BC2654"/>
    <w:rsid w:val="00BC38C0"/>
    <w:rsid w:val="00BD0B33"/>
    <w:rsid w:val="00BD346F"/>
    <w:rsid w:val="00BD3B45"/>
    <w:rsid w:val="00BD41AF"/>
    <w:rsid w:val="00BE174D"/>
    <w:rsid w:val="00BE37CC"/>
    <w:rsid w:val="00BF0A45"/>
    <w:rsid w:val="00BF1862"/>
    <w:rsid w:val="00BF3664"/>
    <w:rsid w:val="00BF3B08"/>
    <w:rsid w:val="00C11DDD"/>
    <w:rsid w:val="00C27096"/>
    <w:rsid w:val="00C35E3B"/>
    <w:rsid w:val="00C51B46"/>
    <w:rsid w:val="00C5789F"/>
    <w:rsid w:val="00C63835"/>
    <w:rsid w:val="00C65F6F"/>
    <w:rsid w:val="00C715FB"/>
    <w:rsid w:val="00C73C23"/>
    <w:rsid w:val="00C7717B"/>
    <w:rsid w:val="00C807E1"/>
    <w:rsid w:val="00C93E94"/>
    <w:rsid w:val="00C9526A"/>
    <w:rsid w:val="00CA01BF"/>
    <w:rsid w:val="00CA34DE"/>
    <w:rsid w:val="00CA3DFB"/>
    <w:rsid w:val="00CA6517"/>
    <w:rsid w:val="00CB49BD"/>
    <w:rsid w:val="00CB6D2E"/>
    <w:rsid w:val="00CC5C0B"/>
    <w:rsid w:val="00CC74BF"/>
    <w:rsid w:val="00CD4FDD"/>
    <w:rsid w:val="00CE21F9"/>
    <w:rsid w:val="00CE584C"/>
    <w:rsid w:val="00CF29D4"/>
    <w:rsid w:val="00CF3690"/>
    <w:rsid w:val="00D119C6"/>
    <w:rsid w:val="00D16AF9"/>
    <w:rsid w:val="00D2016C"/>
    <w:rsid w:val="00D26137"/>
    <w:rsid w:val="00D26498"/>
    <w:rsid w:val="00D419DE"/>
    <w:rsid w:val="00D42415"/>
    <w:rsid w:val="00D47336"/>
    <w:rsid w:val="00D50D15"/>
    <w:rsid w:val="00D6600A"/>
    <w:rsid w:val="00D700C6"/>
    <w:rsid w:val="00D7793C"/>
    <w:rsid w:val="00D914E8"/>
    <w:rsid w:val="00D95329"/>
    <w:rsid w:val="00D962A1"/>
    <w:rsid w:val="00DA2C03"/>
    <w:rsid w:val="00DB5099"/>
    <w:rsid w:val="00DC0452"/>
    <w:rsid w:val="00DC5760"/>
    <w:rsid w:val="00DC6EF8"/>
    <w:rsid w:val="00DD268C"/>
    <w:rsid w:val="00DE088D"/>
    <w:rsid w:val="00DE4D90"/>
    <w:rsid w:val="00DE5780"/>
    <w:rsid w:val="00DF031F"/>
    <w:rsid w:val="00DF7029"/>
    <w:rsid w:val="00E054A3"/>
    <w:rsid w:val="00E1788B"/>
    <w:rsid w:val="00E25757"/>
    <w:rsid w:val="00E26D4C"/>
    <w:rsid w:val="00E3111E"/>
    <w:rsid w:val="00E37DA0"/>
    <w:rsid w:val="00E4026A"/>
    <w:rsid w:val="00E5366D"/>
    <w:rsid w:val="00E56ED8"/>
    <w:rsid w:val="00E627CD"/>
    <w:rsid w:val="00E72A4F"/>
    <w:rsid w:val="00E80C02"/>
    <w:rsid w:val="00E8538B"/>
    <w:rsid w:val="00E86941"/>
    <w:rsid w:val="00E87E55"/>
    <w:rsid w:val="00E91172"/>
    <w:rsid w:val="00E93C70"/>
    <w:rsid w:val="00E93D10"/>
    <w:rsid w:val="00E97365"/>
    <w:rsid w:val="00EB5BFE"/>
    <w:rsid w:val="00EC5E43"/>
    <w:rsid w:val="00EE3C23"/>
    <w:rsid w:val="00EE6B6B"/>
    <w:rsid w:val="00EF6579"/>
    <w:rsid w:val="00F02FBA"/>
    <w:rsid w:val="00F12CB9"/>
    <w:rsid w:val="00F13008"/>
    <w:rsid w:val="00F13253"/>
    <w:rsid w:val="00F143EA"/>
    <w:rsid w:val="00F2731F"/>
    <w:rsid w:val="00F32094"/>
    <w:rsid w:val="00F347C9"/>
    <w:rsid w:val="00F34F6B"/>
    <w:rsid w:val="00F358CE"/>
    <w:rsid w:val="00F36742"/>
    <w:rsid w:val="00F4146B"/>
    <w:rsid w:val="00F45C5F"/>
    <w:rsid w:val="00F52AF0"/>
    <w:rsid w:val="00F56B2A"/>
    <w:rsid w:val="00F56F87"/>
    <w:rsid w:val="00F65F24"/>
    <w:rsid w:val="00F667DE"/>
    <w:rsid w:val="00F66AB9"/>
    <w:rsid w:val="00F74451"/>
    <w:rsid w:val="00F845E9"/>
    <w:rsid w:val="00F9046F"/>
    <w:rsid w:val="00FA51B6"/>
    <w:rsid w:val="00FA6768"/>
    <w:rsid w:val="00FB2F49"/>
    <w:rsid w:val="00FB7959"/>
    <w:rsid w:val="00FC06DA"/>
    <w:rsid w:val="00FC5757"/>
    <w:rsid w:val="00FC6896"/>
    <w:rsid w:val="00FD1303"/>
    <w:rsid w:val="00FE75AF"/>
    <w:rsid w:val="00FE7691"/>
    <w:rsid w:val="00FF222F"/>
    <w:rsid w:val="00FF25B2"/>
    <w:rsid w:val="00FF7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E9CA82"/>
  <w15:chartTrackingRefBased/>
  <w15:docId w15:val="{B3745A21-B4CE-43A1-93EE-744A93234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099"/>
    <w:rPr>
      <w:rFonts w:ascii="Times New Roman" w:hAnsi="Times New Roman"/>
    </w:rPr>
  </w:style>
  <w:style w:type="paragraph" w:styleId="Heading1">
    <w:name w:val="heading 1"/>
    <w:basedOn w:val="Normal"/>
    <w:next w:val="Normal"/>
    <w:link w:val="Heading1Char"/>
    <w:uiPriority w:val="9"/>
    <w:qFormat/>
    <w:rsid w:val="00D264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64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649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649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2649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2649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2649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2649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2649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4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64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64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64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64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64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4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4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498"/>
    <w:rPr>
      <w:rFonts w:eastAsiaTheme="majorEastAsia" w:cstheme="majorBidi"/>
      <w:color w:val="272727" w:themeColor="text1" w:themeTint="D8"/>
    </w:rPr>
  </w:style>
  <w:style w:type="paragraph" w:styleId="Title">
    <w:name w:val="Title"/>
    <w:basedOn w:val="Normal"/>
    <w:next w:val="Normal"/>
    <w:link w:val="TitleChar"/>
    <w:uiPriority w:val="10"/>
    <w:qFormat/>
    <w:rsid w:val="00D264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4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49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4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498"/>
    <w:pPr>
      <w:spacing w:before="160"/>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26498"/>
    <w:rPr>
      <w:i/>
      <w:iCs/>
      <w:color w:val="404040" w:themeColor="text1" w:themeTint="BF"/>
    </w:rPr>
  </w:style>
  <w:style w:type="paragraph" w:styleId="ListParagraph">
    <w:name w:val="List Paragraph"/>
    <w:basedOn w:val="Normal"/>
    <w:uiPriority w:val="34"/>
    <w:qFormat/>
    <w:rsid w:val="00D26498"/>
    <w:pPr>
      <w:ind w:left="720"/>
      <w:contextualSpacing/>
    </w:pPr>
    <w:rPr>
      <w:rFonts w:asciiTheme="minorHAnsi" w:hAnsiTheme="minorHAnsi"/>
    </w:rPr>
  </w:style>
  <w:style w:type="character" w:styleId="IntenseEmphasis">
    <w:name w:val="Intense Emphasis"/>
    <w:basedOn w:val="DefaultParagraphFont"/>
    <w:uiPriority w:val="21"/>
    <w:qFormat/>
    <w:rsid w:val="00D26498"/>
    <w:rPr>
      <w:i/>
      <w:iCs/>
      <w:color w:val="0F4761" w:themeColor="accent1" w:themeShade="BF"/>
    </w:rPr>
  </w:style>
  <w:style w:type="paragraph" w:styleId="IntenseQuote">
    <w:name w:val="Intense Quote"/>
    <w:basedOn w:val="Normal"/>
    <w:next w:val="Normal"/>
    <w:link w:val="IntenseQuoteChar"/>
    <w:uiPriority w:val="30"/>
    <w:qFormat/>
    <w:rsid w:val="00D2649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i/>
      <w:iCs/>
      <w:color w:val="0F4761" w:themeColor="accent1" w:themeShade="BF"/>
    </w:rPr>
  </w:style>
  <w:style w:type="character" w:customStyle="1" w:styleId="IntenseQuoteChar">
    <w:name w:val="Intense Quote Char"/>
    <w:basedOn w:val="DefaultParagraphFont"/>
    <w:link w:val="IntenseQuote"/>
    <w:uiPriority w:val="30"/>
    <w:rsid w:val="00D26498"/>
    <w:rPr>
      <w:i/>
      <w:iCs/>
      <w:color w:val="0F4761" w:themeColor="accent1" w:themeShade="BF"/>
    </w:rPr>
  </w:style>
  <w:style w:type="character" w:styleId="IntenseReference">
    <w:name w:val="Intense Reference"/>
    <w:basedOn w:val="DefaultParagraphFont"/>
    <w:uiPriority w:val="32"/>
    <w:qFormat/>
    <w:rsid w:val="00D26498"/>
    <w:rPr>
      <w:b/>
      <w:bCs/>
      <w:smallCaps/>
      <w:color w:val="0F4761" w:themeColor="accent1" w:themeShade="BF"/>
      <w:spacing w:val="5"/>
    </w:rPr>
  </w:style>
  <w:style w:type="paragraph" w:styleId="NoSpacing">
    <w:name w:val="No Spacing"/>
    <w:link w:val="NoSpacingChar"/>
    <w:uiPriority w:val="1"/>
    <w:qFormat/>
    <w:rsid w:val="00DB5099"/>
    <w:pPr>
      <w:spacing w:after="0" w:line="240" w:lineRule="auto"/>
    </w:pPr>
    <w:rPr>
      <w:rFonts w:ascii="Times New Roman" w:hAnsi="Times New Roman"/>
    </w:rPr>
  </w:style>
  <w:style w:type="paragraph" w:customStyle="1" w:styleId="EndNoteBibliographyTitle">
    <w:name w:val="EndNote Bibliography Title"/>
    <w:basedOn w:val="Normal"/>
    <w:link w:val="EndNoteBibliographyTitleChar"/>
    <w:rsid w:val="00DB5099"/>
    <w:pPr>
      <w:spacing w:after="0"/>
      <w:jc w:val="center"/>
    </w:pPr>
    <w:rPr>
      <w:rFonts w:cs="Times New Roman"/>
      <w:noProof/>
    </w:rPr>
  </w:style>
  <w:style w:type="character" w:customStyle="1" w:styleId="NoSpacingChar">
    <w:name w:val="No Spacing Char"/>
    <w:basedOn w:val="DefaultParagraphFont"/>
    <w:link w:val="NoSpacing"/>
    <w:uiPriority w:val="1"/>
    <w:rsid w:val="00DB5099"/>
    <w:rPr>
      <w:rFonts w:ascii="Times New Roman" w:hAnsi="Times New Roman"/>
    </w:rPr>
  </w:style>
  <w:style w:type="character" w:customStyle="1" w:styleId="EndNoteBibliographyTitleChar">
    <w:name w:val="EndNote Bibliography Title Char"/>
    <w:basedOn w:val="NoSpacingChar"/>
    <w:link w:val="EndNoteBibliographyTitle"/>
    <w:rsid w:val="00DB5099"/>
    <w:rPr>
      <w:rFonts w:ascii="Times New Roman" w:hAnsi="Times New Roman" w:cs="Times New Roman"/>
      <w:noProof/>
    </w:rPr>
  </w:style>
  <w:style w:type="paragraph" w:customStyle="1" w:styleId="EndNoteBibliography">
    <w:name w:val="EndNote Bibliography"/>
    <w:basedOn w:val="Normal"/>
    <w:link w:val="EndNoteBibliographyChar"/>
    <w:rsid w:val="00DB5099"/>
    <w:pPr>
      <w:spacing w:line="240" w:lineRule="auto"/>
      <w:jc w:val="both"/>
    </w:pPr>
    <w:rPr>
      <w:rFonts w:cs="Times New Roman"/>
      <w:noProof/>
    </w:rPr>
  </w:style>
  <w:style w:type="character" w:customStyle="1" w:styleId="EndNoteBibliographyChar">
    <w:name w:val="EndNote Bibliography Char"/>
    <w:basedOn w:val="NoSpacingChar"/>
    <w:link w:val="EndNoteBibliography"/>
    <w:rsid w:val="00DB5099"/>
    <w:rPr>
      <w:rFonts w:ascii="Times New Roman" w:hAnsi="Times New Roman" w:cs="Times New Roman"/>
      <w:noProof/>
    </w:rPr>
  </w:style>
  <w:style w:type="character" w:styleId="Hyperlink">
    <w:name w:val="Hyperlink"/>
    <w:basedOn w:val="DefaultParagraphFont"/>
    <w:uiPriority w:val="99"/>
    <w:unhideWhenUsed/>
    <w:rsid w:val="00DB5099"/>
    <w:rPr>
      <w:color w:val="467886" w:themeColor="hyperlink"/>
      <w:u w:val="single"/>
    </w:rPr>
  </w:style>
  <w:style w:type="character" w:styleId="UnresolvedMention">
    <w:name w:val="Unresolved Mention"/>
    <w:basedOn w:val="DefaultParagraphFont"/>
    <w:uiPriority w:val="99"/>
    <w:semiHidden/>
    <w:unhideWhenUsed/>
    <w:rsid w:val="00DB5099"/>
    <w:rPr>
      <w:color w:val="605E5C"/>
      <w:shd w:val="clear" w:color="auto" w:fill="E1DFDD"/>
    </w:rPr>
  </w:style>
  <w:style w:type="paragraph" w:styleId="Header">
    <w:name w:val="header"/>
    <w:basedOn w:val="Normal"/>
    <w:link w:val="HeaderChar"/>
    <w:uiPriority w:val="99"/>
    <w:unhideWhenUsed/>
    <w:rsid w:val="00DB5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099"/>
    <w:rPr>
      <w:rFonts w:ascii="Times New Roman" w:hAnsi="Times New Roman"/>
    </w:rPr>
  </w:style>
  <w:style w:type="paragraph" w:styleId="Footer">
    <w:name w:val="footer"/>
    <w:basedOn w:val="Normal"/>
    <w:link w:val="FooterChar"/>
    <w:uiPriority w:val="99"/>
    <w:unhideWhenUsed/>
    <w:rsid w:val="00DB5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099"/>
    <w:rPr>
      <w:rFonts w:ascii="Times New Roman" w:hAnsi="Times New Roman"/>
    </w:rPr>
  </w:style>
  <w:style w:type="character" w:styleId="PlaceholderText">
    <w:name w:val="Placeholder Text"/>
    <w:basedOn w:val="DefaultParagraphFont"/>
    <w:uiPriority w:val="99"/>
    <w:semiHidden/>
    <w:rsid w:val="00DB5099"/>
    <w:rPr>
      <w:color w:val="666666"/>
    </w:rPr>
  </w:style>
  <w:style w:type="character" w:styleId="Strong">
    <w:name w:val="Strong"/>
    <w:basedOn w:val="DefaultParagraphFont"/>
    <w:uiPriority w:val="22"/>
    <w:qFormat/>
    <w:rsid w:val="00E87E55"/>
    <w:rPr>
      <w:b/>
      <w:bCs/>
    </w:rPr>
  </w:style>
  <w:style w:type="character" w:styleId="Emphasis">
    <w:name w:val="Emphasis"/>
    <w:basedOn w:val="DefaultParagraphFont"/>
    <w:uiPriority w:val="20"/>
    <w:qFormat/>
    <w:rsid w:val="00E87E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cs.sdv.dev/sdmetrics/data-metrics/privacy/dcroverfittingprotection" TargetMode="External"/><Relationship Id="rId3" Type="http://schemas.openxmlformats.org/officeDocument/2006/relationships/settings" Target="settings.xml"/><Relationship Id="rId21" Type="http://schemas.openxmlformats.org/officeDocument/2006/relationships/hyperlink" Target="https://www12.statcan.gc.ca/census-recensement/2021/ref/dict/az/definition-eng.cfm?ID=geo021"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cs.sdv.dev/sdmetrics/data-metrics/privacy/disclosureprotectionestimat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scikit-learn.org/stable/auto_examples/applications/plot_cyclical_feature_engineering.html?utm_source=chatgpt.com" TargetMode="External"/><Relationship Id="rId29" Type="http://schemas.openxmlformats.org/officeDocument/2006/relationships/hyperlink" Target="https://docs.scipy.org/doc/scipy/reference/generated/scipy.spatial.distance.jaccard.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sdv.dev/sdmetrics" TargetMode="External"/><Relationship Id="rId24" Type="http://schemas.openxmlformats.org/officeDocument/2006/relationships/hyperlink" Target="https://www.ontariohealthprofiles.ca/onmargON.php"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pro.arcgis.com/en/pro-app/tool-reference/spatial-statistics/h-how-cluster-and-outlier-analysis-anselin-local-m.htm" TargetMode="External"/><Relationship Id="rId28" Type="http://schemas.openxmlformats.org/officeDocument/2006/relationships/hyperlink" Target="https://docs.sdv.dev/sdv/single-table-data/modeling/synthesizers/gaussiancopulasynthesizer" TargetMode="External"/><Relationship Id="rId10" Type="http://schemas.openxmlformats.org/officeDocument/2006/relationships/image" Target="media/image3.png"/><Relationship Id="rId19" Type="http://schemas.openxmlformats.org/officeDocument/2006/relationships/hyperlink" Target="https://data.torontopolice.on.ca/pages/open-data"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geodacenter.github.io/workbook/5a_global_auto/lab5a.html" TargetMode="External"/><Relationship Id="rId27" Type="http://schemas.openxmlformats.org/officeDocument/2006/relationships/hyperlink" Target="https://docs.sdv.dev/sdmetrics/data-metrics/privacy/dcrbaselineprotection" TargetMode="External"/><Relationship Id="rId30" Type="http://schemas.openxmlformats.org/officeDocument/2006/relationships/hyperlink" Target="https://www.ibm.com/think/topics/jaccard-similarity" TargetMode="External"/><Relationship Id="rId8" Type="http://schemas.openxmlformats.org/officeDocument/2006/relationships/hyperlink" Target="https://geopandas.org/en/s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9ee03e0-b78c-4998-8bf4-79b266b85105}" enabled="1" method="Standard" siteId="{723a5a87-f39a-4a22-9247-3fc240c01396}" contentBits="0" removed="0"/>
</clbl:labelList>
</file>

<file path=docProps/app.xml><?xml version="1.0" encoding="utf-8"?>
<Properties xmlns="http://schemas.openxmlformats.org/officeDocument/2006/extended-properties" xmlns:vt="http://schemas.openxmlformats.org/officeDocument/2006/docPropsVTypes">
  <Template>Normal.dotm</Template>
  <TotalTime>605</TotalTime>
  <Pages>26</Pages>
  <Words>14204</Words>
  <Characters>80964</Characters>
  <Application>Microsoft Office Word</Application>
  <DocSecurity>0</DocSecurity>
  <Lines>674</Lines>
  <Paragraphs>189</Paragraphs>
  <ScaleCrop>false</ScaleCrop>
  <Company/>
  <LinksUpToDate>false</LinksUpToDate>
  <CharactersWithSpaces>94979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 Yousuf Md Abdullah</dc:creator>
  <cp:keywords/>
  <dc:description/>
  <cp:lastModifiedBy>Abu Yousuf Md Abdullah</cp:lastModifiedBy>
  <cp:revision>440</cp:revision>
  <dcterms:created xsi:type="dcterms:W3CDTF">2025-11-22T19:49:00Z</dcterms:created>
  <dcterms:modified xsi:type="dcterms:W3CDTF">2026-04-26T02:02:00Z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23297a5e-3080-424f-913f-6babdfd04b72</vt:lpwstr>
  </property>
</Properties>
</file>