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C79ADB">
      <w:pPr>
        <w:widowControl/>
        <w:spacing w:after="200" w:line="276" w:lineRule="auto"/>
        <w:jc w:val="center"/>
        <w:rPr>
          <w:rFonts w:ascii="Times New Roman" w:hAnsi="Times New Roman" w:eastAsia="宋体" w:cs="Times New Roman"/>
          <w:kern w:val="0"/>
          <w:sz w:val="20"/>
          <w:szCs w:val="22"/>
          <w:lang w:eastAsia="en-US"/>
        </w:rPr>
      </w:pPr>
      <w:r>
        <w:rPr>
          <w:rFonts w:ascii="Times New Roman" w:hAnsi="Times New Roman" w:eastAsia="宋体" w:cs="Times New Roman"/>
          <w:b/>
          <w:kern w:val="0"/>
          <w:sz w:val="28"/>
          <w:szCs w:val="22"/>
          <w:lang w:eastAsia="en-US"/>
        </w:rPr>
        <w:t>Online Resource 2</w:t>
      </w:r>
    </w:p>
    <w:p w14:paraId="12F042ED">
      <w:pPr>
        <w:widowControl/>
        <w:spacing w:after="200" w:line="276" w:lineRule="auto"/>
        <w:jc w:val="center"/>
        <w:rPr>
          <w:rFonts w:ascii="Times New Roman" w:hAnsi="Times New Roman" w:eastAsia="宋体" w:cs="Times New Roman"/>
          <w:kern w:val="0"/>
          <w:sz w:val="20"/>
          <w:szCs w:val="22"/>
          <w:lang w:eastAsia="en-US"/>
        </w:rPr>
      </w:pPr>
      <w:r>
        <w:rPr>
          <w:rFonts w:ascii="Times New Roman" w:hAnsi="Times New Roman" w:eastAsia="宋体" w:cs="Times New Roman"/>
          <w:b/>
          <w:kern w:val="0"/>
          <w:sz w:val="24"/>
          <w:szCs w:val="22"/>
          <w:lang w:eastAsia="en-US"/>
        </w:rPr>
        <w:t>HarvestField: A Decision-Support Framework for Robot-Oriented Kiwifruit Canopy Management Using Spatial Harvestability Modelling</w:t>
      </w:r>
    </w:p>
    <w:p w14:paraId="04A07DCD">
      <w:pPr>
        <w:widowControl/>
        <w:spacing w:after="200" w:line="276" w:lineRule="auto"/>
        <w:jc w:val="center"/>
        <w:rPr>
          <w:rFonts w:ascii="Times New Roman" w:hAnsi="Times New Roman" w:eastAsia="宋体" w:cs="Times New Roman"/>
          <w:kern w:val="0"/>
          <w:sz w:val="20"/>
          <w:szCs w:val="22"/>
          <w:lang w:eastAsia="en-US"/>
        </w:rPr>
      </w:pPr>
      <w:r>
        <w:rPr>
          <w:rFonts w:ascii="Times New Roman" w:hAnsi="Times New Roman" w:eastAsia="宋体" w:cs="Times New Roman"/>
          <w:i/>
          <w:kern w:val="0"/>
          <w:sz w:val="20"/>
          <w:szCs w:val="22"/>
          <w:lang w:eastAsia="en-US"/>
        </w:rPr>
        <w:t>Journal of Biosystems Engineering</w:t>
      </w:r>
    </w:p>
    <w:p w14:paraId="6C490F18">
      <w:pPr>
        <w:widowControl/>
        <w:spacing w:after="200" w:line="276" w:lineRule="auto"/>
        <w:jc w:val="left"/>
        <w:rPr>
          <w:rFonts w:ascii="Times New Roman" w:hAnsi="Times New Roman" w:eastAsia="宋体" w:cs="Times New Roman"/>
          <w:kern w:val="0"/>
          <w:sz w:val="20"/>
          <w:szCs w:val="22"/>
          <w:lang w:eastAsia="en-US"/>
        </w:rPr>
      </w:pPr>
      <w:r>
        <w:rPr>
          <w:rFonts w:ascii="Times New Roman" w:hAnsi="Times New Roman" w:eastAsia="宋体" w:cs="Times New Roman"/>
          <w:b/>
          <w:kern w:val="0"/>
          <w:sz w:val="20"/>
          <w:szCs w:val="22"/>
          <w:lang w:eastAsia="en-US"/>
        </w:rPr>
        <w:t xml:space="preserve">Caption. </w:t>
      </w:r>
      <w:r>
        <w:rPr>
          <w:rFonts w:ascii="Times New Roman" w:hAnsi="Times New Roman" w:eastAsia="宋体" w:cs="Times New Roman"/>
          <w:kern w:val="0"/>
          <w:sz w:val="20"/>
          <w:szCs w:val="22"/>
          <w:lang w:eastAsia="en-US"/>
        </w:rPr>
        <w:t>Experimental protocol and parameter settings used for HarvestField simulation, calibration, optimisation, ablation, and statistical analysis.</w:t>
      </w:r>
    </w:p>
    <w:p w14:paraId="2ED641FD">
      <w:pPr>
        <w:widowControl/>
        <w:spacing w:after="200" w:line="276" w:lineRule="auto"/>
        <w:jc w:val="left"/>
        <w:rPr>
          <w:rFonts w:ascii="Times New Roman" w:hAnsi="Times New Roman" w:eastAsia="宋体" w:cs="Times New Roman"/>
          <w:kern w:val="0"/>
          <w:sz w:val="20"/>
          <w:szCs w:val="22"/>
          <w:lang w:eastAsia="en-US"/>
        </w:rPr>
      </w:pPr>
    </w:p>
    <w:p w14:paraId="641D646E">
      <w:pPr>
        <w:keepNext/>
        <w:keepLines/>
        <w:spacing w:before="480" w:after="0" w:line="276" w:lineRule="auto"/>
        <w:jc w:val="both"/>
        <w:outlineLvl w:val="0"/>
        <w:rPr>
          <w:rFonts w:ascii="Calibri" w:hAnsi="Calibri" w:eastAsia="宋体" w:cs="Times New Roman"/>
          <w:b/>
          <w:bCs/>
          <w:color w:val="366091"/>
          <w:sz w:val="24"/>
          <w:szCs w:val="28"/>
          <w:lang w:val="en-US" w:eastAsia="en-US" w:bidi="ar-SA"/>
        </w:rPr>
      </w:pPr>
      <w:r>
        <w:rPr>
          <w:rFonts w:ascii="Times New Roman" w:hAnsi="Times New Roman" w:eastAsia="宋体" w:cs="Times New Roman"/>
          <w:b/>
          <w:bCs/>
          <w:color w:val="366091"/>
          <w:sz w:val="20"/>
          <w:szCs w:val="28"/>
          <w:lang w:val="en-US" w:eastAsia="en-US" w:bidi="ar-SA"/>
        </w:rPr>
        <w:t>1. Study unit and workflow</w:t>
      </w:r>
    </w:p>
    <w:p w14:paraId="02530489">
      <w:pPr>
        <w:widowControl/>
        <w:spacing w:after="200" w:line="276" w:lineRule="auto"/>
        <w:jc w:val="both"/>
        <w:rPr>
          <w:rFonts w:ascii="Times New Roman" w:hAnsi="Times New Roman" w:eastAsia="宋体" w:cs="Times New Roman"/>
          <w:kern w:val="0"/>
          <w:sz w:val="20"/>
          <w:szCs w:val="22"/>
          <w:lang w:eastAsia="en-US"/>
        </w:rPr>
      </w:pPr>
      <w:r>
        <w:rPr>
          <w:rFonts w:ascii="Times New Roman" w:hAnsi="Times New Roman" w:eastAsia="宋体" w:cs="Times New Roman"/>
          <w:kern w:val="0"/>
          <w:sz w:val="20"/>
          <w:szCs w:val="22"/>
          <w:lang w:eastAsia="en-US"/>
        </w:rPr>
        <w:t>The experimental unit was one representative New Zealand-style kiwifruit bay at harvest time. Each candidate management vector was translated into phenologically ordered actions, simulated to harvest time using the FSPM, evaluated by spatial harvestability fields, and scored by HYI, yield proxy, and labour-cost proxy. All stochastic experiments were repeated with independent random seeds where applicable.</w:t>
      </w:r>
    </w:p>
    <w:p w14:paraId="7B11AA7B">
      <w:pPr>
        <w:keepNext/>
        <w:keepLines/>
        <w:spacing w:before="480" w:after="0" w:line="276" w:lineRule="auto"/>
        <w:jc w:val="both"/>
        <w:outlineLvl w:val="0"/>
        <w:rPr>
          <w:rFonts w:ascii="Calibri" w:hAnsi="Calibri" w:eastAsia="宋体" w:cs="Times New Roman"/>
          <w:b/>
          <w:bCs/>
          <w:color w:val="366091"/>
          <w:sz w:val="24"/>
          <w:szCs w:val="28"/>
          <w:lang w:val="en-US" w:eastAsia="en-US" w:bidi="ar-SA"/>
        </w:rPr>
      </w:pPr>
      <w:r>
        <w:rPr>
          <w:rFonts w:ascii="Times New Roman" w:hAnsi="Times New Roman" w:eastAsia="宋体" w:cs="Times New Roman"/>
          <w:b/>
          <w:bCs/>
          <w:color w:val="366091"/>
          <w:sz w:val="20"/>
          <w:szCs w:val="28"/>
          <w:lang w:val="en-US" w:eastAsia="en-US" w:bidi="ar-SA"/>
        </w:rPr>
        <w:t>2. Management decision variables</w:t>
      </w:r>
    </w:p>
    <w:tbl>
      <w:tblPr>
        <w:tblStyle w:val="3"/>
        <w:tblW w:w="4997" w:type="pct"/>
        <w:jc w:val="center"/>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Layout w:type="autofit"/>
        <w:tblCellMar>
          <w:top w:w="0" w:type="dxa"/>
          <w:left w:w="108" w:type="dxa"/>
          <w:bottom w:w="0" w:type="dxa"/>
          <w:right w:w="108" w:type="dxa"/>
        </w:tblCellMar>
      </w:tblPr>
      <w:tblGrid>
        <w:gridCol w:w="3901"/>
        <w:gridCol w:w="900"/>
        <w:gridCol w:w="1601"/>
        <w:gridCol w:w="1567"/>
        <w:gridCol w:w="1601"/>
      </w:tblGrid>
      <w:tr w14:paraId="71577C70">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2037" w:type="pct"/>
            <w:tcBorders>
              <w:top w:val="single" w:color="000000" w:sz="12" w:space="0"/>
              <w:bottom w:val="single" w:color="000000" w:sz="4" w:space="0"/>
              <w:tl2br w:val="nil"/>
            </w:tcBorders>
            <w:shd w:val="clear" w:color="auto" w:fill="FFFFFF"/>
            <w:vAlign w:val="center"/>
          </w:tcPr>
          <w:p w14:paraId="74452189">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Variable</w:t>
            </w:r>
          </w:p>
        </w:tc>
        <w:tc>
          <w:tcPr>
            <w:tcW w:w="470" w:type="pct"/>
            <w:tcBorders>
              <w:top w:val="single" w:color="000000" w:sz="12" w:space="0"/>
              <w:bottom w:val="single" w:color="000000" w:sz="4" w:space="0"/>
            </w:tcBorders>
            <w:shd w:val="clear" w:color="auto" w:fill="FFFFFF"/>
            <w:vAlign w:val="center"/>
          </w:tcPr>
          <w:p w14:paraId="714DF5B0">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Symbol</w:t>
            </w:r>
          </w:p>
        </w:tc>
        <w:tc>
          <w:tcPr>
            <w:tcW w:w="836" w:type="pct"/>
            <w:tcBorders>
              <w:top w:val="single" w:color="000000" w:sz="12" w:space="0"/>
              <w:bottom w:val="single" w:color="000000" w:sz="4" w:space="0"/>
            </w:tcBorders>
            <w:shd w:val="clear" w:color="auto" w:fill="FFFFFF"/>
            <w:vAlign w:val="center"/>
          </w:tcPr>
          <w:p w14:paraId="40BFFDC7">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Reference value</w:t>
            </w:r>
          </w:p>
        </w:tc>
        <w:tc>
          <w:tcPr>
            <w:tcW w:w="818" w:type="pct"/>
            <w:tcBorders>
              <w:top w:val="single" w:color="000000" w:sz="12" w:space="0"/>
              <w:bottom w:val="single" w:color="000000" w:sz="4" w:space="0"/>
            </w:tcBorders>
            <w:shd w:val="clear" w:color="auto" w:fill="FFFFFF"/>
            <w:vAlign w:val="center"/>
          </w:tcPr>
          <w:p w14:paraId="2559DD53">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Bounds</w:t>
            </w:r>
          </w:p>
        </w:tc>
        <w:tc>
          <w:tcPr>
            <w:tcW w:w="836" w:type="pct"/>
            <w:tcBorders>
              <w:top w:val="single" w:color="000000" w:sz="12" w:space="0"/>
              <w:bottom w:val="single" w:color="000000" w:sz="4" w:space="0"/>
            </w:tcBorders>
            <w:shd w:val="clear" w:color="auto" w:fill="FFFFFF"/>
            <w:vAlign w:val="center"/>
          </w:tcPr>
          <w:p w14:paraId="0C3F9F0E">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Operation</w:t>
            </w:r>
          </w:p>
        </w:tc>
      </w:tr>
      <w:tr w14:paraId="42C7D026">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2037" w:type="pct"/>
            <w:tcBorders>
              <w:top w:val="single" w:color="000000" w:sz="4" w:space="0"/>
              <w:bottom w:val="nil"/>
            </w:tcBorders>
            <w:shd w:val="clear" w:color="auto" w:fill="FFFFFF"/>
            <w:vAlign w:val="center"/>
          </w:tcPr>
          <w:p w14:paraId="72F5EE12">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Cane spacing</w:t>
            </w:r>
          </w:p>
        </w:tc>
        <w:tc>
          <w:tcPr>
            <w:tcW w:w="470" w:type="pct"/>
            <w:tcBorders>
              <w:top w:val="single" w:color="000000" w:sz="4" w:space="0"/>
              <w:bottom w:val="nil"/>
            </w:tcBorders>
            <w:shd w:val="clear" w:color="auto" w:fill="FFFFFF"/>
            <w:vAlign w:val="center"/>
          </w:tcPr>
          <w:p w14:paraId="487C0B45">
            <w:pPr>
              <w:widowControl/>
              <w:spacing w:after="0" w:line="240" w:lineRule="auto"/>
              <w:jc w:val="both"/>
              <w:rPr>
                <w:rFonts w:ascii="Times New Roman" w:hAnsi="Times New Roman" w:eastAsia="宋体" w:cs="Times New Roman"/>
                <w:b w:val="0"/>
                <w:color w:val="000000"/>
                <w:kern w:val="0"/>
                <w:sz w:val="20"/>
                <w:szCs w:val="22"/>
                <w:lang w:eastAsia="en-US"/>
              </w:rPr>
            </w:pPr>
            <m:oMathPara>
              <m:oMath>
                <m:sSub>
                  <m:sSubPr>
                    <m:ctrlPr>
                      <w:rPr>
                        <w:rFonts w:hint="default" w:ascii="Cambria Math" w:hAnsi="Cambria Math" w:eastAsia="宋体"/>
                        <w:b w:val="0"/>
                        <w:color w:val="000000"/>
                        <w:sz w:val="18"/>
                      </w:rPr>
                    </m:ctrlPr>
                  </m:sSubPr>
                  <m:e>
                    <m:r>
                      <m:rPr/>
                      <w:rPr>
                        <w:rFonts w:hint="default" w:ascii="Cambria Math" w:hAnsi="Cambria Math" w:eastAsia="宋体"/>
                        <w:color w:val="000000"/>
                        <w:sz w:val="18"/>
                      </w:rPr>
                      <m:t>s</m:t>
                    </m:r>
                    <m:ctrlPr>
                      <w:rPr>
                        <w:rFonts w:ascii="Cambria Math" w:hAnsi="Cambria Math" w:eastAsia="宋体"/>
                        <w:b w:val="0"/>
                        <w:color w:val="000000"/>
                        <w:sz w:val="18"/>
                      </w:rPr>
                    </m:ctrlPr>
                  </m:e>
                  <m:sub>
                    <m:r>
                      <m:rPr/>
                      <w:rPr>
                        <w:rFonts w:hint="default" w:ascii="Cambria Math" w:hAnsi="Cambria Math" w:eastAsia="宋体"/>
                        <w:color w:val="000000"/>
                        <w:sz w:val="18"/>
                      </w:rPr>
                      <m:t>c</m:t>
                    </m:r>
                    <m:ctrlPr>
                      <w:rPr>
                        <w:rFonts w:ascii="Cambria Math" w:hAnsi="Cambria Math" w:eastAsia="宋体"/>
                        <w:b w:val="0"/>
                        <w:color w:val="000000"/>
                        <w:sz w:val="18"/>
                      </w:rPr>
                    </m:ctrlPr>
                  </m:sub>
                </m:sSub>
              </m:oMath>
            </m:oMathPara>
          </w:p>
        </w:tc>
        <w:tc>
          <w:tcPr>
            <w:tcW w:w="836" w:type="pct"/>
            <w:tcBorders>
              <w:top w:val="single" w:color="000000" w:sz="4" w:space="0"/>
              <w:bottom w:val="nil"/>
            </w:tcBorders>
            <w:shd w:val="clear" w:color="auto" w:fill="FFFFFF"/>
            <w:vAlign w:val="center"/>
          </w:tcPr>
          <w:p w14:paraId="181A1A54">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0.30 m</w:t>
            </w:r>
          </w:p>
        </w:tc>
        <w:tc>
          <w:tcPr>
            <w:tcW w:w="818" w:type="pct"/>
            <w:tcBorders>
              <w:top w:val="single" w:color="000000" w:sz="4" w:space="0"/>
              <w:bottom w:val="nil"/>
            </w:tcBorders>
            <w:shd w:val="clear" w:color="auto" w:fill="FFFFFF"/>
            <w:vAlign w:val="center"/>
          </w:tcPr>
          <w:p w14:paraId="53019421">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0.20–0.60 m</w:t>
            </w:r>
          </w:p>
        </w:tc>
        <w:tc>
          <w:tcPr>
            <w:tcW w:w="836" w:type="pct"/>
            <w:tcBorders>
              <w:top w:val="single" w:color="000000" w:sz="4" w:space="0"/>
              <w:bottom w:val="nil"/>
            </w:tcBorders>
            <w:shd w:val="clear" w:color="auto" w:fill="FFFFFF"/>
            <w:vAlign w:val="center"/>
          </w:tcPr>
          <w:p w14:paraId="1A755471">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Winter pruning</w:t>
            </w:r>
          </w:p>
        </w:tc>
      </w:tr>
      <w:tr w14:paraId="02FE3715">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2037" w:type="pct"/>
            <w:tcBorders>
              <w:top w:val="nil"/>
              <w:bottom w:val="nil"/>
            </w:tcBorders>
            <w:shd w:val="clear" w:color="auto" w:fill="FFFFFF"/>
            <w:vAlign w:val="center"/>
          </w:tcPr>
          <w:p w14:paraId="266EC4AD">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Retained fruiting canes per bay side</w:t>
            </w:r>
          </w:p>
        </w:tc>
        <w:tc>
          <w:tcPr>
            <w:tcW w:w="470" w:type="pct"/>
            <w:tcBorders>
              <w:top w:val="nil"/>
              <w:bottom w:val="nil"/>
            </w:tcBorders>
            <w:shd w:val="clear" w:color="auto" w:fill="FFFFFF"/>
            <w:vAlign w:val="center"/>
          </w:tcPr>
          <w:p w14:paraId="4EB0A0F6">
            <w:pPr>
              <w:widowControl/>
              <w:spacing w:after="0" w:line="240" w:lineRule="auto"/>
              <w:jc w:val="both"/>
              <w:rPr>
                <w:rFonts w:ascii="Times New Roman" w:hAnsi="Times New Roman" w:eastAsia="宋体" w:cs="Times New Roman"/>
                <w:b w:val="0"/>
                <w:color w:val="000000"/>
                <w:kern w:val="0"/>
                <w:sz w:val="20"/>
                <w:szCs w:val="22"/>
                <w:lang w:eastAsia="en-US"/>
              </w:rPr>
            </w:pPr>
            <m:oMathPara>
              <m:oMath>
                <m:sSub>
                  <m:sSubPr>
                    <m:ctrlPr>
                      <w:rPr>
                        <w:rFonts w:hint="default" w:ascii="Cambria Math" w:hAnsi="Cambria Math" w:eastAsia="宋体"/>
                        <w:b w:val="0"/>
                        <w:color w:val="000000"/>
                        <w:sz w:val="18"/>
                      </w:rPr>
                    </m:ctrlPr>
                  </m:sSubPr>
                  <m:e>
                    <m:r>
                      <m:rPr/>
                      <w:rPr>
                        <w:rFonts w:hint="default" w:ascii="Cambria Math" w:hAnsi="Cambria Math" w:eastAsia="宋体"/>
                        <w:color w:val="000000"/>
                        <w:sz w:val="18"/>
                      </w:rPr>
                      <m:t>n</m:t>
                    </m:r>
                    <m:ctrlPr>
                      <w:rPr>
                        <w:rFonts w:ascii="Cambria Math" w:hAnsi="Cambria Math" w:eastAsia="宋体"/>
                        <w:b w:val="0"/>
                        <w:color w:val="000000"/>
                        <w:sz w:val="18"/>
                      </w:rPr>
                    </m:ctrlPr>
                  </m:e>
                  <m:sub>
                    <m:r>
                      <m:rPr/>
                      <w:rPr>
                        <w:rFonts w:hint="default" w:ascii="Cambria Math" w:hAnsi="Cambria Math" w:eastAsia="宋体"/>
                        <w:color w:val="000000"/>
                        <w:sz w:val="18"/>
                      </w:rPr>
                      <m:t>c</m:t>
                    </m:r>
                    <m:ctrlPr>
                      <w:rPr>
                        <w:rFonts w:ascii="Cambria Math" w:hAnsi="Cambria Math" w:eastAsia="宋体"/>
                        <w:b w:val="0"/>
                        <w:color w:val="000000"/>
                        <w:sz w:val="18"/>
                      </w:rPr>
                    </m:ctrlPr>
                  </m:sub>
                </m:sSub>
              </m:oMath>
            </m:oMathPara>
          </w:p>
        </w:tc>
        <w:tc>
          <w:tcPr>
            <w:tcW w:w="836" w:type="pct"/>
            <w:tcBorders>
              <w:top w:val="nil"/>
              <w:bottom w:val="nil"/>
            </w:tcBorders>
            <w:shd w:val="clear" w:color="auto" w:fill="FFFFFF"/>
            <w:vAlign w:val="center"/>
          </w:tcPr>
          <w:p w14:paraId="59424BDC">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15</w:t>
            </w:r>
          </w:p>
        </w:tc>
        <w:tc>
          <w:tcPr>
            <w:tcW w:w="818" w:type="pct"/>
            <w:tcBorders>
              <w:top w:val="nil"/>
              <w:bottom w:val="nil"/>
            </w:tcBorders>
            <w:shd w:val="clear" w:color="auto" w:fill="FFFFFF"/>
            <w:vAlign w:val="center"/>
          </w:tcPr>
          <w:p w14:paraId="28625306">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8–20</w:t>
            </w:r>
          </w:p>
        </w:tc>
        <w:tc>
          <w:tcPr>
            <w:tcW w:w="836" w:type="pct"/>
            <w:tcBorders>
              <w:top w:val="nil"/>
              <w:bottom w:val="nil"/>
            </w:tcBorders>
            <w:shd w:val="clear" w:color="auto" w:fill="FFFFFF"/>
            <w:vAlign w:val="center"/>
          </w:tcPr>
          <w:p w14:paraId="2C1431BA">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Winter pruning</w:t>
            </w:r>
          </w:p>
        </w:tc>
      </w:tr>
      <w:tr w14:paraId="223588B6">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2037" w:type="pct"/>
            <w:tcBorders>
              <w:top w:val="nil"/>
              <w:bottom w:val="nil"/>
            </w:tcBorders>
            <w:shd w:val="clear" w:color="auto" w:fill="FFFFFF"/>
            <w:vAlign w:val="center"/>
          </w:tcPr>
          <w:p w14:paraId="1F483A33">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Bud retention density</w:t>
            </w:r>
          </w:p>
        </w:tc>
        <w:tc>
          <w:tcPr>
            <w:tcW w:w="470" w:type="pct"/>
            <w:tcBorders>
              <w:top w:val="nil"/>
              <w:bottom w:val="nil"/>
            </w:tcBorders>
            <w:shd w:val="clear" w:color="auto" w:fill="FFFFFF"/>
            <w:vAlign w:val="center"/>
          </w:tcPr>
          <w:p w14:paraId="148CBB03">
            <w:pPr>
              <w:widowControl/>
              <w:spacing w:after="0" w:line="240" w:lineRule="auto"/>
              <w:jc w:val="both"/>
              <w:rPr>
                <w:rFonts w:ascii="Times New Roman" w:hAnsi="Times New Roman" w:eastAsia="宋体" w:cs="Times New Roman"/>
                <w:b w:val="0"/>
                <w:color w:val="000000"/>
                <w:kern w:val="0"/>
                <w:sz w:val="20"/>
                <w:szCs w:val="22"/>
                <w:lang w:eastAsia="en-US"/>
              </w:rPr>
            </w:pPr>
            <m:oMathPara>
              <m:oMath>
                <m:sSub>
                  <m:sSubPr>
                    <m:ctrlPr>
                      <w:rPr>
                        <w:rFonts w:hint="default" w:ascii="Cambria Math" w:hAnsi="Cambria Math" w:eastAsia="宋体"/>
                        <w:b w:val="0"/>
                        <w:color w:val="000000"/>
                        <w:sz w:val="18"/>
                      </w:rPr>
                    </m:ctrlPr>
                  </m:sSubPr>
                  <m:e>
                    <m:r>
                      <m:rPr/>
                      <w:rPr>
                        <w:rFonts w:hint="default" w:ascii="Cambria Math" w:hAnsi="Cambria Math" w:eastAsia="宋体"/>
                        <w:color w:val="000000"/>
                        <w:sz w:val="18"/>
                      </w:rPr>
                      <m:t>ρ</m:t>
                    </m:r>
                    <m:ctrlPr>
                      <w:rPr>
                        <w:rFonts w:ascii="Cambria Math" w:hAnsi="Cambria Math" w:eastAsia="宋体"/>
                        <w:b w:val="0"/>
                        <w:color w:val="000000"/>
                        <w:sz w:val="18"/>
                      </w:rPr>
                    </m:ctrlPr>
                  </m:e>
                  <m:sub>
                    <m:r>
                      <m:rPr/>
                      <w:rPr>
                        <w:rFonts w:hint="default" w:ascii="Cambria Math" w:hAnsi="Cambria Math" w:eastAsia="宋体"/>
                        <w:color w:val="000000"/>
                        <w:sz w:val="18"/>
                      </w:rPr>
                      <m:t>b</m:t>
                    </m:r>
                    <m:ctrlPr>
                      <w:rPr>
                        <w:rFonts w:ascii="Cambria Math" w:hAnsi="Cambria Math" w:eastAsia="宋体"/>
                        <w:b w:val="0"/>
                        <w:color w:val="000000"/>
                        <w:sz w:val="18"/>
                      </w:rPr>
                    </m:ctrlPr>
                  </m:sub>
                </m:sSub>
              </m:oMath>
            </m:oMathPara>
          </w:p>
        </w:tc>
        <w:tc>
          <w:tcPr>
            <w:tcW w:w="836" w:type="pct"/>
            <w:tcBorders>
              <w:top w:val="nil"/>
              <w:bottom w:val="nil"/>
            </w:tcBorders>
            <w:shd w:val="clear" w:color="auto" w:fill="FFFFFF"/>
            <w:vAlign w:val="center"/>
          </w:tcPr>
          <w:p w14:paraId="0DB2B6C3">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20 buds m</w:t>
            </w:r>
            <w:r>
              <w:rPr>
                <w:rFonts w:ascii="Times New Roman" w:hAnsi="Times New Roman" w:eastAsia="宋体" w:cs="Times New Roman"/>
                <w:b w:val="0"/>
                <w:color w:val="000000"/>
                <w:kern w:val="0"/>
                <w:sz w:val="18"/>
                <w:szCs w:val="22"/>
                <w:vertAlign w:val="superscript"/>
                <w:lang w:eastAsia="en-US"/>
              </w:rPr>
              <w:t>-1</w:t>
            </w:r>
          </w:p>
        </w:tc>
        <w:tc>
          <w:tcPr>
            <w:tcW w:w="818" w:type="pct"/>
            <w:tcBorders>
              <w:top w:val="nil"/>
              <w:bottom w:val="nil"/>
            </w:tcBorders>
            <w:shd w:val="clear" w:color="auto" w:fill="FFFFFF"/>
            <w:vAlign w:val="center"/>
          </w:tcPr>
          <w:p w14:paraId="3931301A">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10–65 buds m</w:t>
            </w:r>
            <w:r>
              <w:rPr>
                <w:rFonts w:ascii="Times New Roman" w:hAnsi="Times New Roman" w:eastAsia="宋体" w:cs="Times New Roman"/>
                <w:b w:val="0"/>
                <w:color w:val="000000"/>
                <w:kern w:val="0"/>
                <w:sz w:val="18"/>
                <w:szCs w:val="22"/>
                <w:vertAlign w:val="superscript"/>
                <w:lang w:eastAsia="en-US"/>
              </w:rPr>
              <w:t>-1</w:t>
            </w:r>
          </w:p>
        </w:tc>
        <w:tc>
          <w:tcPr>
            <w:tcW w:w="836" w:type="pct"/>
            <w:tcBorders>
              <w:top w:val="nil"/>
              <w:bottom w:val="nil"/>
            </w:tcBorders>
            <w:shd w:val="clear" w:color="auto" w:fill="FFFFFF"/>
            <w:vAlign w:val="center"/>
          </w:tcPr>
          <w:p w14:paraId="7A857DEF">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Bud thinning</w:t>
            </w:r>
          </w:p>
        </w:tc>
      </w:tr>
      <w:tr w14:paraId="6E386DB5">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2037" w:type="pct"/>
            <w:tcBorders>
              <w:top w:val="nil"/>
              <w:bottom w:val="nil"/>
            </w:tcBorders>
            <w:shd w:val="clear" w:color="auto" w:fill="FFFFFF"/>
            <w:vAlign w:val="center"/>
          </w:tcPr>
          <w:p w14:paraId="6EC8C95B">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Target fruit count per fruiting shoot</w:t>
            </w:r>
          </w:p>
        </w:tc>
        <w:tc>
          <w:tcPr>
            <w:tcW w:w="470" w:type="pct"/>
            <w:tcBorders>
              <w:top w:val="nil"/>
              <w:bottom w:val="nil"/>
            </w:tcBorders>
            <w:shd w:val="clear" w:color="auto" w:fill="FFFFFF"/>
            <w:vAlign w:val="center"/>
          </w:tcPr>
          <w:p w14:paraId="12C5B65F">
            <w:pPr>
              <w:widowControl/>
              <w:spacing w:after="0" w:line="240" w:lineRule="auto"/>
              <w:jc w:val="both"/>
              <w:rPr>
                <w:rFonts w:ascii="Times New Roman" w:hAnsi="Times New Roman" w:eastAsia="宋体" w:cs="Times New Roman"/>
                <w:b w:val="0"/>
                <w:color w:val="000000"/>
                <w:kern w:val="0"/>
                <w:sz w:val="20"/>
                <w:szCs w:val="22"/>
                <w:lang w:eastAsia="en-US"/>
              </w:rPr>
            </w:pPr>
            <m:oMathPara>
              <m:oMath>
                <m:sSub>
                  <m:sSubPr>
                    <m:ctrlPr>
                      <w:rPr>
                        <w:rFonts w:hint="default" w:ascii="Cambria Math" w:hAnsi="Cambria Math" w:eastAsia="宋体"/>
                        <w:b w:val="0"/>
                        <w:color w:val="000000"/>
                        <w:sz w:val="18"/>
                      </w:rPr>
                    </m:ctrlPr>
                  </m:sSubPr>
                  <m:e>
                    <m:r>
                      <m:rPr/>
                      <w:rPr>
                        <w:rFonts w:hint="default" w:ascii="Cambria Math" w:hAnsi="Cambria Math" w:eastAsia="宋体"/>
                        <w:color w:val="000000"/>
                        <w:sz w:val="18"/>
                      </w:rPr>
                      <m:t>n</m:t>
                    </m:r>
                    <m:ctrlPr>
                      <w:rPr>
                        <w:rFonts w:ascii="Cambria Math" w:hAnsi="Cambria Math" w:eastAsia="宋体"/>
                        <w:b w:val="0"/>
                        <w:color w:val="000000"/>
                        <w:sz w:val="18"/>
                      </w:rPr>
                    </m:ctrlPr>
                  </m:e>
                  <m:sub>
                    <m:r>
                      <m:rPr/>
                      <w:rPr>
                        <w:rFonts w:hint="default" w:ascii="Cambria Math" w:hAnsi="Cambria Math" w:eastAsia="宋体"/>
                        <w:color w:val="000000"/>
                        <w:sz w:val="18"/>
                      </w:rPr>
                      <m:t>f</m:t>
                    </m:r>
                    <m:ctrlPr>
                      <w:rPr>
                        <w:rFonts w:ascii="Cambria Math" w:hAnsi="Cambria Math" w:eastAsia="宋体"/>
                        <w:b w:val="0"/>
                        <w:color w:val="000000"/>
                        <w:sz w:val="18"/>
                      </w:rPr>
                    </m:ctrlPr>
                  </m:sub>
                </m:sSub>
              </m:oMath>
            </m:oMathPara>
          </w:p>
        </w:tc>
        <w:tc>
          <w:tcPr>
            <w:tcW w:w="836" w:type="pct"/>
            <w:tcBorders>
              <w:top w:val="nil"/>
              <w:bottom w:val="nil"/>
            </w:tcBorders>
            <w:shd w:val="clear" w:color="auto" w:fill="FFFFFF"/>
            <w:vAlign w:val="center"/>
          </w:tcPr>
          <w:p w14:paraId="70A5D31E">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6</w:t>
            </w:r>
          </w:p>
        </w:tc>
        <w:tc>
          <w:tcPr>
            <w:tcW w:w="818" w:type="pct"/>
            <w:tcBorders>
              <w:top w:val="nil"/>
              <w:bottom w:val="nil"/>
            </w:tcBorders>
            <w:shd w:val="clear" w:color="auto" w:fill="FFFFFF"/>
            <w:vAlign w:val="center"/>
          </w:tcPr>
          <w:p w14:paraId="505503A9">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3–10</w:t>
            </w:r>
          </w:p>
        </w:tc>
        <w:tc>
          <w:tcPr>
            <w:tcW w:w="836" w:type="pct"/>
            <w:tcBorders>
              <w:top w:val="nil"/>
              <w:bottom w:val="nil"/>
            </w:tcBorders>
            <w:shd w:val="clear" w:color="auto" w:fill="FFFFFF"/>
            <w:vAlign w:val="center"/>
          </w:tcPr>
          <w:p w14:paraId="255B196E">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Fruit thinning</w:t>
            </w:r>
          </w:p>
        </w:tc>
      </w:tr>
      <w:tr w14:paraId="7FBF74CF">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2037" w:type="pct"/>
            <w:tcBorders>
              <w:top w:val="nil"/>
              <w:bottom w:val="nil"/>
            </w:tcBorders>
            <w:shd w:val="clear" w:color="auto" w:fill="FFFFFF"/>
            <w:vAlign w:val="center"/>
          </w:tcPr>
          <w:p w14:paraId="3B45819F">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Maximum node count after summer tipping</w:t>
            </w:r>
          </w:p>
        </w:tc>
        <w:tc>
          <w:tcPr>
            <w:tcW w:w="470" w:type="pct"/>
            <w:tcBorders>
              <w:top w:val="nil"/>
              <w:bottom w:val="nil"/>
            </w:tcBorders>
            <w:shd w:val="clear" w:color="auto" w:fill="FFFFFF"/>
            <w:vAlign w:val="center"/>
          </w:tcPr>
          <w:p w14:paraId="65AC7831">
            <w:pPr>
              <w:widowControl/>
              <w:spacing w:after="0" w:line="240" w:lineRule="auto"/>
              <w:jc w:val="both"/>
              <w:rPr>
                <w:rFonts w:ascii="Times New Roman" w:hAnsi="Times New Roman" w:eastAsia="宋体" w:cs="Times New Roman"/>
                <w:b w:val="0"/>
                <w:color w:val="000000"/>
                <w:kern w:val="0"/>
                <w:sz w:val="20"/>
                <w:szCs w:val="22"/>
                <w:lang w:eastAsia="en-US"/>
              </w:rPr>
            </w:pPr>
            <m:oMathPara>
              <m:oMath>
                <m:sSub>
                  <m:sSubPr>
                    <m:ctrlPr>
                      <w:rPr>
                        <w:rFonts w:hint="default" w:ascii="Cambria Math" w:hAnsi="Cambria Math" w:eastAsia="宋体"/>
                        <w:b w:val="0"/>
                        <w:color w:val="000000"/>
                        <w:sz w:val="18"/>
                      </w:rPr>
                    </m:ctrlPr>
                  </m:sSubPr>
                  <m:e>
                    <m:r>
                      <m:rPr/>
                      <w:rPr>
                        <w:rFonts w:hint="default" w:ascii="Cambria Math" w:hAnsi="Cambria Math" w:eastAsia="宋体"/>
                        <w:color w:val="000000"/>
                        <w:sz w:val="18"/>
                      </w:rPr>
                      <m:t>n</m:t>
                    </m:r>
                    <m:ctrlPr>
                      <w:rPr>
                        <w:rFonts w:ascii="Cambria Math" w:hAnsi="Cambria Math" w:eastAsia="宋体"/>
                        <w:b w:val="0"/>
                        <w:color w:val="000000"/>
                        <w:sz w:val="18"/>
                      </w:rPr>
                    </m:ctrlPr>
                  </m:e>
                  <m:sub>
                    <m:r>
                      <m:rPr/>
                      <w:rPr>
                        <w:rFonts w:hint="default" w:ascii="Cambria Math" w:hAnsi="Cambria Math" w:eastAsia="宋体"/>
                        <w:color w:val="000000"/>
                        <w:sz w:val="18"/>
                      </w:rPr>
                      <m:t>t</m:t>
                    </m:r>
                    <m:ctrlPr>
                      <w:rPr>
                        <w:rFonts w:ascii="Cambria Math" w:hAnsi="Cambria Math" w:eastAsia="宋体"/>
                        <w:b w:val="0"/>
                        <w:color w:val="000000"/>
                        <w:sz w:val="18"/>
                      </w:rPr>
                    </m:ctrlPr>
                  </m:sub>
                </m:sSub>
              </m:oMath>
            </m:oMathPara>
          </w:p>
        </w:tc>
        <w:tc>
          <w:tcPr>
            <w:tcW w:w="836" w:type="pct"/>
            <w:tcBorders>
              <w:top w:val="nil"/>
              <w:bottom w:val="nil"/>
            </w:tcBorders>
            <w:shd w:val="clear" w:color="auto" w:fill="FFFFFF"/>
            <w:vAlign w:val="center"/>
          </w:tcPr>
          <w:p w14:paraId="61EDD4C0">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8</w:t>
            </w:r>
          </w:p>
        </w:tc>
        <w:tc>
          <w:tcPr>
            <w:tcW w:w="818" w:type="pct"/>
            <w:tcBorders>
              <w:top w:val="nil"/>
              <w:bottom w:val="nil"/>
            </w:tcBorders>
            <w:shd w:val="clear" w:color="auto" w:fill="FFFFFF"/>
            <w:vAlign w:val="center"/>
          </w:tcPr>
          <w:p w14:paraId="4BB0CFBB">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5–18</w:t>
            </w:r>
          </w:p>
        </w:tc>
        <w:tc>
          <w:tcPr>
            <w:tcW w:w="836" w:type="pct"/>
            <w:tcBorders>
              <w:top w:val="nil"/>
              <w:bottom w:val="nil"/>
            </w:tcBorders>
            <w:shd w:val="clear" w:color="auto" w:fill="FFFFFF"/>
            <w:vAlign w:val="center"/>
          </w:tcPr>
          <w:p w14:paraId="066F5853">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Summer tipping</w:t>
            </w:r>
          </w:p>
        </w:tc>
      </w:tr>
      <w:tr w14:paraId="793AA879">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2037" w:type="pct"/>
            <w:tcBorders>
              <w:top w:val="nil"/>
              <w:bottom w:val="single" w:color="000000" w:sz="12" w:space="0"/>
            </w:tcBorders>
            <w:shd w:val="clear" w:color="auto" w:fill="FFFFFF"/>
            <w:vAlign w:val="center"/>
          </w:tcPr>
          <w:p w14:paraId="6C4501A0">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Cane training angle</w:t>
            </w:r>
          </w:p>
        </w:tc>
        <w:tc>
          <w:tcPr>
            <w:tcW w:w="470" w:type="pct"/>
            <w:tcBorders>
              <w:top w:val="nil"/>
              <w:bottom w:val="single" w:color="000000" w:sz="12" w:space="0"/>
            </w:tcBorders>
            <w:shd w:val="clear" w:color="auto" w:fill="FFFFFF"/>
            <w:vAlign w:val="center"/>
          </w:tcPr>
          <w:p w14:paraId="458360BE">
            <w:pPr>
              <w:widowControl/>
              <w:spacing w:after="0" w:line="240" w:lineRule="auto"/>
              <w:jc w:val="both"/>
              <w:rPr>
                <w:rFonts w:ascii="Times New Roman" w:hAnsi="Times New Roman" w:eastAsia="宋体" w:cs="Times New Roman"/>
                <w:b w:val="0"/>
                <w:color w:val="000000"/>
                <w:kern w:val="0"/>
                <w:sz w:val="20"/>
                <w:szCs w:val="22"/>
                <w:lang w:eastAsia="en-US"/>
              </w:rPr>
            </w:pPr>
            <m:oMathPara>
              <m:oMath>
                <m:sSub>
                  <m:sSubPr>
                    <m:ctrlPr>
                      <w:rPr>
                        <w:rFonts w:hint="default" w:ascii="Cambria Math" w:hAnsi="Cambria Math" w:eastAsia="宋体"/>
                        <w:b w:val="0"/>
                        <w:color w:val="000000"/>
                        <w:sz w:val="18"/>
                      </w:rPr>
                    </m:ctrlPr>
                  </m:sSubPr>
                  <m:e>
                    <m:r>
                      <m:rPr/>
                      <w:rPr>
                        <w:rFonts w:hint="default" w:ascii="Cambria Math" w:hAnsi="Cambria Math" w:eastAsia="宋体"/>
                        <w:color w:val="000000"/>
                        <w:sz w:val="18"/>
                      </w:rPr>
                      <m:t>θ</m:t>
                    </m:r>
                    <m:ctrlPr>
                      <w:rPr>
                        <w:rFonts w:ascii="Cambria Math" w:hAnsi="Cambria Math" w:eastAsia="宋体"/>
                        <w:b w:val="0"/>
                        <w:color w:val="000000"/>
                        <w:sz w:val="18"/>
                      </w:rPr>
                    </m:ctrlPr>
                  </m:e>
                  <m:sub>
                    <m:r>
                      <m:rPr/>
                      <w:rPr>
                        <w:rFonts w:hint="default" w:ascii="Cambria Math" w:hAnsi="Cambria Math" w:eastAsia="宋体"/>
                        <w:color w:val="000000"/>
                        <w:sz w:val="18"/>
                      </w:rPr>
                      <m:t>c</m:t>
                    </m:r>
                    <m:ctrlPr>
                      <w:rPr>
                        <w:rFonts w:ascii="Cambria Math" w:hAnsi="Cambria Math" w:eastAsia="宋体"/>
                        <w:b w:val="0"/>
                        <w:color w:val="000000"/>
                        <w:sz w:val="18"/>
                      </w:rPr>
                    </m:ctrlPr>
                  </m:sub>
                </m:sSub>
              </m:oMath>
            </m:oMathPara>
          </w:p>
        </w:tc>
        <w:tc>
          <w:tcPr>
            <w:tcW w:w="836" w:type="pct"/>
            <w:tcBorders>
              <w:top w:val="nil"/>
              <w:bottom w:val="single" w:color="000000" w:sz="12" w:space="0"/>
            </w:tcBorders>
            <w:shd w:val="clear" w:color="auto" w:fill="FFFFFF"/>
            <w:vAlign w:val="center"/>
          </w:tcPr>
          <w:p w14:paraId="00B5C27E">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90 degrees</w:t>
            </w:r>
          </w:p>
        </w:tc>
        <w:tc>
          <w:tcPr>
            <w:tcW w:w="818" w:type="pct"/>
            <w:tcBorders>
              <w:top w:val="nil"/>
              <w:bottom w:val="single" w:color="000000" w:sz="12" w:space="0"/>
            </w:tcBorders>
            <w:shd w:val="clear" w:color="auto" w:fill="FFFFFF"/>
            <w:vAlign w:val="center"/>
          </w:tcPr>
          <w:p w14:paraId="0A64CC82">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45–135 degrees</w:t>
            </w:r>
          </w:p>
        </w:tc>
        <w:tc>
          <w:tcPr>
            <w:tcW w:w="836" w:type="pct"/>
            <w:tcBorders>
              <w:top w:val="nil"/>
              <w:bottom w:val="single" w:color="000000" w:sz="12" w:space="0"/>
            </w:tcBorders>
            <w:shd w:val="clear" w:color="auto" w:fill="FFFFFF"/>
            <w:vAlign w:val="center"/>
          </w:tcPr>
          <w:p w14:paraId="6525215F">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Cane training</w:t>
            </w:r>
          </w:p>
        </w:tc>
      </w:tr>
    </w:tbl>
    <w:p w14:paraId="4314276E">
      <w:pPr>
        <w:keepNext/>
        <w:keepLines/>
        <w:spacing w:before="480" w:after="0" w:line="276" w:lineRule="auto"/>
        <w:jc w:val="both"/>
        <w:outlineLvl w:val="0"/>
        <w:rPr>
          <w:rFonts w:ascii="Calibri" w:hAnsi="Calibri" w:eastAsia="宋体" w:cs="Times New Roman"/>
          <w:b/>
          <w:bCs/>
          <w:color w:val="366091"/>
          <w:sz w:val="24"/>
          <w:szCs w:val="28"/>
          <w:lang w:val="en-US" w:eastAsia="en-US" w:bidi="ar-SA"/>
        </w:rPr>
      </w:pPr>
      <w:r>
        <w:rPr>
          <w:rFonts w:ascii="Times New Roman" w:hAnsi="Times New Roman" w:eastAsia="宋体" w:cs="Times New Roman"/>
          <w:b/>
          <w:bCs/>
          <w:color w:val="366091"/>
          <w:sz w:val="20"/>
          <w:szCs w:val="28"/>
          <w:lang w:val="en-US" w:eastAsia="en-US" w:bidi="ar-SA"/>
        </w:rPr>
        <w:t>3. Canopy simulation protocol</w:t>
      </w:r>
    </w:p>
    <w:p w14:paraId="18284727">
      <w:pPr>
        <w:widowControl/>
        <w:spacing w:after="200" w:line="276" w:lineRule="auto"/>
        <w:jc w:val="both"/>
        <w:rPr>
          <w:rFonts w:ascii="Times New Roman" w:hAnsi="Times New Roman" w:eastAsia="宋体" w:cs="Times New Roman"/>
          <w:kern w:val="0"/>
          <w:sz w:val="20"/>
          <w:szCs w:val="22"/>
          <w:lang w:eastAsia="en-US"/>
        </w:rPr>
      </w:pPr>
      <w:r>
        <w:rPr>
          <w:rFonts w:ascii="Times New Roman" w:hAnsi="Times New Roman" w:eastAsia="宋体" w:cs="Times New Roman"/>
          <w:kern w:val="0"/>
          <w:sz w:val="20"/>
          <w:szCs w:val="22"/>
          <w:lang w:eastAsia="en-US"/>
        </w:rPr>
        <w:t>Canopy development was represented by an L-system-based functional–structural plant model. The model state included geometric support structures, leaves, branches, fruit objects, and peduncles. Seasonal operations were applied in the following order: winter pruning, bud thinning, fruit thinning, summer tipping, and cane training. The simulated harvest-time geometry was stored and then passed to the field-computation module.</w:t>
      </w:r>
    </w:p>
    <w:p w14:paraId="17CD6D38">
      <w:pPr>
        <w:keepNext/>
        <w:keepLines/>
        <w:spacing w:before="480" w:after="0" w:line="276" w:lineRule="auto"/>
        <w:jc w:val="both"/>
        <w:outlineLvl w:val="0"/>
        <w:rPr>
          <w:rFonts w:ascii="Calibri" w:hAnsi="Calibri" w:eastAsia="宋体" w:cs="Times New Roman"/>
          <w:b/>
          <w:bCs/>
          <w:color w:val="366091"/>
          <w:sz w:val="24"/>
          <w:szCs w:val="28"/>
          <w:lang w:val="en-US" w:eastAsia="en-US" w:bidi="ar-SA"/>
        </w:rPr>
      </w:pPr>
      <w:r>
        <w:rPr>
          <w:rFonts w:ascii="Times New Roman" w:hAnsi="Times New Roman" w:eastAsia="宋体" w:cs="Times New Roman"/>
          <w:b/>
          <w:bCs/>
          <w:color w:val="366091"/>
          <w:sz w:val="20"/>
          <w:szCs w:val="28"/>
          <w:lang w:val="en-US" w:eastAsia="en-US" w:bidi="ar-SA"/>
        </w:rPr>
        <w:t>4. Field-computation settings</w:t>
      </w:r>
    </w:p>
    <w:tbl>
      <w:tblPr>
        <w:tblStyle w:val="3"/>
        <w:tblW w:w="4998" w:type="pct"/>
        <w:jc w:val="center"/>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Layout w:type="autofit"/>
        <w:tblCellMar>
          <w:top w:w="0" w:type="dxa"/>
          <w:left w:w="108" w:type="dxa"/>
          <w:bottom w:w="0" w:type="dxa"/>
          <w:right w:w="108" w:type="dxa"/>
        </w:tblCellMar>
      </w:tblPr>
      <w:tblGrid>
        <w:gridCol w:w="3397"/>
        <w:gridCol w:w="1465"/>
        <w:gridCol w:w="4710"/>
      </w:tblGrid>
      <w:tr w14:paraId="2D3B5A99">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774" w:type="pct"/>
            <w:tcBorders>
              <w:top w:val="single" w:color="000000" w:sz="12" w:space="0"/>
              <w:bottom w:val="single" w:color="000000" w:sz="4" w:space="0"/>
              <w:tl2br w:val="nil"/>
            </w:tcBorders>
            <w:shd w:val="clear" w:color="auto" w:fill="FFFFFF"/>
            <w:vAlign w:val="center"/>
          </w:tcPr>
          <w:p w14:paraId="60E17C0F">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Setting</w:t>
            </w:r>
          </w:p>
        </w:tc>
        <w:tc>
          <w:tcPr>
            <w:tcW w:w="765" w:type="pct"/>
            <w:tcBorders>
              <w:top w:val="single" w:color="000000" w:sz="12" w:space="0"/>
              <w:bottom w:val="single" w:color="000000" w:sz="4" w:space="0"/>
            </w:tcBorders>
            <w:shd w:val="clear" w:color="auto" w:fill="FFFFFF"/>
            <w:vAlign w:val="center"/>
          </w:tcPr>
          <w:p w14:paraId="7B7939DC">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Symbol</w:t>
            </w:r>
          </w:p>
        </w:tc>
        <w:tc>
          <w:tcPr>
            <w:tcW w:w="2460" w:type="pct"/>
            <w:tcBorders>
              <w:top w:val="single" w:color="000000" w:sz="12" w:space="0"/>
              <w:bottom w:val="single" w:color="000000" w:sz="4" w:space="0"/>
            </w:tcBorders>
            <w:shd w:val="clear" w:color="auto" w:fill="FFFFFF"/>
            <w:vAlign w:val="center"/>
          </w:tcPr>
          <w:p w14:paraId="7D7DD6E8">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Value</w:t>
            </w:r>
          </w:p>
        </w:tc>
      </w:tr>
      <w:tr w14:paraId="6E849DA7">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774" w:type="pct"/>
            <w:tcBorders>
              <w:top w:val="single" w:color="000000" w:sz="4" w:space="0"/>
              <w:bottom w:val="nil"/>
            </w:tcBorders>
            <w:shd w:val="clear" w:color="auto" w:fill="FFFFFF"/>
            <w:vAlign w:val="center"/>
          </w:tcPr>
          <w:p w14:paraId="1C9B9D45">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Bay length</w:t>
            </w:r>
          </w:p>
        </w:tc>
        <w:tc>
          <w:tcPr>
            <w:tcW w:w="765" w:type="pct"/>
            <w:tcBorders>
              <w:top w:val="single" w:color="000000" w:sz="4" w:space="0"/>
              <w:bottom w:val="nil"/>
            </w:tcBorders>
            <w:shd w:val="clear" w:color="auto" w:fill="FFFFFF"/>
            <w:vAlign w:val="center"/>
          </w:tcPr>
          <w:p w14:paraId="7E1FFB44">
            <w:pPr>
              <w:widowControl/>
              <w:spacing w:after="0" w:line="240" w:lineRule="auto"/>
              <w:jc w:val="both"/>
              <w:rPr>
                <w:rFonts w:ascii="Times New Roman" w:hAnsi="Times New Roman" w:eastAsia="宋体" w:cs="Times New Roman"/>
                <w:b w:val="0"/>
                <w:color w:val="000000"/>
                <w:kern w:val="0"/>
                <w:sz w:val="20"/>
                <w:szCs w:val="22"/>
                <w:lang w:eastAsia="en-US"/>
              </w:rPr>
            </w:pPr>
            <m:oMathPara>
              <m:oMath>
                <m:sSub>
                  <m:sSubPr>
                    <m:ctrlPr>
                      <w:rPr>
                        <w:rFonts w:hint="default" w:ascii="Cambria Math" w:hAnsi="Cambria Math" w:eastAsia="宋体"/>
                        <w:b w:val="0"/>
                        <w:color w:val="000000"/>
                        <w:sz w:val="18"/>
                      </w:rPr>
                    </m:ctrlPr>
                  </m:sSubPr>
                  <m:e>
                    <m:r>
                      <m:rPr/>
                      <w:rPr>
                        <w:rFonts w:hint="default" w:ascii="Cambria Math" w:hAnsi="Cambria Math" w:eastAsia="宋体"/>
                        <w:color w:val="000000"/>
                        <w:sz w:val="18"/>
                      </w:rPr>
                      <m:t>L</m:t>
                    </m:r>
                    <m:ctrlPr>
                      <w:rPr>
                        <w:rFonts w:ascii="Cambria Math" w:hAnsi="Cambria Math" w:eastAsia="宋体"/>
                        <w:b w:val="0"/>
                        <w:color w:val="000000"/>
                        <w:sz w:val="18"/>
                      </w:rPr>
                    </m:ctrlPr>
                  </m:e>
                  <m:sub>
                    <m:r>
                      <m:rPr/>
                      <w:rPr>
                        <w:rFonts w:hint="default" w:ascii="Cambria Math" w:hAnsi="Cambria Math" w:eastAsia="宋体"/>
                        <w:color w:val="000000"/>
                        <w:sz w:val="18"/>
                      </w:rPr>
                      <m:t>b</m:t>
                    </m:r>
                    <m:ctrlPr>
                      <w:rPr>
                        <w:rFonts w:ascii="Cambria Math" w:hAnsi="Cambria Math" w:eastAsia="宋体"/>
                        <w:b w:val="0"/>
                        <w:color w:val="000000"/>
                        <w:sz w:val="18"/>
                      </w:rPr>
                    </m:ctrlPr>
                  </m:sub>
                </m:sSub>
              </m:oMath>
            </m:oMathPara>
          </w:p>
        </w:tc>
        <w:tc>
          <w:tcPr>
            <w:tcW w:w="2460" w:type="pct"/>
            <w:tcBorders>
              <w:top w:val="single" w:color="000000" w:sz="4" w:space="0"/>
              <w:bottom w:val="nil"/>
            </w:tcBorders>
            <w:shd w:val="clear" w:color="auto" w:fill="FFFFFF"/>
            <w:vAlign w:val="center"/>
          </w:tcPr>
          <w:p w14:paraId="237BC482">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5.0 m</w:t>
            </w:r>
          </w:p>
        </w:tc>
      </w:tr>
      <w:tr w14:paraId="7297241B">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774" w:type="pct"/>
            <w:tcBorders>
              <w:top w:val="nil"/>
              <w:bottom w:val="nil"/>
            </w:tcBorders>
            <w:shd w:val="clear" w:color="auto" w:fill="FFFFFF"/>
            <w:vAlign w:val="center"/>
          </w:tcPr>
          <w:p w14:paraId="53B4901C">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T-bar crossbar width</w:t>
            </w:r>
          </w:p>
        </w:tc>
        <w:tc>
          <w:tcPr>
            <w:tcW w:w="765" w:type="pct"/>
            <w:tcBorders>
              <w:top w:val="nil"/>
              <w:bottom w:val="nil"/>
            </w:tcBorders>
            <w:shd w:val="clear" w:color="auto" w:fill="FFFFFF"/>
            <w:vAlign w:val="center"/>
          </w:tcPr>
          <w:p w14:paraId="3199C7E7">
            <w:pPr>
              <w:widowControl/>
              <w:spacing w:after="0" w:line="240" w:lineRule="auto"/>
              <w:jc w:val="both"/>
              <w:rPr>
                <w:rFonts w:ascii="Times New Roman" w:hAnsi="Times New Roman" w:eastAsia="宋体" w:cs="Times New Roman"/>
                <w:b w:val="0"/>
                <w:color w:val="000000"/>
                <w:kern w:val="0"/>
                <w:sz w:val="20"/>
                <w:szCs w:val="22"/>
                <w:lang w:eastAsia="en-US"/>
              </w:rPr>
            </w:pPr>
            <m:oMathPara>
              <m:oMath>
                <m:sSub>
                  <m:sSubPr>
                    <m:ctrlPr>
                      <w:rPr>
                        <w:rFonts w:hint="default" w:ascii="Cambria Math" w:hAnsi="Cambria Math" w:eastAsia="宋体"/>
                        <w:b w:val="0"/>
                        <w:color w:val="000000"/>
                        <w:sz w:val="18"/>
                      </w:rPr>
                    </m:ctrlPr>
                  </m:sSubPr>
                  <m:e>
                    <m:r>
                      <m:rPr/>
                      <w:rPr>
                        <w:rFonts w:hint="default" w:ascii="Cambria Math" w:hAnsi="Cambria Math" w:eastAsia="宋体"/>
                        <w:color w:val="000000"/>
                        <w:sz w:val="18"/>
                      </w:rPr>
                      <m:t>W</m:t>
                    </m:r>
                    <m:ctrlPr>
                      <w:rPr>
                        <w:rFonts w:ascii="Cambria Math" w:hAnsi="Cambria Math" w:eastAsia="宋体"/>
                        <w:b w:val="0"/>
                        <w:color w:val="000000"/>
                        <w:sz w:val="18"/>
                      </w:rPr>
                    </m:ctrlPr>
                  </m:e>
                  <m:sub>
                    <m:r>
                      <m:rPr/>
                      <w:rPr>
                        <w:rFonts w:hint="default" w:ascii="Cambria Math" w:hAnsi="Cambria Math" w:eastAsia="宋体"/>
                        <w:color w:val="000000"/>
                        <w:sz w:val="18"/>
                      </w:rPr>
                      <m:t>b</m:t>
                    </m:r>
                    <m:ctrlPr>
                      <w:rPr>
                        <w:rFonts w:ascii="Cambria Math" w:hAnsi="Cambria Math" w:eastAsia="宋体"/>
                        <w:b w:val="0"/>
                        <w:color w:val="000000"/>
                        <w:sz w:val="18"/>
                      </w:rPr>
                    </m:ctrlPr>
                  </m:sub>
                </m:sSub>
              </m:oMath>
            </m:oMathPara>
          </w:p>
        </w:tc>
        <w:tc>
          <w:tcPr>
            <w:tcW w:w="2460" w:type="pct"/>
            <w:tcBorders>
              <w:top w:val="nil"/>
              <w:bottom w:val="nil"/>
            </w:tcBorders>
            <w:shd w:val="clear" w:color="auto" w:fill="FFFFFF"/>
            <w:vAlign w:val="center"/>
          </w:tcPr>
          <w:p w14:paraId="6E2CE334">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1.5–1.8 m</w:t>
            </w:r>
          </w:p>
        </w:tc>
      </w:tr>
      <w:tr w14:paraId="261172A8">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774" w:type="pct"/>
            <w:tcBorders>
              <w:top w:val="nil"/>
              <w:bottom w:val="nil"/>
            </w:tcBorders>
            <w:shd w:val="clear" w:color="auto" w:fill="FFFFFF"/>
            <w:vAlign w:val="center"/>
          </w:tcPr>
          <w:p w14:paraId="09E9028F">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Voxel resolution</w:t>
            </w:r>
          </w:p>
        </w:tc>
        <w:tc>
          <w:tcPr>
            <w:tcW w:w="765" w:type="pct"/>
            <w:tcBorders>
              <w:top w:val="nil"/>
              <w:bottom w:val="nil"/>
            </w:tcBorders>
            <w:shd w:val="clear" w:color="auto" w:fill="FFFFFF"/>
            <w:vAlign w:val="center"/>
          </w:tcPr>
          <w:p w14:paraId="2553673B">
            <w:pPr>
              <w:widowControl/>
              <w:spacing w:after="0" w:line="240" w:lineRule="auto"/>
              <w:jc w:val="both"/>
              <w:rPr>
                <w:rFonts w:ascii="Times New Roman" w:hAnsi="Times New Roman" w:eastAsia="宋体" w:cs="Times New Roman"/>
                <w:b w:val="0"/>
                <w:color w:val="000000"/>
                <w:kern w:val="0"/>
                <w:sz w:val="20"/>
                <w:szCs w:val="22"/>
                <w:lang w:eastAsia="en-US"/>
              </w:rPr>
            </w:pPr>
            <m:oMathPara>
              <m:oMath>
                <m:r>
                  <m:rPr>
                    <m:sty m:val="p"/>
                  </m:rPr>
                  <w:rPr>
                    <w:rFonts w:hint="default" w:ascii="Cambria Math" w:hAnsi="Cambria Math" w:eastAsia="宋体"/>
                    <w:color w:val="000000"/>
                    <w:sz w:val="18"/>
                  </w:rPr>
                  <m:t>Δ</m:t>
                </m:r>
              </m:oMath>
            </m:oMathPara>
          </w:p>
        </w:tc>
        <w:tc>
          <w:tcPr>
            <w:tcW w:w="2460" w:type="pct"/>
            <w:tcBorders>
              <w:top w:val="nil"/>
              <w:bottom w:val="nil"/>
            </w:tcBorders>
            <w:shd w:val="clear" w:color="auto" w:fill="FFFFFF"/>
            <w:vAlign w:val="center"/>
          </w:tcPr>
          <w:p w14:paraId="19274698">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50 mm</w:t>
            </w:r>
          </w:p>
        </w:tc>
      </w:tr>
      <w:tr w14:paraId="7782E09C">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774" w:type="pct"/>
            <w:tcBorders>
              <w:top w:val="nil"/>
              <w:bottom w:val="nil"/>
            </w:tcBorders>
            <w:shd w:val="clear" w:color="auto" w:fill="FFFFFF"/>
            <w:vAlign w:val="center"/>
          </w:tcPr>
          <w:p w14:paraId="48B7E3D9">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Voxel grid size</w:t>
            </w:r>
          </w:p>
        </w:tc>
        <w:tc>
          <w:tcPr>
            <w:tcW w:w="765" w:type="pct"/>
            <w:tcBorders>
              <w:top w:val="nil"/>
              <w:bottom w:val="nil"/>
            </w:tcBorders>
            <w:shd w:val="clear" w:color="auto" w:fill="FFFFFF"/>
            <w:vAlign w:val="center"/>
          </w:tcPr>
          <w:p w14:paraId="448FFD5F">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w:t>
            </w:r>
          </w:p>
        </w:tc>
        <w:tc>
          <w:tcPr>
            <w:tcW w:w="2460" w:type="pct"/>
            <w:tcBorders>
              <w:top w:val="nil"/>
              <w:bottom w:val="nil"/>
            </w:tcBorders>
            <w:shd w:val="clear" w:color="auto" w:fill="FFFFFF"/>
            <w:vAlign w:val="center"/>
          </w:tcPr>
          <w:p w14:paraId="75B17259">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100 x 36 x 42 = 151,200 voxels</w:t>
            </w:r>
          </w:p>
        </w:tc>
      </w:tr>
      <w:tr w14:paraId="640DEC55">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774" w:type="pct"/>
            <w:tcBorders>
              <w:top w:val="nil"/>
              <w:bottom w:val="nil"/>
            </w:tcBorders>
            <w:shd w:val="clear" w:color="auto" w:fill="FFFFFF"/>
            <w:vAlign w:val="center"/>
          </w:tcPr>
          <w:p w14:paraId="6EC8AB7C">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Reachability samples</w:t>
            </w:r>
          </w:p>
        </w:tc>
        <w:tc>
          <w:tcPr>
            <w:tcW w:w="765" w:type="pct"/>
            <w:tcBorders>
              <w:top w:val="nil"/>
              <w:bottom w:val="nil"/>
            </w:tcBorders>
            <w:shd w:val="clear" w:color="auto" w:fill="FFFFFF"/>
            <w:vAlign w:val="center"/>
          </w:tcPr>
          <w:p w14:paraId="35542EBD">
            <w:pPr>
              <w:widowControl/>
              <w:spacing w:after="0" w:line="240" w:lineRule="auto"/>
              <w:jc w:val="both"/>
              <w:rPr>
                <w:rFonts w:ascii="Times New Roman" w:hAnsi="Times New Roman" w:eastAsia="宋体" w:cs="Times New Roman"/>
                <w:b w:val="0"/>
                <w:color w:val="000000"/>
                <w:kern w:val="0"/>
                <w:sz w:val="20"/>
                <w:szCs w:val="22"/>
                <w:lang w:eastAsia="en-US"/>
              </w:rPr>
            </w:pPr>
            <m:oMathPara>
              <m:oMath>
                <m:sSub>
                  <m:sSubPr>
                    <m:ctrlPr>
                      <w:rPr>
                        <w:rFonts w:hint="default" w:ascii="Cambria Math" w:hAnsi="Cambria Math" w:eastAsia="宋体"/>
                        <w:b w:val="0"/>
                        <w:color w:val="000000"/>
                        <w:sz w:val="18"/>
                      </w:rPr>
                    </m:ctrlPr>
                  </m:sSubPr>
                  <m:e>
                    <m:r>
                      <m:rPr/>
                      <w:rPr>
                        <w:rFonts w:hint="default" w:ascii="Cambria Math" w:hAnsi="Cambria Math" w:eastAsia="宋体"/>
                        <w:color w:val="000000"/>
                        <w:sz w:val="18"/>
                      </w:rPr>
                      <m:t>N</m:t>
                    </m:r>
                    <m:ctrlPr>
                      <w:rPr>
                        <w:rFonts w:ascii="Cambria Math" w:hAnsi="Cambria Math" w:eastAsia="宋体"/>
                        <w:b w:val="0"/>
                        <w:color w:val="000000"/>
                        <w:sz w:val="18"/>
                      </w:rPr>
                    </m:ctrlPr>
                  </m:e>
                  <m:sub>
                    <m:r>
                      <m:rPr/>
                      <w:rPr>
                        <w:rFonts w:hint="default" w:ascii="Cambria Math" w:hAnsi="Cambria Math" w:eastAsia="宋体"/>
                        <w:color w:val="000000"/>
                        <w:sz w:val="18"/>
                      </w:rPr>
                      <m:t>q</m:t>
                    </m:r>
                    <m:ctrlPr>
                      <w:rPr>
                        <w:rFonts w:ascii="Cambria Math" w:hAnsi="Cambria Math" w:eastAsia="宋体"/>
                        <w:b w:val="0"/>
                        <w:color w:val="000000"/>
                        <w:sz w:val="18"/>
                      </w:rPr>
                    </m:ctrlPr>
                  </m:sub>
                </m:sSub>
              </m:oMath>
            </m:oMathPara>
          </w:p>
        </w:tc>
        <w:tc>
          <w:tcPr>
            <w:tcW w:w="2460" w:type="pct"/>
            <w:tcBorders>
              <w:top w:val="nil"/>
              <w:bottom w:val="nil"/>
            </w:tcBorders>
            <w:shd w:val="clear" w:color="auto" w:fill="FFFFFF"/>
            <w:vAlign w:val="center"/>
          </w:tcPr>
          <w:p w14:paraId="58E5ECBE">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50,000 joint configurations</w:t>
            </w:r>
          </w:p>
        </w:tc>
      </w:tr>
      <w:tr w14:paraId="138CA6DC">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774" w:type="pct"/>
            <w:tcBorders>
              <w:top w:val="nil"/>
              <w:bottom w:val="nil"/>
            </w:tcBorders>
            <w:shd w:val="clear" w:color="auto" w:fill="FFFFFF"/>
            <w:vAlign w:val="center"/>
          </w:tcPr>
          <w:p w14:paraId="7360B8D8">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Visibility viewpoints</w:t>
            </w:r>
          </w:p>
        </w:tc>
        <w:tc>
          <w:tcPr>
            <w:tcW w:w="765" w:type="pct"/>
            <w:tcBorders>
              <w:top w:val="nil"/>
              <w:bottom w:val="nil"/>
            </w:tcBorders>
            <w:shd w:val="clear" w:color="auto" w:fill="FFFFFF"/>
            <w:vAlign w:val="center"/>
          </w:tcPr>
          <w:p w14:paraId="1EC3B789">
            <w:pPr>
              <w:widowControl/>
              <w:spacing w:after="0" w:line="240" w:lineRule="auto"/>
              <w:jc w:val="both"/>
              <w:rPr>
                <w:rFonts w:ascii="Times New Roman" w:hAnsi="Times New Roman" w:eastAsia="宋体" w:cs="Times New Roman"/>
                <w:b w:val="0"/>
                <w:color w:val="000000"/>
                <w:kern w:val="0"/>
                <w:sz w:val="20"/>
                <w:szCs w:val="22"/>
                <w:lang w:eastAsia="en-US"/>
              </w:rPr>
            </w:pPr>
            <m:oMathPara>
              <m:oMath>
                <m:sSub>
                  <m:sSubPr>
                    <m:ctrlPr>
                      <w:rPr>
                        <w:rFonts w:hint="default" w:ascii="Cambria Math" w:hAnsi="Cambria Math" w:eastAsia="宋体"/>
                        <w:b w:val="0"/>
                        <w:color w:val="000000"/>
                        <w:sz w:val="18"/>
                      </w:rPr>
                    </m:ctrlPr>
                  </m:sSubPr>
                  <m:e>
                    <m:r>
                      <m:rPr/>
                      <w:rPr>
                        <w:rFonts w:hint="default" w:ascii="Cambria Math" w:hAnsi="Cambria Math" w:eastAsia="宋体"/>
                        <w:color w:val="000000"/>
                        <w:sz w:val="18"/>
                      </w:rPr>
                      <m:t>N</m:t>
                    </m:r>
                    <m:ctrlPr>
                      <w:rPr>
                        <w:rFonts w:ascii="Cambria Math" w:hAnsi="Cambria Math" w:eastAsia="宋体"/>
                        <w:b w:val="0"/>
                        <w:color w:val="000000"/>
                        <w:sz w:val="18"/>
                      </w:rPr>
                    </m:ctrlPr>
                  </m:e>
                  <m:sub>
                    <m:r>
                      <m:rPr/>
                      <w:rPr>
                        <w:rFonts w:hint="default" w:ascii="Cambria Math" w:hAnsi="Cambria Math" w:eastAsia="宋体"/>
                        <w:color w:val="000000"/>
                        <w:sz w:val="18"/>
                      </w:rPr>
                      <m:t>v</m:t>
                    </m:r>
                    <m:ctrlPr>
                      <w:rPr>
                        <w:rFonts w:ascii="Cambria Math" w:hAnsi="Cambria Math" w:eastAsia="宋体"/>
                        <w:b w:val="0"/>
                        <w:color w:val="000000"/>
                        <w:sz w:val="18"/>
                      </w:rPr>
                    </m:ctrlPr>
                  </m:sub>
                </m:sSub>
              </m:oMath>
            </m:oMathPara>
          </w:p>
        </w:tc>
        <w:tc>
          <w:tcPr>
            <w:tcW w:w="2460" w:type="pct"/>
            <w:tcBorders>
              <w:top w:val="nil"/>
              <w:bottom w:val="nil"/>
            </w:tcBorders>
            <w:shd w:val="clear" w:color="auto" w:fill="FFFFFF"/>
            <w:vAlign w:val="center"/>
          </w:tcPr>
          <w:p w14:paraId="327ADF60">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8 viewpoints</w:t>
            </w:r>
          </w:p>
        </w:tc>
      </w:tr>
      <w:tr w14:paraId="0AA4CD08">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774" w:type="pct"/>
            <w:tcBorders>
              <w:top w:val="nil"/>
              <w:bottom w:val="nil"/>
            </w:tcBorders>
            <w:shd w:val="clear" w:color="auto" w:fill="FFFFFF"/>
            <w:vAlign w:val="center"/>
          </w:tcPr>
          <w:p w14:paraId="20C000E2">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Bootstrap replications</w:t>
            </w:r>
          </w:p>
        </w:tc>
        <w:tc>
          <w:tcPr>
            <w:tcW w:w="765" w:type="pct"/>
            <w:tcBorders>
              <w:top w:val="nil"/>
              <w:bottom w:val="nil"/>
            </w:tcBorders>
            <w:shd w:val="clear" w:color="auto" w:fill="FFFFFF"/>
            <w:vAlign w:val="center"/>
          </w:tcPr>
          <w:p w14:paraId="766D2592">
            <w:pPr>
              <w:widowControl/>
              <w:spacing w:after="0" w:line="240" w:lineRule="auto"/>
              <w:jc w:val="both"/>
              <w:rPr>
                <w:rFonts w:ascii="Times New Roman" w:hAnsi="Times New Roman" w:eastAsia="宋体" w:cs="Times New Roman"/>
                <w:b w:val="0"/>
                <w:color w:val="000000"/>
                <w:kern w:val="0"/>
                <w:sz w:val="20"/>
                <w:szCs w:val="22"/>
                <w:lang w:eastAsia="en-US"/>
              </w:rPr>
            </w:pPr>
            <m:oMathPara>
              <m:oMath>
                <m:r>
                  <m:rPr/>
                  <w:rPr>
                    <w:rFonts w:hint="default" w:ascii="Cambria Math" w:hAnsi="Cambria Math" w:eastAsia="宋体"/>
                    <w:color w:val="000000"/>
                    <w:sz w:val="18"/>
                  </w:rPr>
                  <m:t>B</m:t>
                </m:r>
              </m:oMath>
            </m:oMathPara>
          </w:p>
        </w:tc>
        <w:tc>
          <w:tcPr>
            <w:tcW w:w="2460" w:type="pct"/>
            <w:tcBorders>
              <w:top w:val="nil"/>
              <w:bottom w:val="nil"/>
            </w:tcBorders>
            <w:shd w:val="clear" w:color="auto" w:fill="FFFFFF"/>
            <w:vAlign w:val="center"/>
          </w:tcPr>
          <w:p w14:paraId="1950539E">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1,000</w:t>
            </w:r>
          </w:p>
        </w:tc>
      </w:tr>
      <w:tr w14:paraId="2C638C24">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774" w:type="pct"/>
            <w:tcBorders>
              <w:top w:val="nil"/>
              <w:bottom w:val="single" w:color="000000" w:sz="12" w:space="0"/>
            </w:tcBorders>
            <w:shd w:val="clear" w:color="auto" w:fill="FFFFFF"/>
            <w:vAlign w:val="center"/>
          </w:tcPr>
          <w:p w14:paraId="11E7E46B">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Baseline replications</w:t>
            </w:r>
          </w:p>
        </w:tc>
        <w:tc>
          <w:tcPr>
            <w:tcW w:w="765" w:type="pct"/>
            <w:tcBorders>
              <w:top w:val="nil"/>
              <w:bottom w:val="single" w:color="000000" w:sz="12" w:space="0"/>
            </w:tcBorders>
            <w:shd w:val="clear" w:color="auto" w:fill="FFFFFF"/>
            <w:vAlign w:val="center"/>
          </w:tcPr>
          <w:p w14:paraId="77BB17B1">
            <w:pPr>
              <w:widowControl/>
              <w:spacing w:after="0" w:line="240" w:lineRule="auto"/>
              <w:jc w:val="both"/>
              <w:rPr>
                <w:rFonts w:ascii="Times New Roman" w:hAnsi="Times New Roman" w:eastAsia="宋体" w:cs="Times New Roman"/>
                <w:b w:val="0"/>
                <w:color w:val="000000"/>
                <w:kern w:val="0"/>
                <w:sz w:val="20"/>
                <w:szCs w:val="22"/>
                <w:lang w:eastAsia="en-US"/>
              </w:rPr>
            </w:pPr>
            <m:oMathPara>
              <m:oMath>
                <m:r>
                  <m:rPr/>
                  <w:rPr>
                    <w:rFonts w:hint="default" w:ascii="Cambria Math" w:hAnsi="Cambria Math" w:eastAsia="宋体"/>
                    <w:color w:val="000000"/>
                    <w:sz w:val="18"/>
                  </w:rPr>
                  <m:t>R</m:t>
                </m:r>
              </m:oMath>
            </m:oMathPara>
          </w:p>
        </w:tc>
        <w:tc>
          <w:tcPr>
            <w:tcW w:w="2460" w:type="pct"/>
            <w:tcBorders>
              <w:top w:val="nil"/>
              <w:bottom w:val="single" w:color="000000" w:sz="12" w:space="0"/>
            </w:tcBorders>
            <w:shd w:val="clear" w:color="auto" w:fill="FFFFFF"/>
            <w:vAlign w:val="center"/>
          </w:tcPr>
          <w:p w14:paraId="04FB93DF">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10</w:t>
            </w:r>
          </w:p>
        </w:tc>
      </w:tr>
    </w:tbl>
    <w:p w14:paraId="15D7EB60">
      <w:pPr>
        <w:keepNext/>
        <w:keepLines/>
        <w:spacing w:before="480" w:after="0" w:line="276" w:lineRule="auto"/>
        <w:jc w:val="both"/>
        <w:outlineLvl w:val="0"/>
        <w:rPr>
          <w:rFonts w:ascii="Calibri" w:hAnsi="Calibri" w:eastAsia="宋体" w:cs="Times New Roman"/>
          <w:b/>
          <w:bCs/>
          <w:color w:val="366091"/>
          <w:sz w:val="24"/>
          <w:szCs w:val="28"/>
          <w:lang w:val="en-US" w:eastAsia="en-US" w:bidi="ar-SA"/>
        </w:rPr>
      </w:pPr>
      <w:r>
        <w:rPr>
          <w:rFonts w:ascii="Times New Roman" w:hAnsi="Times New Roman" w:eastAsia="宋体" w:cs="Times New Roman"/>
          <w:b/>
          <w:bCs/>
          <w:color w:val="366091"/>
          <w:sz w:val="20"/>
          <w:szCs w:val="28"/>
          <w:lang w:val="en-US" w:eastAsia="en-US" w:bidi="ar-SA"/>
        </w:rPr>
        <w:t>5. Harvestability field evaluation</w:t>
      </w:r>
    </w:p>
    <w:p w14:paraId="2FDA8586">
      <w:pPr>
        <w:widowControl/>
        <w:spacing w:after="200" w:line="276" w:lineRule="auto"/>
        <w:jc w:val="both"/>
        <w:rPr>
          <w:rFonts w:ascii="Times New Roman" w:hAnsi="Times New Roman" w:eastAsia="宋体" w:cs="Times New Roman"/>
          <w:kern w:val="0"/>
          <w:sz w:val="20"/>
          <w:szCs w:val="22"/>
          <w:lang w:eastAsia="en-US"/>
        </w:rPr>
      </w:pPr>
      <w:r>
        <w:rPr>
          <w:rFonts w:ascii="Times New Roman" w:hAnsi="Times New Roman" w:eastAsia="宋体" w:cs="Times New Roman"/>
          <w:kern w:val="0"/>
          <w:sz w:val="20"/>
          <w:szCs w:val="22"/>
          <w:lang w:eastAsia="en-US"/>
        </w:rPr>
        <w:t>Reachability was computed from sampled collision-free robot configurations and normalised manipulability. Visibility was computed by ray casting from candidate camera viewpoints. Clearance was computed as an exponential function of local obstacle density. Detachability combined the gripper-force term with a nearest-neighbour fruit-spacing term. The composite field was evaluated as</w:t>
      </w:r>
    </w:p>
    <w:p w14:paraId="573CFAF4">
      <w:pPr>
        <w:widowControl/>
        <w:spacing w:after="200" w:line="276" w:lineRule="auto"/>
        <w:jc w:val="both"/>
        <w:rPr>
          <w:rFonts w:ascii="Times New Roman" w:hAnsi="Times New Roman" w:eastAsia="宋体" w:cs="Times New Roman"/>
          <w:kern w:val="0"/>
          <w:sz w:val="20"/>
          <w:szCs w:val="22"/>
          <w:lang w:eastAsia="en-US"/>
        </w:rPr>
      </w:pPr>
      <m:oMathPara>
        <m:oMath>
          <m:r>
            <m:rPr>
              <m:scr m:val="script"/>
            </m:rPr>
            <w:rPr>
              <w:rFonts w:hint="default" w:ascii="Cambria Math" w:hAnsi="Cambria Math" w:eastAsia="MS Mincho"/>
              <w:sz w:val="20"/>
            </w:rPr>
            <m:t>ℋ</m:t>
          </m:r>
          <m:r>
            <m:rPr/>
            <w:rPr>
              <w:rFonts w:hint="default" w:ascii="Cambria Math" w:hAnsi="Cambria Math" w:eastAsia="宋体"/>
              <w:sz w:val="20"/>
            </w:rPr>
            <m:t>(</m:t>
          </m:r>
          <m:r>
            <m:rPr>
              <m:sty m:val="b"/>
            </m:rPr>
            <w:rPr>
              <w:rFonts w:hint="default" w:ascii="Cambria Math" w:hAnsi="Cambria Math" w:eastAsia="宋体"/>
              <w:sz w:val="20"/>
            </w:rPr>
            <m:t>x</m:t>
          </m:r>
          <m:r>
            <m:rPr/>
            <w:rPr>
              <w:rFonts w:hint="default" w:ascii="Cambria Math" w:hAnsi="Cambria Math" w:eastAsia="宋体"/>
              <w:sz w:val="20"/>
            </w:rPr>
            <m:t>)=R(</m:t>
          </m:r>
          <m:r>
            <m:rPr>
              <m:sty m:val="b"/>
            </m:rPr>
            <w:rPr>
              <w:rFonts w:hint="default" w:ascii="Cambria Math" w:hAnsi="Cambria Math" w:eastAsia="宋体"/>
              <w:sz w:val="20"/>
            </w:rPr>
            <m:t>x</m:t>
          </m:r>
          <m:r>
            <m:rPr/>
            <w:rPr>
              <w:rFonts w:hint="default" w:ascii="Cambria Math" w:hAnsi="Cambria Math" w:eastAsia="宋体"/>
              <w:sz w:val="20"/>
            </w:rPr>
            <m:t>)V(</m:t>
          </m:r>
          <m:r>
            <m:rPr>
              <m:sty m:val="b"/>
            </m:rPr>
            <w:rPr>
              <w:rFonts w:hint="default" w:ascii="Cambria Math" w:hAnsi="Cambria Math" w:eastAsia="宋体"/>
              <w:sz w:val="20"/>
            </w:rPr>
            <m:t>x</m:t>
          </m:r>
          <m:r>
            <m:rPr/>
            <w:rPr>
              <w:rFonts w:hint="default" w:ascii="Cambria Math" w:hAnsi="Cambria Math" w:eastAsia="宋体"/>
              <w:sz w:val="20"/>
            </w:rPr>
            <m:t>)C(</m:t>
          </m:r>
          <m:r>
            <m:rPr>
              <m:sty m:val="b"/>
            </m:rPr>
            <w:rPr>
              <w:rFonts w:hint="default" w:ascii="Cambria Math" w:hAnsi="Cambria Math" w:eastAsia="宋体"/>
              <w:sz w:val="20"/>
            </w:rPr>
            <m:t>x</m:t>
          </m:r>
          <m:r>
            <m:rPr/>
            <w:rPr>
              <w:rFonts w:hint="default" w:ascii="Cambria Math" w:hAnsi="Cambria Math" w:eastAsia="宋体"/>
              <w:sz w:val="20"/>
            </w:rPr>
            <m:t>)D(</m:t>
          </m:r>
          <m:r>
            <m:rPr>
              <m:sty m:val="b"/>
            </m:rPr>
            <w:rPr>
              <w:rFonts w:hint="default" w:ascii="Cambria Math" w:hAnsi="Cambria Math" w:eastAsia="宋体"/>
              <w:sz w:val="20"/>
            </w:rPr>
            <m:t>x</m:t>
          </m:r>
          <m:r>
            <m:rPr/>
            <w:rPr>
              <w:rFonts w:hint="default" w:ascii="Cambria Math" w:hAnsi="Cambria Math" w:eastAsia="宋体"/>
              <w:sz w:val="20"/>
            </w:rPr>
            <m:t>).</m:t>
          </m:r>
        </m:oMath>
      </m:oMathPara>
    </w:p>
    <w:p w14:paraId="706BBD4E">
      <w:pPr>
        <w:keepNext/>
        <w:keepLines/>
        <w:spacing w:before="480" w:after="0" w:line="276" w:lineRule="auto"/>
        <w:jc w:val="both"/>
        <w:outlineLvl w:val="0"/>
        <w:rPr>
          <w:rFonts w:ascii="Calibri" w:hAnsi="Calibri" w:eastAsia="宋体" w:cs="Times New Roman"/>
          <w:b/>
          <w:bCs/>
          <w:color w:val="366091"/>
          <w:sz w:val="24"/>
          <w:szCs w:val="28"/>
          <w:lang w:val="en-US" w:eastAsia="en-US" w:bidi="ar-SA"/>
        </w:rPr>
      </w:pPr>
      <w:r>
        <w:rPr>
          <w:rFonts w:ascii="Times New Roman" w:hAnsi="Times New Roman" w:eastAsia="宋体" w:cs="Times New Roman"/>
          <w:b/>
          <w:bCs/>
          <w:color w:val="366091"/>
          <w:sz w:val="20"/>
          <w:szCs w:val="28"/>
          <w:lang w:val="en-US" w:eastAsia="en-US" w:bidi="ar-SA"/>
        </w:rPr>
        <w:t>6. Calibration procedure</w:t>
      </w:r>
    </w:p>
    <w:p w14:paraId="324407FB">
      <w:pPr>
        <w:widowControl/>
        <w:spacing w:after="200" w:line="276" w:lineRule="auto"/>
        <w:jc w:val="both"/>
        <w:rPr>
          <w:rFonts w:ascii="Times New Roman" w:hAnsi="Times New Roman" w:eastAsia="宋体" w:cs="Times New Roman"/>
          <w:kern w:val="0"/>
          <w:sz w:val="20"/>
          <w:szCs w:val="22"/>
          <w:lang w:eastAsia="en-US"/>
        </w:rPr>
      </w:pPr>
      <w:r>
        <w:rPr>
          <w:rFonts w:ascii="Times New Roman" w:hAnsi="Times New Roman" w:eastAsia="宋体" w:cs="Times New Roman"/>
          <w:kern w:val="0"/>
          <w:sz w:val="20"/>
          <w:szCs w:val="22"/>
          <w:lang w:eastAsia="en-US"/>
        </w:rPr>
        <w:t xml:space="preserve">The clearance parameters </w:t>
      </w:r>
      <m:oMath>
        <m:r>
          <m:rPr/>
          <w:rPr>
            <w:rFonts w:hint="default" w:ascii="Cambria Math" w:hAnsi="Cambria Math" w:eastAsia="宋体"/>
            <w:sz w:val="20"/>
          </w:rPr>
          <m:t>λ</m:t>
        </m:r>
      </m:oMath>
      <w:r>
        <w:rPr>
          <w:rFonts w:ascii="Times New Roman" w:hAnsi="Times New Roman" w:eastAsia="宋体" w:cs="Times New Roman"/>
          <w:kern w:val="0"/>
          <w:sz w:val="20"/>
          <w:szCs w:val="22"/>
          <w:lang w:eastAsia="en-US"/>
        </w:rPr>
        <w:t xml:space="preserve"> and </w:t>
      </w:r>
      <m:oMath>
        <m:sSub>
          <m:sSubPr>
            <m:ctrlPr>
              <w:rPr>
                <w:rFonts w:hint="default" w:ascii="Cambria Math" w:hAnsi="Cambria Math" w:eastAsia="宋体"/>
                <w:sz w:val="20"/>
              </w:rPr>
            </m:ctrlPr>
          </m:sSubPr>
          <m:e>
            <m:r>
              <m:rPr/>
              <w:rPr>
                <w:rFonts w:hint="default" w:ascii="Cambria Math" w:hAnsi="Cambria Math" w:eastAsia="宋体"/>
                <w:sz w:val="20"/>
              </w:rPr>
              <m:t>r</m:t>
            </m:r>
            <m:ctrlPr>
              <w:rPr>
                <w:rFonts w:ascii="Cambria Math" w:hAnsi="Cambria Math" w:eastAsia="宋体"/>
                <w:sz w:val="20"/>
              </w:rPr>
            </m:ctrlPr>
          </m:e>
          <m:sub>
            <m:r>
              <m:rPr/>
              <w:rPr>
                <w:rFonts w:hint="default" w:ascii="Cambria Math" w:hAnsi="Cambria Math" w:eastAsia="宋体"/>
                <w:sz w:val="20"/>
              </w:rPr>
              <m:t>c</m:t>
            </m:r>
            <m:ctrlPr>
              <w:rPr>
                <w:rFonts w:ascii="Cambria Math" w:hAnsi="Cambria Math" w:eastAsia="宋体"/>
                <w:sz w:val="20"/>
              </w:rPr>
            </m:ctrlPr>
          </m:sub>
        </m:sSub>
      </m:oMath>
      <w:r>
        <w:rPr>
          <w:rFonts w:ascii="Times New Roman" w:hAnsi="Times New Roman" w:eastAsia="宋体" w:cs="Times New Roman"/>
          <w:kern w:val="0"/>
          <w:sz w:val="20"/>
          <w:szCs w:val="22"/>
          <w:lang w:eastAsia="en-US"/>
        </w:rPr>
        <w:t xml:space="preserve"> were calibrated using exhaustive grid search. The target value was the published robotic kiwifruit harvesting success rate of 0.558. The accepted calibration point in the manuscript was</w:t>
      </w:r>
      <w:r>
        <w:rPr>
          <w:rFonts w:hint="eastAsia" w:ascii="Times New Roman" w:hAnsi="Times New Roman" w:eastAsia="宋体" w:cs="Times New Roman"/>
          <w:kern w:val="0"/>
          <w:sz w:val="20"/>
          <w:szCs w:val="22"/>
          <w:lang w:val="en-US" w:eastAsia="zh-CN"/>
        </w:rPr>
        <w:t xml:space="preserve"> </w:t>
      </w:r>
      <m:oMath>
        <m:r>
          <m:rPr/>
          <w:rPr>
            <w:rFonts w:hint="default" w:ascii="Cambria Math" w:hAnsi="Cambria Math" w:eastAsia="宋体"/>
            <w:sz w:val="20"/>
          </w:rPr>
          <m:t>λ=1.0 </m:t>
        </m:r>
        <m:sSup>
          <m:sSupPr>
            <m:ctrlPr>
              <w:rPr>
                <w:rFonts w:hint="default" w:ascii="Cambria Math" w:hAnsi="Cambria Math" w:eastAsia="宋体"/>
                <w:sz w:val="20"/>
              </w:rPr>
            </m:ctrlPr>
          </m:sSupPr>
          <m:e>
            <m:r>
              <m:rPr>
                <m:sty m:val="p"/>
              </m:rPr>
              <w:rPr>
                <w:rFonts w:hint="default" w:ascii="Cambria Math" w:hAnsi="Cambria Math" w:eastAsia="宋体"/>
                <w:sz w:val="20"/>
              </w:rPr>
              <m:t>m</m:t>
            </m:r>
            <m:ctrlPr>
              <w:rPr>
                <w:rFonts w:ascii="Cambria Math" w:hAnsi="Cambria Math" w:eastAsia="宋体"/>
                <w:sz w:val="20"/>
              </w:rPr>
            </m:ctrlPr>
          </m:e>
          <m:sup>
            <m:r>
              <m:rPr/>
              <w:rPr>
                <w:rFonts w:hint="default" w:ascii="Cambria Math" w:hAnsi="Cambria Math" w:eastAsia="宋体"/>
                <w:sz w:val="20"/>
              </w:rPr>
              <m:t>−1</m:t>
            </m:r>
            <m:ctrlPr>
              <w:rPr>
                <w:rFonts w:ascii="Cambria Math" w:hAnsi="Cambria Math" w:eastAsia="宋体"/>
                <w:sz w:val="20"/>
              </w:rPr>
            </m:ctrlPr>
          </m:sup>
        </m:sSup>
      </m:oMath>
      <w:r>
        <w:rPr>
          <w:rFonts w:ascii="Times New Roman" w:hAnsi="Times New Roman" w:eastAsia="宋体" w:cs="Times New Roman"/>
          <w:kern w:val="0"/>
          <w:sz w:val="20"/>
          <w:szCs w:val="22"/>
          <w:lang w:eastAsia="en-US"/>
        </w:rPr>
        <w:t xml:space="preserve"> and </w:t>
      </w:r>
      <m:oMath>
        <m:sSub>
          <m:sSubPr>
            <m:ctrlPr>
              <w:rPr>
                <w:rFonts w:hint="default" w:ascii="Cambria Math" w:hAnsi="Cambria Math" w:eastAsia="宋体"/>
                <w:sz w:val="20"/>
              </w:rPr>
            </m:ctrlPr>
          </m:sSubPr>
          <m:e>
            <m:r>
              <m:rPr/>
              <w:rPr>
                <w:rFonts w:hint="default" w:ascii="Cambria Math" w:hAnsi="Cambria Math" w:eastAsia="宋体"/>
                <w:sz w:val="20"/>
              </w:rPr>
              <m:t>r</m:t>
            </m:r>
            <m:ctrlPr>
              <w:rPr>
                <w:rFonts w:ascii="Cambria Math" w:hAnsi="Cambria Math" w:eastAsia="宋体"/>
                <w:sz w:val="20"/>
              </w:rPr>
            </m:ctrlPr>
          </m:e>
          <m:sub>
            <m:r>
              <m:rPr/>
              <w:rPr>
                <w:rFonts w:hint="default" w:ascii="Cambria Math" w:hAnsi="Cambria Math" w:eastAsia="宋体"/>
                <w:sz w:val="20"/>
              </w:rPr>
              <m:t>c</m:t>
            </m:r>
            <m:ctrlPr>
              <w:rPr>
                <w:rFonts w:ascii="Cambria Math" w:hAnsi="Cambria Math" w:eastAsia="宋体"/>
                <w:sz w:val="20"/>
              </w:rPr>
            </m:ctrlPr>
          </m:sub>
        </m:sSub>
        <m:r>
          <m:rPr/>
          <w:rPr>
            <w:rFonts w:hint="default" w:ascii="Cambria Math" w:hAnsi="Cambria Math" w:eastAsia="宋体"/>
            <w:sz w:val="20"/>
          </w:rPr>
          <m:t>=0.133 </m:t>
        </m:r>
        <m:r>
          <m:rPr>
            <m:sty m:val="p"/>
          </m:rPr>
          <w:rPr>
            <w:rFonts w:hint="default" w:ascii="Cambria Math" w:hAnsi="Cambria Math" w:eastAsia="宋体"/>
            <w:sz w:val="20"/>
          </w:rPr>
          <m:t>m</m:t>
        </m:r>
      </m:oMath>
      <w:r>
        <w:rPr>
          <w:rFonts w:ascii="Times New Roman" w:hAnsi="Times New Roman" w:eastAsia="宋体" w:cs="Times New Roman"/>
          <w:kern w:val="0"/>
          <w:sz w:val="20"/>
          <w:szCs w:val="22"/>
          <w:lang w:eastAsia="en-US"/>
        </w:rPr>
        <w:t>, yielding HYI = 0.562.</w:t>
      </w:r>
    </w:p>
    <w:p w14:paraId="0606A1E3">
      <w:pPr>
        <w:keepNext/>
        <w:keepLines/>
        <w:spacing w:before="480" w:after="0" w:line="276" w:lineRule="auto"/>
        <w:jc w:val="both"/>
        <w:outlineLvl w:val="0"/>
        <w:rPr>
          <w:rFonts w:ascii="Calibri" w:hAnsi="Calibri" w:eastAsia="宋体" w:cs="Times New Roman"/>
          <w:b/>
          <w:bCs/>
          <w:color w:val="366091"/>
          <w:sz w:val="24"/>
          <w:szCs w:val="28"/>
          <w:lang w:val="en-US" w:eastAsia="en-US" w:bidi="ar-SA"/>
        </w:rPr>
      </w:pPr>
      <w:r>
        <w:rPr>
          <w:rFonts w:ascii="Times New Roman" w:hAnsi="Times New Roman" w:eastAsia="宋体" w:cs="Times New Roman"/>
          <w:b/>
          <w:bCs/>
          <w:color w:val="366091"/>
          <w:sz w:val="20"/>
          <w:szCs w:val="28"/>
          <w:lang w:val="en-US" w:eastAsia="en-US" w:bidi="ar-SA"/>
        </w:rPr>
        <w:t>7. Optimisation settings</w:t>
      </w:r>
    </w:p>
    <w:tbl>
      <w:tblPr>
        <w:tblStyle w:val="3"/>
        <w:tblW w:w="4999" w:type="pct"/>
        <w:jc w:val="center"/>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Layout w:type="autofit"/>
        <w:tblCellMar>
          <w:top w:w="0" w:type="dxa"/>
          <w:left w:w="108" w:type="dxa"/>
          <w:bottom w:w="0" w:type="dxa"/>
          <w:right w:w="108" w:type="dxa"/>
        </w:tblCellMar>
      </w:tblPr>
      <w:tblGrid>
        <w:gridCol w:w="2873"/>
        <w:gridCol w:w="6701"/>
      </w:tblGrid>
      <w:tr w14:paraId="4E1C7BFD">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500" w:type="pct"/>
            <w:tcBorders>
              <w:top w:val="single" w:color="000000" w:sz="12" w:space="0"/>
              <w:bottom w:val="single" w:color="000000" w:sz="4" w:space="0"/>
              <w:tl2br w:val="nil"/>
            </w:tcBorders>
            <w:shd w:val="clear" w:color="auto" w:fill="FFFFFF"/>
            <w:vAlign w:val="center"/>
          </w:tcPr>
          <w:p w14:paraId="1765D79D">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Parameter</w:t>
            </w:r>
          </w:p>
        </w:tc>
        <w:tc>
          <w:tcPr>
            <w:tcW w:w="3499" w:type="pct"/>
            <w:tcBorders>
              <w:top w:val="single" w:color="000000" w:sz="12" w:space="0"/>
              <w:bottom w:val="single" w:color="000000" w:sz="4" w:space="0"/>
            </w:tcBorders>
            <w:shd w:val="clear" w:color="auto" w:fill="FFFFFF"/>
            <w:vAlign w:val="center"/>
          </w:tcPr>
          <w:p w14:paraId="22853016">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Value</w:t>
            </w:r>
          </w:p>
        </w:tc>
      </w:tr>
      <w:tr w14:paraId="36B15E5C">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500" w:type="pct"/>
            <w:tcBorders>
              <w:top w:val="single" w:color="000000" w:sz="4" w:space="0"/>
              <w:bottom w:val="nil"/>
            </w:tcBorders>
            <w:shd w:val="clear" w:color="auto" w:fill="FFFFFF"/>
            <w:vAlign w:val="center"/>
          </w:tcPr>
          <w:p w14:paraId="56D37848">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Algorithm</w:t>
            </w:r>
          </w:p>
        </w:tc>
        <w:tc>
          <w:tcPr>
            <w:tcW w:w="3499" w:type="pct"/>
            <w:tcBorders>
              <w:top w:val="single" w:color="000000" w:sz="4" w:space="0"/>
              <w:bottom w:val="nil"/>
            </w:tcBorders>
            <w:shd w:val="clear" w:color="auto" w:fill="FFFFFF"/>
            <w:vAlign w:val="center"/>
          </w:tcPr>
          <w:p w14:paraId="601A3417">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NSGA-III</w:t>
            </w:r>
          </w:p>
        </w:tc>
      </w:tr>
      <w:tr w14:paraId="6463A22D">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500" w:type="pct"/>
            <w:tcBorders>
              <w:top w:val="nil"/>
              <w:bottom w:val="nil"/>
            </w:tcBorders>
            <w:shd w:val="clear" w:color="auto" w:fill="FFFFFF"/>
            <w:vAlign w:val="center"/>
          </w:tcPr>
          <w:p w14:paraId="6E80B77E">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Objectives</w:t>
            </w:r>
          </w:p>
        </w:tc>
        <w:tc>
          <w:tcPr>
            <w:tcW w:w="3499" w:type="pct"/>
            <w:tcBorders>
              <w:top w:val="nil"/>
              <w:bottom w:val="nil"/>
            </w:tcBorders>
            <w:shd w:val="clear" w:color="auto" w:fill="FFFFFF"/>
            <w:vAlign w:val="center"/>
          </w:tcPr>
          <w:p w14:paraId="22B34833">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Maximise HYI, maximise normalised yield proxy, minimise normalised labour cost</w:t>
            </w:r>
          </w:p>
        </w:tc>
      </w:tr>
      <w:tr w14:paraId="7736D473">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500" w:type="pct"/>
            <w:tcBorders>
              <w:top w:val="nil"/>
              <w:bottom w:val="nil"/>
            </w:tcBorders>
            <w:shd w:val="clear" w:color="auto" w:fill="FFFFFF"/>
            <w:vAlign w:val="center"/>
          </w:tcPr>
          <w:p w14:paraId="643A55B4">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Population size</w:t>
            </w:r>
          </w:p>
        </w:tc>
        <w:tc>
          <w:tcPr>
            <w:tcW w:w="3499" w:type="pct"/>
            <w:tcBorders>
              <w:top w:val="nil"/>
              <w:bottom w:val="nil"/>
            </w:tcBorders>
            <w:shd w:val="clear" w:color="auto" w:fill="FFFFFF"/>
            <w:vAlign w:val="center"/>
          </w:tcPr>
          <w:p w14:paraId="5A61AAB3">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92</w:t>
            </w:r>
          </w:p>
        </w:tc>
      </w:tr>
      <w:tr w14:paraId="09CA7107">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500" w:type="pct"/>
            <w:tcBorders>
              <w:top w:val="nil"/>
              <w:bottom w:val="nil"/>
            </w:tcBorders>
            <w:shd w:val="clear" w:color="auto" w:fill="FFFFFF"/>
            <w:vAlign w:val="center"/>
          </w:tcPr>
          <w:p w14:paraId="0D57248F">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Generations</w:t>
            </w:r>
          </w:p>
        </w:tc>
        <w:tc>
          <w:tcPr>
            <w:tcW w:w="3499" w:type="pct"/>
            <w:tcBorders>
              <w:top w:val="nil"/>
              <w:bottom w:val="nil"/>
            </w:tcBorders>
            <w:shd w:val="clear" w:color="auto" w:fill="FFFFFF"/>
            <w:vAlign w:val="center"/>
          </w:tcPr>
          <w:p w14:paraId="4904D411">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200</w:t>
            </w:r>
          </w:p>
        </w:tc>
      </w:tr>
      <w:tr w14:paraId="54E927EF">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500" w:type="pct"/>
            <w:tcBorders>
              <w:top w:val="nil"/>
              <w:bottom w:val="nil"/>
            </w:tcBorders>
            <w:shd w:val="clear" w:color="auto" w:fill="FFFFFF"/>
            <w:vAlign w:val="center"/>
          </w:tcPr>
          <w:p w14:paraId="5650B40F">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Total evaluations per optimisation</w:t>
            </w:r>
          </w:p>
        </w:tc>
        <w:tc>
          <w:tcPr>
            <w:tcW w:w="3499" w:type="pct"/>
            <w:tcBorders>
              <w:top w:val="nil"/>
              <w:bottom w:val="nil"/>
            </w:tcBorders>
            <w:shd w:val="clear" w:color="auto" w:fill="FFFFFF"/>
            <w:vAlign w:val="center"/>
          </w:tcPr>
          <w:p w14:paraId="32262D12">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18,400</w:t>
            </w:r>
          </w:p>
        </w:tc>
      </w:tr>
      <w:tr w14:paraId="56E18A7F">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500" w:type="pct"/>
            <w:tcBorders>
              <w:top w:val="nil"/>
              <w:bottom w:val="nil"/>
            </w:tcBorders>
            <w:shd w:val="clear" w:color="auto" w:fill="FFFFFF"/>
            <w:vAlign w:val="center"/>
          </w:tcPr>
          <w:p w14:paraId="40B97E6F">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Reference directions</w:t>
            </w:r>
          </w:p>
        </w:tc>
        <w:tc>
          <w:tcPr>
            <w:tcW w:w="3499" w:type="pct"/>
            <w:tcBorders>
              <w:top w:val="nil"/>
              <w:bottom w:val="nil"/>
            </w:tcBorders>
            <w:shd w:val="clear" w:color="auto" w:fill="FFFFFF"/>
            <w:vAlign w:val="center"/>
          </w:tcPr>
          <w:p w14:paraId="39632F52">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Das-Dennis simplex-lattice, H = 12, M = 3</w:t>
            </w:r>
          </w:p>
        </w:tc>
      </w:tr>
      <w:tr w14:paraId="7AE8C155">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500" w:type="pct"/>
            <w:tcBorders>
              <w:top w:val="nil"/>
              <w:bottom w:val="nil"/>
            </w:tcBorders>
            <w:shd w:val="clear" w:color="auto" w:fill="FFFFFF"/>
            <w:vAlign w:val="center"/>
          </w:tcPr>
          <w:p w14:paraId="1EEA8FDF">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Crossover</w:t>
            </w:r>
          </w:p>
        </w:tc>
        <w:tc>
          <w:tcPr>
            <w:tcW w:w="3499" w:type="pct"/>
            <w:tcBorders>
              <w:top w:val="nil"/>
              <w:bottom w:val="nil"/>
            </w:tcBorders>
            <w:shd w:val="clear" w:color="auto" w:fill="FFFFFF"/>
            <w:vAlign w:val="center"/>
          </w:tcPr>
          <w:p w14:paraId="4F218F9D">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Simulated binary crossover, eta_c = 30</w:t>
            </w:r>
          </w:p>
        </w:tc>
      </w:tr>
      <w:tr w14:paraId="3A654352">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500" w:type="pct"/>
            <w:tcBorders>
              <w:top w:val="nil"/>
              <w:bottom w:val="nil"/>
            </w:tcBorders>
            <w:shd w:val="clear" w:color="auto" w:fill="FFFFFF"/>
            <w:vAlign w:val="center"/>
          </w:tcPr>
          <w:p w14:paraId="6FB03A92">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Mutation</w:t>
            </w:r>
          </w:p>
        </w:tc>
        <w:tc>
          <w:tcPr>
            <w:tcW w:w="3499" w:type="pct"/>
            <w:tcBorders>
              <w:top w:val="nil"/>
              <w:bottom w:val="nil"/>
            </w:tcBorders>
            <w:shd w:val="clear" w:color="auto" w:fill="FFFFFF"/>
            <w:vAlign w:val="center"/>
          </w:tcPr>
          <w:p w14:paraId="1651A9A1">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Polynomial mutation, eta_m = 20</w:t>
            </w:r>
          </w:p>
        </w:tc>
      </w:tr>
      <w:tr w14:paraId="3664DBB1">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1500" w:type="pct"/>
            <w:tcBorders>
              <w:top w:val="nil"/>
              <w:bottom w:val="single" w:color="000000" w:sz="12" w:space="0"/>
            </w:tcBorders>
            <w:shd w:val="clear" w:color="auto" w:fill="FFFFFF"/>
            <w:vAlign w:val="center"/>
          </w:tcPr>
          <w:p w14:paraId="3A6ABF1D">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Implementation</w:t>
            </w:r>
          </w:p>
        </w:tc>
        <w:tc>
          <w:tcPr>
            <w:tcW w:w="3499" w:type="pct"/>
            <w:tcBorders>
              <w:top w:val="nil"/>
              <w:bottom w:val="single" w:color="000000" w:sz="12" w:space="0"/>
            </w:tcBorders>
            <w:shd w:val="clear" w:color="auto" w:fill="FFFFFF"/>
            <w:vAlign w:val="center"/>
          </w:tcPr>
          <w:p w14:paraId="041E8A8A">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Python 3.10; L-Py v3.14; OpenAlea/Caribu; pymoo v0.6.1</w:t>
            </w:r>
          </w:p>
        </w:tc>
      </w:tr>
    </w:tbl>
    <w:p w14:paraId="29FEAE2D">
      <w:pPr>
        <w:keepNext/>
        <w:keepLines/>
        <w:spacing w:before="480" w:after="0" w:line="276" w:lineRule="auto"/>
        <w:jc w:val="both"/>
        <w:outlineLvl w:val="0"/>
        <w:rPr>
          <w:rFonts w:ascii="Calibri" w:hAnsi="Calibri" w:eastAsia="宋体" w:cs="Times New Roman"/>
          <w:b/>
          <w:bCs/>
          <w:color w:val="366091"/>
          <w:sz w:val="24"/>
          <w:szCs w:val="28"/>
          <w:lang w:val="en-US" w:eastAsia="en-US" w:bidi="ar-SA"/>
        </w:rPr>
      </w:pPr>
      <w:r>
        <w:rPr>
          <w:rFonts w:ascii="Times New Roman" w:hAnsi="Times New Roman" w:eastAsia="宋体" w:cs="Times New Roman"/>
          <w:b/>
          <w:bCs/>
          <w:color w:val="366091"/>
          <w:sz w:val="20"/>
          <w:szCs w:val="28"/>
          <w:lang w:val="en-US" w:eastAsia="en-US" w:bidi="ar-SA"/>
        </w:rPr>
        <w:t>8. Baseline experiments</w:t>
      </w:r>
    </w:p>
    <w:tbl>
      <w:tblPr>
        <w:tblStyle w:val="3"/>
        <w:tblW w:w="4999" w:type="pct"/>
        <w:jc w:val="center"/>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Layout w:type="autofit"/>
        <w:tblCellMar>
          <w:top w:w="0" w:type="dxa"/>
          <w:left w:w="108" w:type="dxa"/>
          <w:bottom w:w="0" w:type="dxa"/>
          <w:right w:w="108" w:type="dxa"/>
        </w:tblCellMar>
      </w:tblPr>
      <w:tblGrid>
        <w:gridCol w:w="751"/>
        <w:gridCol w:w="3306"/>
        <w:gridCol w:w="5517"/>
      </w:tblGrid>
      <w:tr w14:paraId="02237467">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392" w:type="pct"/>
            <w:tcBorders>
              <w:top w:val="single" w:color="000000" w:sz="12" w:space="0"/>
              <w:bottom w:val="single" w:color="000000" w:sz="4" w:space="0"/>
              <w:tl2br w:val="nil"/>
            </w:tcBorders>
            <w:shd w:val="clear" w:color="auto" w:fill="FFFFFF"/>
            <w:vAlign w:val="center"/>
          </w:tcPr>
          <w:p w14:paraId="0BE42567">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Code</w:t>
            </w:r>
          </w:p>
        </w:tc>
        <w:tc>
          <w:tcPr>
            <w:tcW w:w="1726" w:type="pct"/>
            <w:tcBorders>
              <w:top w:val="single" w:color="000000" w:sz="12" w:space="0"/>
              <w:bottom w:val="single" w:color="000000" w:sz="4" w:space="0"/>
            </w:tcBorders>
            <w:shd w:val="clear" w:color="auto" w:fill="FFFFFF"/>
            <w:vAlign w:val="center"/>
          </w:tcPr>
          <w:p w14:paraId="73A89733">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Strategy</w:t>
            </w:r>
          </w:p>
        </w:tc>
        <w:tc>
          <w:tcPr>
            <w:tcW w:w="2880" w:type="pct"/>
            <w:tcBorders>
              <w:top w:val="single" w:color="000000" w:sz="12" w:space="0"/>
              <w:bottom w:val="single" w:color="000000" w:sz="4" w:space="0"/>
            </w:tcBorders>
            <w:shd w:val="clear" w:color="auto" w:fill="FFFFFF"/>
            <w:vAlign w:val="center"/>
          </w:tcPr>
          <w:p w14:paraId="7C731D87">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Purpose</w:t>
            </w:r>
          </w:p>
        </w:tc>
      </w:tr>
      <w:tr w14:paraId="0DCEE04C">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392" w:type="pct"/>
            <w:tcBorders>
              <w:top w:val="single" w:color="000000" w:sz="4" w:space="0"/>
              <w:bottom w:val="nil"/>
            </w:tcBorders>
            <w:shd w:val="clear" w:color="auto" w:fill="FFFFFF"/>
            <w:vAlign w:val="center"/>
          </w:tcPr>
          <w:p w14:paraId="7C1FDD4F">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B1</w:t>
            </w:r>
          </w:p>
        </w:tc>
        <w:tc>
          <w:tcPr>
            <w:tcW w:w="1726" w:type="pct"/>
            <w:tcBorders>
              <w:top w:val="single" w:color="000000" w:sz="4" w:space="0"/>
              <w:bottom w:val="nil"/>
            </w:tcBorders>
            <w:shd w:val="clear" w:color="auto" w:fill="FFFFFF"/>
            <w:vAlign w:val="center"/>
          </w:tcPr>
          <w:p w14:paraId="250CDC26">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Standard management</w:t>
            </w:r>
          </w:p>
        </w:tc>
        <w:tc>
          <w:tcPr>
            <w:tcW w:w="2880" w:type="pct"/>
            <w:tcBorders>
              <w:top w:val="single" w:color="000000" w:sz="4" w:space="0"/>
              <w:bottom w:val="nil"/>
            </w:tcBorders>
            <w:shd w:val="clear" w:color="auto" w:fill="FFFFFF"/>
            <w:vAlign w:val="center"/>
          </w:tcPr>
          <w:p w14:paraId="2A3AFC63">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Commercial-reference management baseline</w:t>
            </w:r>
          </w:p>
        </w:tc>
      </w:tr>
      <w:tr w14:paraId="09AC0A33">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392" w:type="pct"/>
            <w:tcBorders>
              <w:top w:val="nil"/>
              <w:bottom w:val="nil"/>
            </w:tcBorders>
            <w:shd w:val="clear" w:color="auto" w:fill="FFFFFF"/>
            <w:vAlign w:val="center"/>
          </w:tcPr>
          <w:p w14:paraId="5E64620D">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B2</w:t>
            </w:r>
          </w:p>
        </w:tc>
        <w:tc>
          <w:tcPr>
            <w:tcW w:w="1726" w:type="pct"/>
            <w:tcBorders>
              <w:top w:val="nil"/>
              <w:bottom w:val="nil"/>
            </w:tcBorders>
            <w:shd w:val="clear" w:color="auto" w:fill="FFFFFF"/>
            <w:vAlign w:val="center"/>
          </w:tcPr>
          <w:p w14:paraId="5127EEE5">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Yield-only optimisation</w:t>
            </w:r>
          </w:p>
        </w:tc>
        <w:tc>
          <w:tcPr>
            <w:tcW w:w="2880" w:type="pct"/>
            <w:tcBorders>
              <w:top w:val="nil"/>
              <w:bottom w:val="nil"/>
            </w:tcBorders>
            <w:shd w:val="clear" w:color="auto" w:fill="FFFFFF"/>
            <w:vAlign w:val="center"/>
          </w:tcPr>
          <w:p w14:paraId="580CA800">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Tests whether yield maximisation aligns with harvestability</w:t>
            </w:r>
          </w:p>
        </w:tc>
      </w:tr>
      <w:tr w14:paraId="2DCB7013">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392" w:type="pct"/>
            <w:tcBorders>
              <w:top w:val="nil"/>
              <w:bottom w:val="nil"/>
            </w:tcBorders>
            <w:shd w:val="clear" w:color="auto" w:fill="FFFFFF"/>
            <w:vAlign w:val="center"/>
          </w:tcPr>
          <w:p w14:paraId="2D3AC827">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B3</w:t>
            </w:r>
          </w:p>
        </w:tc>
        <w:tc>
          <w:tcPr>
            <w:tcW w:w="1726" w:type="pct"/>
            <w:tcBorders>
              <w:top w:val="nil"/>
              <w:bottom w:val="nil"/>
            </w:tcBorders>
            <w:shd w:val="clear" w:color="auto" w:fill="FFFFFF"/>
            <w:vAlign w:val="center"/>
          </w:tcPr>
          <w:p w14:paraId="5557EFCA">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Random search</w:t>
            </w:r>
          </w:p>
        </w:tc>
        <w:tc>
          <w:tcPr>
            <w:tcW w:w="2880" w:type="pct"/>
            <w:tcBorders>
              <w:top w:val="nil"/>
              <w:bottom w:val="nil"/>
            </w:tcBorders>
            <w:shd w:val="clear" w:color="auto" w:fill="FFFFFF"/>
            <w:vAlign w:val="center"/>
          </w:tcPr>
          <w:p w14:paraId="6BDF8690">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Controls for evaluation-budget effects</w:t>
            </w:r>
          </w:p>
        </w:tc>
      </w:tr>
      <w:tr w14:paraId="2DDC2B44">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392" w:type="pct"/>
            <w:tcBorders>
              <w:top w:val="nil"/>
              <w:bottom w:val="nil"/>
            </w:tcBorders>
            <w:shd w:val="clear" w:color="auto" w:fill="FFFFFF"/>
            <w:vAlign w:val="center"/>
          </w:tcPr>
          <w:p w14:paraId="1766928E">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B4</w:t>
            </w:r>
          </w:p>
        </w:tc>
        <w:tc>
          <w:tcPr>
            <w:tcW w:w="1726" w:type="pct"/>
            <w:tcBorders>
              <w:top w:val="nil"/>
              <w:bottom w:val="nil"/>
            </w:tcBorders>
            <w:shd w:val="clear" w:color="auto" w:fill="FFFFFF"/>
            <w:vAlign w:val="center"/>
          </w:tcPr>
          <w:p w14:paraId="16A626A6">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Single-objective HYI optimisation</w:t>
            </w:r>
          </w:p>
        </w:tc>
        <w:tc>
          <w:tcPr>
            <w:tcW w:w="2880" w:type="pct"/>
            <w:tcBorders>
              <w:top w:val="nil"/>
              <w:bottom w:val="nil"/>
            </w:tcBorders>
            <w:shd w:val="clear" w:color="auto" w:fill="FFFFFF"/>
            <w:vAlign w:val="center"/>
          </w:tcPr>
          <w:p w14:paraId="365F93C5">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Isolates the effect of the multi-objective formulation</w:t>
            </w:r>
          </w:p>
        </w:tc>
      </w:tr>
      <w:tr w14:paraId="7727ECBC">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392" w:type="pct"/>
            <w:tcBorders>
              <w:top w:val="nil"/>
              <w:bottom w:val="nil"/>
            </w:tcBorders>
            <w:shd w:val="clear" w:color="auto" w:fill="FFFFFF"/>
            <w:vAlign w:val="center"/>
          </w:tcPr>
          <w:p w14:paraId="5FF4456C">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B5</w:t>
            </w:r>
          </w:p>
        </w:tc>
        <w:tc>
          <w:tcPr>
            <w:tcW w:w="1726" w:type="pct"/>
            <w:tcBorders>
              <w:top w:val="nil"/>
              <w:bottom w:val="nil"/>
            </w:tcBorders>
            <w:shd w:val="clear" w:color="auto" w:fill="FFFFFF"/>
            <w:vAlign w:val="center"/>
          </w:tcPr>
          <w:p w14:paraId="0CC27D4D">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Uniform field assumption</w:t>
            </w:r>
          </w:p>
        </w:tc>
        <w:tc>
          <w:tcPr>
            <w:tcW w:w="2880" w:type="pct"/>
            <w:tcBorders>
              <w:top w:val="nil"/>
              <w:bottom w:val="nil"/>
            </w:tcBorders>
            <w:shd w:val="clear" w:color="auto" w:fill="FFFFFF"/>
            <w:vAlign w:val="center"/>
          </w:tcPr>
          <w:p w14:paraId="56B4E684">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Tests the value of spatial heterogeneity</w:t>
            </w:r>
          </w:p>
        </w:tc>
      </w:tr>
      <w:tr w14:paraId="508803C0">
        <w:tblPrEx>
          <w:tblBorders>
            <w:top w:val="single" w:color="000000" w:sz="6" w:space="0"/>
            <w:left w:val="none" w:color="auto" w:sz="0" w:space="0"/>
            <w:bottom w:val="single" w:color="000000" w:sz="6" w:space="0"/>
            <w:right w:val="none" w:color="auto" w:sz="0" w:space="0"/>
            <w:insideH w:val="single" w:color="000000" w:sz="6" w:space="0"/>
            <w:insideV w:val="none" w:color="auto" w:sz="0" w:space="0"/>
          </w:tblBorders>
          <w:tblCellMar>
            <w:top w:w="0" w:type="dxa"/>
            <w:left w:w="108" w:type="dxa"/>
            <w:bottom w:w="0" w:type="dxa"/>
            <w:right w:w="108" w:type="dxa"/>
          </w:tblCellMar>
        </w:tblPrEx>
        <w:trPr>
          <w:jc w:val="center"/>
        </w:trPr>
        <w:tc>
          <w:tcPr>
            <w:tcW w:w="392" w:type="pct"/>
            <w:tcBorders>
              <w:top w:val="nil"/>
              <w:bottom w:val="single" w:color="000000" w:sz="12" w:space="0"/>
            </w:tcBorders>
            <w:shd w:val="clear" w:color="auto" w:fill="FFFFFF"/>
            <w:vAlign w:val="center"/>
          </w:tcPr>
          <w:p w14:paraId="51138FBD">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B6</w:t>
            </w:r>
          </w:p>
        </w:tc>
        <w:tc>
          <w:tcPr>
            <w:tcW w:w="1726" w:type="pct"/>
            <w:tcBorders>
              <w:top w:val="nil"/>
              <w:bottom w:val="single" w:color="000000" w:sz="12" w:space="0"/>
            </w:tcBorders>
            <w:shd w:val="clear" w:color="auto" w:fill="FFFFFF"/>
            <w:vAlign w:val="center"/>
          </w:tcPr>
          <w:p w14:paraId="477E75B9">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HarvestField-optimised</w:t>
            </w:r>
          </w:p>
        </w:tc>
        <w:tc>
          <w:tcPr>
            <w:tcW w:w="2880" w:type="pct"/>
            <w:tcBorders>
              <w:top w:val="nil"/>
              <w:bottom w:val="single" w:color="000000" w:sz="12" w:space="0"/>
            </w:tcBorders>
            <w:shd w:val="clear" w:color="auto" w:fill="FFFFFF"/>
            <w:vAlign w:val="center"/>
          </w:tcPr>
          <w:p w14:paraId="00F1B3E6">
            <w:pPr>
              <w:widowControl/>
              <w:spacing w:after="0" w:line="240" w:lineRule="auto"/>
              <w:jc w:val="both"/>
              <w:rPr>
                <w:rFonts w:ascii="Times New Roman" w:hAnsi="Times New Roman" w:eastAsia="宋体" w:cs="Times New Roman"/>
                <w:b w:val="0"/>
                <w:color w:val="000000"/>
                <w:kern w:val="0"/>
                <w:sz w:val="20"/>
                <w:szCs w:val="22"/>
                <w:lang w:eastAsia="en-US"/>
              </w:rPr>
            </w:pPr>
            <w:r>
              <w:rPr>
                <w:rFonts w:ascii="Times New Roman" w:hAnsi="Times New Roman" w:eastAsia="宋体" w:cs="Times New Roman"/>
                <w:b w:val="0"/>
                <w:color w:val="000000"/>
                <w:kern w:val="0"/>
                <w:sz w:val="18"/>
                <w:szCs w:val="22"/>
                <w:lang w:eastAsia="en-US"/>
              </w:rPr>
              <w:t>Full framework evaluation</w:t>
            </w:r>
          </w:p>
        </w:tc>
      </w:tr>
    </w:tbl>
    <w:p w14:paraId="2256E49F">
      <w:pPr>
        <w:keepNext/>
        <w:keepLines/>
        <w:spacing w:before="480" w:after="0" w:line="276" w:lineRule="auto"/>
        <w:jc w:val="both"/>
        <w:outlineLvl w:val="0"/>
        <w:rPr>
          <w:rFonts w:ascii="Calibri" w:hAnsi="Calibri" w:eastAsia="宋体" w:cs="Times New Roman"/>
          <w:b/>
          <w:bCs/>
          <w:color w:val="366091"/>
          <w:sz w:val="24"/>
          <w:szCs w:val="28"/>
          <w:lang w:val="en-US" w:eastAsia="en-US" w:bidi="ar-SA"/>
        </w:rPr>
      </w:pPr>
      <w:r>
        <w:rPr>
          <w:rFonts w:ascii="Times New Roman" w:hAnsi="Times New Roman" w:eastAsia="宋体" w:cs="Times New Roman"/>
          <w:b/>
          <w:bCs/>
          <w:color w:val="366091"/>
          <w:sz w:val="20"/>
          <w:szCs w:val="28"/>
          <w:lang w:val="en-US" w:eastAsia="en-US" w:bidi="ar-SA"/>
        </w:rPr>
        <w:t>9. Ablation and controlled thinning experiments</w:t>
      </w:r>
    </w:p>
    <w:p w14:paraId="0CDA826D">
      <w:pPr>
        <w:widowControl/>
        <w:spacing w:after="200" w:line="276" w:lineRule="auto"/>
        <w:jc w:val="both"/>
        <w:rPr>
          <w:rFonts w:ascii="Times New Roman" w:hAnsi="Times New Roman" w:eastAsia="宋体" w:cs="Times New Roman"/>
          <w:kern w:val="0"/>
          <w:sz w:val="20"/>
          <w:szCs w:val="22"/>
          <w:lang w:eastAsia="en-US"/>
        </w:rPr>
      </w:pPr>
      <w:r>
        <w:rPr>
          <w:rFonts w:ascii="Times New Roman" w:hAnsi="Times New Roman" w:eastAsia="宋体" w:cs="Times New Roman"/>
          <w:kern w:val="0"/>
          <w:sz w:val="20"/>
          <w:szCs w:val="22"/>
          <w:lang w:eastAsia="en-US"/>
        </w:rPr>
        <w:t xml:space="preserve">A1 removed visibility by evaluating </w:t>
      </w:r>
      <m:oMath>
        <m:r>
          <m:rPr>
            <m:scr m:val="script"/>
          </m:rPr>
          <w:rPr>
            <w:rFonts w:hint="default" w:ascii="Cambria Math" w:hAnsi="Cambria Math" w:eastAsia="MS Mincho"/>
            <w:sz w:val="20"/>
          </w:rPr>
          <m:t>ℋ</m:t>
        </m:r>
        <m:r>
          <m:rPr/>
          <w:rPr>
            <w:rFonts w:hint="default" w:ascii="Cambria Math" w:hAnsi="Cambria Math" w:eastAsia="宋体"/>
            <w:sz w:val="20"/>
          </w:rPr>
          <m:t>=RCD</m:t>
        </m:r>
      </m:oMath>
      <w:r>
        <w:rPr>
          <w:rFonts w:ascii="Times New Roman" w:hAnsi="Times New Roman" w:eastAsia="宋体" w:cs="Times New Roman"/>
          <w:kern w:val="0"/>
          <w:sz w:val="20"/>
          <w:szCs w:val="22"/>
          <w:lang w:eastAsia="en-US"/>
        </w:rPr>
        <w:t xml:space="preserve">. A2 removed clearance by evaluating </w:t>
      </w:r>
      <m:oMath>
        <m:r>
          <m:rPr>
            <m:scr m:val="script"/>
          </m:rPr>
          <w:rPr>
            <w:rFonts w:hint="default" w:ascii="Cambria Math" w:hAnsi="Cambria Math" w:eastAsia="MS Mincho"/>
            <w:sz w:val="20"/>
          </w:rPr>
          <m:t>ℋ</m:t>
        </m:r>
        <m:r>
          <m:rPr/>
          <w:rPr>
            <w:rFonts w:hint="default" w:ascii="Cambria Math" w:hAnsi="Cambria Math" w:eastAsia="宋体"/>
            <w:sz w:val="20"/>
          </w:rPr>
          <m:t>=RVD</m:t>
        </m:r>
      </m:oMath>
      <w:r>
        <w:rPr>
          <w:rFonts w:ascii="Times New Roman" w:hAnsi="Times New Roman" w:eastAsia="宋体" w:cs="Times New Roman"/>
          <w:kern w:val="0"/>
          <w:sz w:val="20"/>
          <w:szCs w:val="22"/>
          <w:lang w:eastAsia="en-US"/>
        </w:rPr>
        <w:t xml:space="preserve">. A3 replaced the Caribu radiation model with a Beer-Lambert approximation. A4 compared </w:t>
      </w:r>
      <m:oMath>
        <m:r>
          <m:rPr>
            <m:scr m:val="script"/>
          </m:rPr>
          <w:rPr>
            <w:rFonts w:hint="default" w:ascii="Cambria Math" w:hAnsi="Cambria Math" w:eastAsia="MS Mincho"/>
            <w:sz w:val="20"/>
          </w:rPr>
          <m:t>ℋ</m:t>
        </m:r>
      </m:oMath>
      <w:r>
        <w:rPr>
          <w:rFonts w:ascii="Times New Roman" w:hAnsi="Times New Roman" w:eastAsia="宋体" w:cs="Times New Roman"/>
          <w:kern w:val="0"/>
          <w:sz w:val="20"/>
          <w:szCs w:val="22"/>
          <w:lang w:eastAsia="en-US"/>
        </w:rPr>
        <w:t>-guided fruit thinning against uniform thinning under equal fruit counts. In A4, canopy realisation, robot configuration, random seed, field resolution, FSPM parameters, light model, and total fruit count were controlled within each paired replicate.</w:t>
      </w:r>
    </w:p>
    <w:p w14:paraId="7F26FEE5">
      <w:pPr>
        <w:keepNext/>
        <w:keepLines/>
        <w:spacing w:before="480" w:after="0" w:line="276" w:lineRule="auto"/>
        <w:jc w:val="both"/>
        <w:outlineLvl w:val="0"/>
        <w:rPr>
          <w:rFonts w:ascii="Calibri" w:hAnsi="Calibri" w:eastAsia="宋体" w:cs="Times New Roman"/>
          <w:b/>
          <w:bCs/>
          <w:color w:val="366091"/>
          <w:sz w:val="24"/>
          <w:szCs w:val="28"/>
          <w:lang w:val="en-US" w:eastAsia="en-US" w:bidi="ar-SA"/>
        </w:rPr>
      </w:pPr>
      <w:r>
        <w:rPr>
          <w:rFonts w:ascii="Times New Roman" w:hAnsi="Times New Roman" w:eastAsia="宋体" w:cs="Times New Roman"/>
          <w:b/>
          <w:bCs/>
          <w:color w:val="366091"/>
          <w:sz w:val="20"/>
          <w:szCs w:val="28"/>
          <w:lang w:val="en-US" w:eastAsia="en-US" w:bidi="ar-SA"/>
        </w:rPr>
        <w:t>10. Sobol sensitivity analysis</w:t>
      </w:r>
    </w:p>
    <w:p w14:paraId="594AF6D6">
      <w:pPr>
        <w:widowControl/>
        <w:spacing w:after="200" w:line="276" w:lineRule="auto"/>
        <w:jc w:val="both"/>
        <w:rPr>
          <w:rFonts w:ascii="Times New Roman" w:hAnsi="Times New Roman" w:eastAsia="宋体" w:cs="Times New Roman"/>
          <w:kern w:val="0"/>
          <w:sz w:val="20"/>
          <w:szCs w:val="22"/>
          <w:lang w:eastAsia="en-US"/>
        </w:rPr>
      </w:pPr>
      <w:r>
        <w:rPr>
          <w:rFonts w:ascii="Times New Roman" w:hAnsi="Times New Roman" w:eastAsia="宋体" w:cs="Times New Roman"/>
          <w:kern w:val="0"/>
          <w:sz w:val="20"/>
          <w:szCs w:val="22"/>
          <w:lang w:eastAsia="en-US"/>
        </w:rPr>
        <w:t xml:space="preserve">The global sensitivity analysis varied six parameters: </w:t>
      </w:r>
      <m:oMath>
        <m:r>
          <m:rPr/>
          <w:rPr>
            <w:rFonts w:hint="default" w:ascii="Cambria Math" w:hAnsi="Cambria Math" w:eastAsia="宋体"/>
            <w:sz w:val="20"/>
          </w:rPr>
          <m:t>λ</m:t>
        </m:r>
      </m:oMath>
      <w:r>
        <w:rPr>
          <w:rFonts w:ascii="Times New Roman" w:hAnsi="Times New Roman" w:eastAsia="宋体" w:cs="Times New Roman"/>
          <w:kern w:val="0"/>
          <w:sz w:val="20"/>
          <w:szCs w:val="22"/>
          <w:lang w:eastAsia="en-US"/>
        </w:rPr>
        <w:t xml:space="preserve">, </w:t>
      </w:r>
      <m:oMath>
        <m:sSub>
          <m:sSubPr>
            <m:ctrlPr>
              <w:rPr>
                <w:rFonts w:hint="default" w:ascii="Cambria Math" w:hAnsi="Cambria Math" w:eastAsia="宋体"/>
                <w:sz w:val="20"/>
              </w:rPr>
            </m:ctrlPr>
          </m:sSubPr>
          <m:e>
            <m:r>
              <m:rPr/>
              <w:rPr>
                <w:rFonts w:hint="default" w:ascii="Cambria Math" w:hAnsi="Cambria Math" w:eastAsia="宋体"/>
                <w:sz w:val="20"/>
              </w:rPr>
              <m:t>r</m:t>
            </m:r>
            <m:ctrlPr>
              <w:rPr>
                <w:rFonts w:ascii="Cambria Math" w:hAnsi="Cambria Math" w:eastAsia="宋体"/>
                <w:sz w:val="20"/>
              </w:rPr>
            </m:ctrlPr>
          </m:e>
          <m:sub>
            <m:r>
              <m:rPr/>
              <w:rPr>
                <w:rFonts w:hint="default" w:ascii="Cambria Math" w:hAnsi="Cambria Math" w:eastAsia="宋体"/>
                <w:sz w:val="20"/>
              </w:rPr>
              <m:t>c</m:t>
            </m:r>
            <m:ctrlPr>
              <w:rPr>
                <w:rFonts w:ascii="Cambria Math" w:hAnsi="Cambria Math" w:eastAsia="宋体"/>
                <w:sz w:val="20"/>
              </w:rPr>
            </m:ctrlPr>
          </m:sub>
        </m:sSub>
      </m:oMath>
      <w:r>
        <w:rPr>
          <w:rFonts w:ascii="Times New Roman" w:hAnsi="Times New Roman" w:eastAsia="宋体" w:cs="Times New Roman"/>
          <w:kern w:val="0"/>
          <w:sz w:val="20"/>
          <w:szCs w:val="22"/>
          <w:lang w:eastAsia="en-US"/>
        </w:rPr>
        <w:t xml:space="preserve">, </w:t>
      </w:r>
      <m:oMath>
        <m:sSub>
          <m:sSubPr>
            <m:ctrlPr>
              <w:rPr>
                <w:rFonts w:hint="default" w:ascii="Cambria Math" w:hAnsi="Cambria Math" w:eastAsia="宋体"/>
                <w:sz w:val="20"/>
              </w:rPr>
            </m:ctrlPr>
          </m:sSubPr>
          <m:e>
            <m:r>
              <m:rPr/>
              <w:rPr>
                <w:rFonts w:hint="default" w:ascii="Cambria Math" w:hAnsi="Cambria Math" w:eastAsia="宋体"/>
                <w:sz w:val="20"/>
              </w:rPr>
              <m:t>F</m:t>
            </m:r>
            <m:ctrlPr>
              <w:rPr>
                <w:rFonts w:ascii="Cambria Math" w:hAnsi="Cambria Math" w:eastAsia="宋体"/>
                <w:sz w:val="20"/>
              </w:rPr>
            </m:ctrlPr>
          </m:e>
          <m:sub>
            <m:r>
              <m:rPr/>
              <w:rPr>
                <w:rFonts w:hint="default" w:ascii="Cambria Math" w:hAnsi="Cambria Math" w:eastAsia="宋体"/>
                <w:sz w:val="20"/>
              </w:rPr>
              <m:t>g</m:t>
            </m:r>
            <m:ctrlPr>
              <w:rPr>
                <w:rFonts w:ascii="Cambria Math" w:hAnsi="Cambria Math" w:eastAsia="宋体"/>
                <w:sz w:val="20"/>
              </w:rPr>
            </m:ctrlPr>
          </m:sub>
        </m:sSub>
      </m:oMath>
      <w:r>
        <w:rPr>
          <w:rFonts w:ascii="Times New Roman" w:hAnsi="Times New Roman" w:eastAsia="宋体" w:cs="Times New Roman"/>
          <w:kern w:val="0"/>
          <w:sz w:val="20"/>
          <w:szCs w:val="22"/>
          <w:lang w:eastAsia="en-US"/>
        </w:rPr>
        <w:t xml:space="preserve">, fruit set rate, budbreak rate, and individual leaf area. With base sample size </w:t>
      </w:r>
      <m:oMath>
        <m:r>
          <m:rPr/>
          <w:rPr>
            <w:rFonts w:hint="default" w:ascii="Cambria Math" w:hAnsi="Cambria Math" w:eastAsia="宋体"/>
            <w:sz w:val="20"/>
          </w:rPr>
          <m:t>N=512</m:t>
        </m:r>
      </m:oMath>
      <w:r>
        <w:rPr>
          <w:rFonts w:ascii="Times New Roman" w:hAnsi="Times New Roman" w:eastAsia="宋体" w:cs="Times New Roman"/>
          <w:kern w:val="0"/>
          <w:sz w:val="20"/>
          <w:szCs w:val="22"/>
          <w:lang w:eastAsia="en-US"/>
        </w:rPr>
        <w:t xml:space="preserve"> and </w:t>
      </w:r>
      <m:oMath>
        <m:r>
          <m:rPr/>
          <w:rPr>
            <w:rFonts w:hint="default" w:ascii="Cambria Math" w:hAnsi="Cambria Math" w:eastAsia="宋体"/>
            <w:sz w:val="20"/>
          </w:rPr>
          <m:t>p=6</m:t>
        </m:r>
      </m:oMath>
      <w:r>
        <w:rPr>
          <w:rFonts w:ascii="Times New Roman" w:hAnsi="Times New Roman" w:eastAsia="宋体" w:cs="Times New Roman"/>
          <w:kern w:val="0"/>
          <w:sz w:val="20"/>
          <w:szCs w:val="22"/>
          <w:lang w:eastAsia="en-US"/>
        </w:rPr>
        <w:t xml:space="preserve"> parameters, the number of model evaluations was</w:t>
      </w:r>
    </w:p>
    <w:p w14:paraId="269B29F6">
      <w:pPr>
        <w:widowControl/>
        <w:spacing w:after="200" w:line="276" w:lineRule="auto"/>
        <w:jc w:val="both"/>
        <w:rPr>
          <w:rFonts w:ascii="Times New Roman" w:hAnsi="Times New Roman" w:eastAsia="宋体" w:cs="Times New Roman"/>
          <w:kern w:val="0"/>
          <w:sz w:val="20"/>
          <w:szCs w:val="22"/>
          <w:lang w:eastAsia="en-US"/>
        </w:rPr>
      </w:pPr>
      <m:oMathPara>
        <m:oMath>
          <m:sSub>
            <m:sSubPr>
              <m:ctrlPr>
                <w:rPr>
                  <w:rFonts w:hint="default" w:ascii="Cambria Math" w:hAnsi="Cambria Math" w:eastAsia="宋体"/>
                  <w:sz w:val="20"/>
                </w:rPr>
              </m:ctrlPr>
            </m:sSubPr>
            <m:e>
              <m:r>
                <m:rPr/>
                <w:rPr>
                  <w:rFonts w:hint="default" w:ascii="Cambria Math" w:hAnsi="Cambria Math" w:eastAsia="宋体"/>
                  <w:sz w:val="20"/>
                </w:rPr>
                <m:t>N</m:t>
              </m:r>
              <m:ctrlPr>
                <w:rPr>
                  <w:rFonts w:ascii="Cambria Math" w:hAnsi="Cambria Math" w:eastAsia="宋体"/>
                  <w:sz w:val="20"/>
                </w:rPr>
              </m:ctrlPr>
            </m:e>
            <m:sub>
              <m:r>
                <m:rPr>
                  <m:sty m:val="p"/>
                </m:rPr>
                <w:rPr>
                  <w:rFonts w:hint="default" w:ascii="Cambria Math" w:hAnsi="Cambria Math" w:eastAsia="宋体"/>
                  <w:sz w:val="20"/>
                </w:rPr>
                <m:t>SA</m:t>
              </m:r>
              <m:ctrlPr>
                <w:rPr>
                  <w:rFonts w:ascii="Cambria Math" w:hAnsi="Cambria Math" w:eastAsia="宋体"/>
                  <w:sz w:val="20"/>
                </w:rPr>
              </m:ctrlPr>
            </m:sub>
          </m:sSub>
          <m:r>
            <m:rPr/>
            <w:rPr>
              <w:rFonts w:hint="default" w:ascii="Cambria Math" w:hAnsi="Cambria Math" w:eastAsia="宋体"/>
              <w:sz w:val="20"/>
            </w:rPr>
            <m:t>=N(2p+2)=512(2</m:t>
          </m:r>
          <m:r>
            <m:rPr>
              <m:sty m:val="p"/>
            </m:rPr>
            <w:rPr>
              <w:rFonts w:hint="default" w:ascii="Cambria Math" w:hAnsi="Cambria Math" w:eastAsia="宋体"/>
              <w:sz w:val="20"/>
            </w:rPr>
            <m:t>×</m:t>
          </m:r>
          <m:r>
            <m:rPr/>
            <w:rPr>
              <w:rFonts w:hint="default" w:ascii="Cambria Math" w:hAnsi="Cambria Math" w:eastAsia="宋体"/>
              <w:sz w:val="20"/>
            </w:rPr>
            <m:t>6+2)=7,168.</m:t>
          </m:r>
        </m:oMath>
      </m:oMathPara>
    </w:p>
    <w:p w14:paraId="2597E975">
      <w:pPr>
        <w:widowControl/>
        <w:spacing w:after="200" w:line="276" w:lineRule="auto"/>
        <w:jc w:val="both"/>
        <w:rPr>
          <w:rFonts w:ascii="Times New Roman" w:hAnsi="Times New Roman" w:eastAsia="宋体" w:cs="Times New Roman"/>
          <w:kern w:val="0"/>
          <w:sz w:val="20"/>
          <w:szCs w:val="22"/>
          <w:lang w:eastAsia="en-US"/>
        </w:rPr>
      </w:pPr>
      <w:r>
        <w:rPr>
          <w:rFonts w:ascii="Times New Roman" w:hAnsi="Times New Roman" w:eastAsia="宋体" w:cs="Times New Roman"/>
          <w:kern w:val="0"/>
          <w:sz w:val="20"/>
          <w:szCs w:val="22"/>
          <w:lang w:eastAsia="en-US"/>
        </w:rPr>
        <w:t xml:space="preserve">First-order, total-order, and second-order indices were computed. Parameters with </w:t>
      </w:r>
      <m:oMath>
        <m:sSub>
          <m:sSubPr>
            <m:ctrlPr>
              <w:rPr>
                <w:rFonts w:hint="default" w:ascii="Cambria Math" w:hAnsi="Cambria Math" w:eastAsia="宋体"/>
                <w:sz w:val="20"/>
              </w:rPr>
            </m:ctrlPr>
          </m:sSubPr>
          <m:e>
            <m:r>
              <m:rPr/>
              <w:rPr>
                <w:rFonts w:hint="default" w:ascii="Cambria Math" w:hAnsi="Cambria Math" w:eastAsia="宋体"/>
                <w:sz w:val="20"/>
              </w:rPr>
              <m:t>S</m:t>
            </m:r>
            <m:ctrlPr>
              <w:rPr>
                <w:rFonts w:ascii="Cambria Math" w:hAnsi="Cambria Math" w:eastAsia="宋体"/>
                <w:sz w:val="20"/>
              </w:rPr>
            </m:ctrlPr>
          </m:e>
          <m:sub>
            <m:r>
              <m:rPr/>
              <w:rPr>
                <w:rFonts w:hint="default" w:ascii="Cambria Math" w:hAnsi="Cambria Math" w:eastAsia="宋体"/>
                <w:sz w:val="20"/>
              </w:rPr>
              <m:t>T</m:t>
            </m:r>
            <m:ctrlPr>
              <w:rPr>
                <w:rFonts w:ascii="Cambria Math" w:hAnsi="Cambria Math" w:eastAsia="宋体"/>
                <w:sz w:val="20"/>
              </w:rPr>
            </m:ctrlPr>
          </m:sub>
        </m:sSub>
        <m:r>
          <m:rPr/>
          <w:rPr>
            <w:rFonts w:hint="default" w:ascii="Cambria Math" w:hAnsi="Cambria Math" w:eastAsia="宋体"/>
            <w:sz w:val="20"/>
          </w:rPr>
          <m:t>&gt;0.10</m:t>
        </m:r>
      </m:oMath>
      <w:r>
        <w:rPr>
          <w:rFonts w:ascii="Times New Roman" w:hAnsi="Times New Roman" w:eastAsia="宋体" w:cs="Times New Roman"/>
          <w:kern w:val="0"/>
          <w:sz w:val="20"/>
          <w:szCs w:val="22"/>
          <w:lang w:eastAsia="en-US"/>
        </w:rPr>
        <w:t xml:space="preserve"> were treated as influential.</w:t>
      </w:r>
    </w:p>
    <w:p w14:paraId="20ED99FD">
      <w:pPr>
        <w:keepNext/>
        <w:keepLines/>
        <w:spacing w:before="480" w:after="0" w:line="276" w:lineRule="auto"/>
        <w:jc w:val="both"/>
        <w:outlineLvl w:val="0"/>
        <w:rPr>
          <w:rFonts w:ascii="Calibri" w:hAnsi="Calibri" w:eastAsia="宋体" w:cs="Times New Roman"/>
          <w:b/>
          <w:bCs/>
          <w:color w:val="366091"/>
          <w:sz w:val="24"/>
          <w:szCs w:val="28"/>
          <w:lang w:val="en-US" w:eastAsia="en-US" w:bidi="ar-SA"/>
        </w:rPr>
      </w:pPr>
      <w:r>
        <w:rPr>
          <w:rFonts w:ascii="Times New Roman" w:hAnsi="Times New Roman" w:eastAsia="宋体" w:cs="Times New Roman"/>
          <w:b/>
          <w:bCs/>
          <w:color w:val="366091"/>
          <w:sz w:val="20"/>
          <w:szCs w:val="28"/>
          <w:lang w:val="en-US" w:eastAsia="en-US" w:bidi="ar-SA"/>
        </w:rPr>
        <w:t>11. Statistical analysis</w:t>
      </w:r>
    </w:p>
    <w:p w14:paraId="6E145312">
      <w:pPr>
        <w:keepNext w:val="0"/>
        <w:keepLines w:val="0"/>
        <w:pageBreakBefore w:val="0"/>
        <w:widowControl/>
        <w:kinsoku/>
        <w:wordWrap/>
        <w:overflowPunct/>
        <w:topLinePunct w:val="0"/>
        <w:autoSpaceDE/>
        <w:autoSpaceDN/>
        <w:bidi w:val="0"/>
        <w:adjustRightInd/>
        <w:snapToGrid/>
        <w:spacing w:line="276" w:lineRule="auto"/>
        <w:jc w:val="both"/>
        <w:textAlignment w:val="auto"/>
        <w:rPr>
          <w:rFonts w:ascii="Times New Roman" w:hAnsi="Times New Roman" w:eastAsia="宋体" w:cs="Times New Roman"/>
          <w:kern w:val="0"/>
          <w:sz w:val="20"/>
          <w:szCs w:val="22"/>
          <w:lang w:eastAsia="en-US"/>
        </w:rPr>
      </w:pPr>
      <w:r>
        <w:rPr>
          <w:rFonts w:ascii="Times New Roman" w:hAnsi="Times New Roman" w:eastAsia="宋体" w:cs="Times New Roman"/>
          <w:kern w:val="0"/>
          <w:sz w:val="20"/>
          <w:szCs w:val="22"/>
          <w:lang w:eastAsia="en-US"/>
        </w:rPr>
        <w:t xml:space="preserve">Pairwise comparisons were analysed with the Wilcoxon signed-rank test because the stochastic sample size was small and normality was not assumed. </w:t>
      </w:r>
      <w:r>
        <w:rPr>
          <w:rFonts w:hint="eastAsia" w:ascii="Times New Roman" w:hAnsi="Times New Roman" w:eastAsia="宋体" w:cs="Times New Roman"/>
          <w:kern w:val="0"/>
          <w:sz w:val="20"/>
          <w:szCs w:val="22"/>
          <w:lang w:eastAsia="en-US"/>
        </w:rPr>
        <w:t xml:space="preserve">Baseline comparisons used a Bonferroni-adjusted threshold of </w:t>
      </w:r>
      <m:oMath>
        <m:sSup>
          <m:sSupPr>
            <m:ctrlPr>
              <w:rPr>
                <w:rFonts w:hint="default" w:ascii="Cambria Math" w:hAnsi="Cambria Math" w:eastAsia="宋体"/>
                <w:sz w:val="20"/>
              </w:rPr>
            </m:ctrlPr>
          </m:sSupPr>
          <m:e>
            <m:r>
              <m:rPr/>
              <w:rPr>
                <w:rFonts w:hint="default" w:ascii="Cambria Math" w:hAnsi="Cambria Math" w:eastAsia="宋体"/>
                <w:sz w:val="20"/>
              </w:rPr>
              <m:t>α</m:t>
            </m:r>
            <m:ctrlPr>
              <w:rPr>
                <w:rFonts w:ascii="Cambria Math" w:hAnsi="Cambria Math" w:eastAsia="宋体"/>
                <w:sz w:val="20"/>
              </w:rPr>
            </m:ctrlPr>
          </m:e>
          <m:sup>
            <m:r>
              <m:rPr/>
              <w:rPr>
                <w:rFonts w:hint="default" w:ascii="Cambria Math" w:hAnsi="Cambria Math" w:eastAsia="宋体"/>
                <w:sz w:val="20"/>
              </w:rPr>
              <m:t>∗</m:t>
            </m:r>
            <m:ctrlPr>
              <w:rPr>
                <w:rFonts w:ascii="Cambria Math" w:hAnsi="Cambria Math" w:eastAsia="宋体"/>
                <w:sz w:val="20"/>
              </w:rPr>
            </m:ctrlPr>
          </m:sup>
        </m:sSup>
        <m:r>
          <m:rPr/>
          <w:rPr>
            <w:rFonts w:hint="default" w:ascii="Cambria Math" w:hAnsi="Cambria Math" w:eastAsia="宋体"/>
            <w:sz w:val="20"/>
          </w:rPr>
          <m:t>=0.05/8=0.00625</m:t>
        </m:r>
      </m:oMath>
      <w:r>
        <w:rPr>
          <w:rFonts w:hint="eastAsia" w:ascii="Times New Roman" w:hAnsi="Times New Roman" w:eastAsia="宋体" w:cs="Times New Roman"/>
          <w:kern w:val="0"/>
          <w:sz w:val="20"/>
          <w:szCs w:val="22"/>
          <w:lang w:eastAsia="en-US"/>
        </w:rPr>
        <w:t>. Effect size was reported using Cliff’</w:t>
      </w:r>
      <w:bookmarkStart w:id="0" w:name="_GoBack"/>
      <w:bookmarkEnd w:id="0"/>
      <w:r>
        <w:rPr>
          <w:rFonts w:hint="eastAsia" w:ascii="Times New Roman" w:hAnsi="Times New Roman" w:eastAsia="宋体" w:cs="Times New Roman"/>
          <w:kern w:val="0"/>
          <w:sz w:val="20"/>
          <w:szCs w:val="22"/>
          <w:lang w:eastAsia="en-US"/>
        </w:rPr>
        <w:t>s delta.</w:t>
      </w:r>
    </w:p>
    <w:p w14:paraId="4B6AACB4">
      <w:pPr>
        <w:keepNext/>
        <w:keepLines/>
        <w:spacing w:before="480" w:after="0" w:line="276" w:lineRule="auto"/>
        <w:jc w:val="both"/>
        <w:outlineLvl w:val="0"/>
        <w:rPr>
          <w:rFonts w:ascii="Calibri" w:hAnsi="Calibri" w:eastAsia="宋体" w:cs="Times New Roman"/>
          <w:b/>
          <w:bCs/>
          <w:color w:val="366091"/>
          <w:sz w:val="24"/>
          <w:szCs w:val="28"/>
          <w:lang w:val="en-US" w:eastAsia="en-US" w:bidi="ar-SA"/>
        </w:rPr>
      </w:pPr>
      <w:r>
        <w:rPr>
          <w:rFonts w:ascii="Times New Roman" w:hAnsi="Times New Roman" w:eastAsia="宋体" w:cs="Times New Roman"/>
          <w:b/>
          <w:bCs/>
          <w:color w:val="366091"/>
          <w:sz w:val="20"/>
          <w:szCs w:val="28"/>
          <w:lang w:val="en-US" w:eastAsia="en-US" w:bidi="ar-SA"/>
        </w:rPr>
        <w:t>12. Output files retained for reproducibility</w:t>
      </w:r>
    </w:p>
    <w:p w14:paraId="5EE60184">
      <w:pPr>
        <w:widowControl/>
        <w:spacing w:after="200" w:line="276" w:lineRule="auto"/>
        <w:jc w:val="both"/>
        <w:rPr>
          <w:rFonts w:ascii="Times New Roman" w:hAnsi="Times New Roman" w:eastAsia="宋体" w:cs="Times New Roman"/>
          <w:kern w:val="0"/>
          <w:sz w:val="20"/>
          <w:szCs w:val="22"/>
          <w:lang w:eastAsia="en-US"/>
        </w:rPr>
      </w:pPr>
      <w:r>
        <w:rPr>
          <w:rFonts w:ascii="Times New Roman" w:hAnsi="Times New Roman" w:eastAsia="宋体" w:cs="Times New Roman"/>
          <w:kern w:val="0"/>
          <w:sz w:val="20"/>
          <w:szCs w:val="22"/>
          <w:lang w:eastAsia="en-US"/>
        </w:rPr>
        <w:t>The retained outputs included JSON summaries, calibration grids, bootstrap HYI samples, optimisation archives, Sobol raw arrays, statistical-test outputs, field visualisation arrays, and selected generated figures. These files are organised in Online Resource 4 and Online Resource 5.</w:t>
      </w:r>
    </w:p>
    <w:p w14:paraId="63B33598">
      <w:pPr>
        <w:jc w:val="both"/>
      </w:pPr>
    </w:p>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 w:name="Cambria Math">
    <w:panose1 w:val="02040503050406030204"/>
    <w:charset w:val="00"/>
    <w:family w:val="auto"/>
    <w:pitch w:val="default"/>
    <w:sig w:usb0="E00006FF" w:usb1="420024FF" w:usb2="02000000" w:usb3="00000000" w:csb0="2000019F" w:csb1="00000000"/>
  </w:font>
  <w:font w:name="MS Mincho">
    <w:altName w:val="SWAstro"/>
    <w:panose1 w:val="00000000000000000000"/>
    <w:charset w:val="00"/>
    <w:family w:val="auto"/>
    <w:pitch w:val="default"/>
    <w:sig w:usb0="00000000" w:usb1="00000000" w:usb2="00000000" w:usb3="00000000" w:csb0="00000000" w:csb1="00000000"/>
  </w:font>
  <w:font w:name="SWAstro">
    <w:panose1 w:val="02000400000000000000"/>
    <w:charset w:val="00"/>
    <w:family w:val="auto"/>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AC5035"/>
    <w:rsid w:val="17253036"/>
    <w:rsid w:val="32384BA3"/>
    <w:rsid w:val="40AC5035"/>
    <w:rsid w:val="500F5C6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33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2026-04-25T23:25:00Z</dcterms:created>
  <dc:creator>二十四节气</dc:creator>
  <cp:lastModifiedBy>二十四节气</cp:lastModifiedBy>
  <dcterms:modified xsi:type="dcterms:W3CDTF">2026-04-26T00:00:29Z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F3FDCAA2548A48BCBA9F302DF4A87914_11</vt:lpwstr>
  </property>
  <property fmtid="{D5CDD505-2E9C-101B-9397-08002B2CF9AE}" pid="4" name="KSOTemplateDocerSaveRecord">
    <vt:lpwstr>eyJoZGlkIjoiOGEzNDIxZTRiMmE4MjEzY2Y0OWRjNzQ2ZTA1NGYxN2MiLCJ1c2VySWQiOiI4NjYwNDg2NTUifQ==</vt:lpwstr>
  </property>
</Properties>
</file>