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94661">
      <w:pPr>
        <w:widowControl/>
        <w:spacing w:after="200" w:line="276" w:lineRule="auto"/>
        <w:jc w:val="center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  <w:r>
        <w:rPr>
          <w:rFonts w:ascii="Times New Roman" w:hAnsi="Times New Roman" w:eastAsia="宋体" w:cs="Times New Roman"/>
          <w:b/>
          <w:kern w:val="0"/>
          <w:sz w:val="28"/>
          <w:szCs w:val="22"/>
          <w:lang w:eastAsia="en-US"/>
        </w:rPr>
        <w:t>Online Resource 3</w:t>
      </w:r>
    </w:p>
    <w:p w14:paraId="20725152">
      <w:pPr>
        <w:widowControl/>
        <w:spacing w:after="200" w:line="276" w:lineRule="auto"/>
        <w:jc w:val="center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2"/>
          <w:lang w:eastAsia="en-US"/>
        </w:rPr>
        <w:t>HarvestField: A Decision-Support Framework for Robot-Oriented Kiwifruit Canopy Management Using Spatial Harvestability Modelling</w:t>
      </w:r>
    </w:p>
    <w:p w14:paraId="7E1CBAF0">
      <w:pPr>
        <w:widowControl/>
        <w:spacing w:after="200" w:line="276" w:lineRule="auto"/>
        <w:jc w:val="center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  <w:r>
        <w:rPr>
          <w:rFonts w:ascii="Times New Roman" w:hAnsi="Times New Roman" w:eastAsia="宋体" w:cs="Times New Roman"/>
          <w:i/>
          <w:kern w:val="0"/>
          <w:sz w:val="20"/>
          <w:szCs w:val="22"/>
          <w:lang w:eastAsia="en-US"/>
        </w:rPr>
        <w:t>Journal of Biosystems Engineering</w:t>
      </w:r>
    </w:p>
    <w:p w14:paraId="2246A689">
      <w:pPr>
        <w:widowControl/>
        <w:spacing w:after="200" w:line="276" w:lineRule="auto"/>
        <w:jc w:val="left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  <w:r>
        <w:rPr>
          <w:rFonts w:ascii="Times New Roman" w:hAnsi="Times New Roman" w:eastAsia="宋体" w:cs="Times New Roman"/>
          <w:b/>
          <w:bCs/>
          <w:kern w:val="0"/>
          <w:sz w:val="20"/>
          <w:szCs w:val="22"/>
          <w:lang w:eastAsia="en-US"/>
        </w:rPr>
        <w:t>Caption</w:t>
      </w:r>
      <w:r>
        <w:rPr>
          <w:rFonts w:ascii="Times New Roman" w:hAnsi="Times New Roman" w:eastAsia="宋体" w:cs="Times New Roman"/>
          <w:b w:val="0"/>
          <w:kern w:val="0"/>
          <w:sz w:val="20"/>
          <w:szCs w:val="22"/>
          <w:lang w:eastAsia="en-US"/>
        </w:rPr>
        <w:t>. Supplementary figures supporting field visualisation, calibration diagnostics, ablation checks, sensitivity analysis, and dynamic harvestability exploration.</w:t>
      </w:r>
    </w:p>
    <w:p w14:paraId="26ABFF1E">
      <w:pPr>
        <w:keepNext/>
        <w:keepLines/>
        <w:spacing w:before="480" w:after="0" w:line="276" w:lineRule="auto"/>
        <w:outlineLvl w:val="0"/>
        <w:rPr>
          <w:rFonts w:ascii="Calibri" w:hAnsi="Calibri" w:eastAsia="宋体" w:cs="Times New Roman"/>
          <w:b/>
          <w:bCs/>
          <w:color w:val="366091"/>
          <w:sz w:val="24"/>
          <w:szCs w:val="28"/>
          <w:lang w:val="en-US" w:eastAsia="en-US" w:bidi="ar-SA"/>
        </w:rPr>
      </w:pPr>
      <w:r>
        <w:rPr>
          <w:rFonts w:ascii="Times New Roman" w:hAnsi="Times New Roman" w:eastAsia="宋体" w:cs="Times New Roman"/>
          <w:b w:val="0"/>
          <w:bCs/>
          <w:color w:val="366091"/>
          <w:sz w:val="20"/>
          <w:szCs w:val="28"/>
          <w:lang w:val="en-US" w:eastAsia="en-US" w:bidi="ar-SA"/>
        </w:rPr>
        <w:t>Supplementary figure list</w:t>
      </w:r>
    </w:p>
    <w:p w14:paraId="171DC6C4">
      <w:pPr>
        <w:widowControl/>
        <w:spacing w:after="200" w:line="276" w:lineRule="auto"/>
        <w:jc w:val="left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  <w:r>
        <w:rPr>
          <w:rFonts w:ascii="Times New Roman" w:hAnsi="Times New Roman" w:eastAsia="宋体" w:cs="Times New Roman"/>
          <w:b w:val="0"/>
          <w:kern w:val="0"/>
          <w:sz w:val="20"/>
          <w:szCs w:val="22"/>
          <w:lang w:eastAsia="en-US"/>
        </w:rPr>
        <w:t>This file collects supplementary figures that are not essential for understanding the main text but provide diagnostic support for the field construction, statistical comparisons, sensitivity analysis, and dynamic harvestability extension.</w:t>
      </w:r>
    </w:p>
    <w:p w14:paraId="6A450D42">
      <w:pPr>
        <w:keepNext/>
        <w:keepLines/>
        <w:spacing w:before="200" w:after="0" w:line="276" w:lineRule="auto"/>
        <w:outlineLvl w:val="1"/>
        <w:rPr>
          <w:rFonts w:ascii="Calibri" w:hAnsi="Calibri" w:eastAsia="宋体" w:cs="Times New Roman"/>
          <w:b/>
          <w:bCs/>
          <w:color w:val="4F81BD"/>
          <w:sz w:val="22"/>
          <w:szCs w:val="26"/>
          <w:lang w:val="en-US" w:eastAsia="en-US" w:bidi="ar-SA"/>
        </w:rPr>
      </w:pP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Supplementary Fig. S1. Three-dimensional distribution of the composite harvestability field and fruit positions.</w:t>
      </w:r>
    </w:p>
    <w:p w14:paraId="448F0EC8">
      <w:pPr>
        <w:widowControl/>
        <w:spacing w:after="200" w:line="276" w:lineRule="auto"/>
        <w:jc w:val="center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</w:p>
    <w:p w14:paraId="6F29FEF3">
      <w:pPr>
        <w:widowControl/>
        <w:spacing w:after="200" w:line="276" w:lineRule="auto"/>
        <w:jc w:val="left"/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  <w:drawing>
          <wp:inline distT="0" distB="0" distL="114300" distR="114300">
            <wp:extent cx="5266690" cy="4683760"/>
            <wp:effectExtent l="0" t="0" r="3810" b="2540"/>
            <wp:docPr id="14" name="图片 14" descr="H_3d_sca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H_3d_scatter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68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829D">
      <w:pPr>
        <w:widowControl/>
        <w:spacing w:after="200" w:line="276" w:lineRule="auto"/>
        <w:jc w:val="left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  <w:r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  <w:br w:type="page"/>
      </w:r>
    </w:p>
    <w:p w14:paraId="1C4B91A9">
      <w:pPr>
        <w:keepNext/>
        <w:keepLines/>
        <w:spacing w:before="200" w:after="0" w:line="276" w:lineRule="auto"/>
        <w:outlineLvl w:val="1"/>
        <w:rPr>
          <w:rFonts w:ascii="Calibri" w:hAnsi="Calibri" w:eastAsia="宋体" w:cs="Times New Roman"/>
          <w:b/>
          <w:bCs/>
          <w:color w:val="4F81BD"/>
          <w:sz w:val="22"/>
          <w:szCs w:val="26"/>
          <w:lang w:val="en-US" w:eastAsia="en-US" w:bidi="ar-SA"/>
        </w:rPr>
      </w:pP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Supplementary Fig. S2. Distribution of harvestability values at fruit positions.</w:t>
      </w:r>
    </w:p>
    <w:p w14:paraId="6CA9EEF2">
      <w:pPr>
        <w:widowControl/>
        <w:spacing w:after="200" w:line="276" w:lineRule="auto"/>
        <w:jc w:val="center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</w:p>
    <w:p w14:paraId="75F7038B">
      <w:pPr>
        <w:widowControl/>
        <w:spacing w:after="200" w:line="276" w:lineRule="auto"/>
        <w:jc w:val="left"/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  <w:drawing>
          <wp:inline distT="0" distB="0" distL="114300" distR="114300">
            <wp:extent cx="5266690" cy="3127375"/>
            <wp:effectExtent l="0" t="0" r="3810" b="9525"/>
            <wp:docPr id="15" name="图片 15" descr="fruit_H_distribu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ruit_H_distribution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903A5">
      <w:pPr>
        <w:widowControl/>
        <w:spacing w:after="200" w:line="276" w:lineRule="auto"/>
        <w:jc w:val="left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  <w:r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  <w:br w:type="page"/>
      </w:r>
    </w:p>
    <w:p w14:paraId="434F87F8">
      <w:pPr>
        <w:keepNext/>
        <w:keepLines/>
        <w:spacing w:before="200" w:after="0" w:line="276" w:lineRule="auto"/>
        <w:outlineLvl w:val="1"/>
        <w:rPr>
          <w:rFonts w:ascii="Calibri" w:hAnsi="Calibri" w:eastAsia="宋体" w:cs="Times New Roman"/>
          <w:b/>
          <w:bCs/>
          <w:color w:val="4F81BD"/>
          <w:sz w:val="22"/>
          <w:szCs w:val="26"/>
          <w:lang w:val="en-US" w:eastAsia="en-US" w:bidi="ar-SA"/>
        </w:rPr>
      </w:pP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Supplementary Fig. S3. Cross-sectional XZ visualisation of reachability, visibility, clearance, detachability, and composite harvestability.</w:t>
      </w:r>
    </w:p>
    <w:p w14:paraId="6322FFA0">
      <w:pPr>
        <w:widowControl/>
        <w:spacing w:after="200" w:line="276" w:lineRule="auto"/>
        <w:jc w:val="center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</w:p>
    <w:p w14:paraId="1C8AD53D">
      <w:pPr>
        <w:widowControl/>
        <w:spacing w:after="200" w:line="276" w:lineRule="auto"/>
        <w:jc w:val="left"/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  <w:drawing>
          <wp:inline distT="0" distB="0" distL="114300" distR="114300">
            <wp:extent cx="5270500" cy="3187065"/>
            <wp:effectExtent l="0" t="0" r="0" b="635"/>
            <wp:docPr id="16" name="图片 16" descr="subfields_panel_X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ubfields_panel_XZ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7CFA1">
      <w:pPr>
        <w:widowControl/>
        <w:spacing w:after="200" w:line="276" w:lineRule="auto"/>
        <w:jc w:val="left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  <w:r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  <w:br w:type="page"/>
      </w:r>
    </w:p>
    <w:p w14:paraId="3B980BC4">
      <w:pPr>
        <w:keepNext/>
        <w:keepLines/>
        <w:spacing w:before="200" w:after="0" w:line="276" w:lineRule="auto"/>
        <w:outlineLvl w:val="1"/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</w:pP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Supplementary Fig. S</w:t>
      </w:r>
      <w:r>
        <w:rPr>
          <w:rFonts w:hint="eastAsia"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zh-CN" w:bidi="ar-SA"/>
        </w:rPr>
        <w:t>4</w:t>
      </w: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. Summary statistics for the harvestability sub-fields and composite field.</w:t>
      </w:r>
    </w:p>
    <w:p w14:paraId="28FD1A55">
      <w:pPr>
        <w:widowControl/>
        <w:spacing w:after="200" w:line="276" w:lineRule="auto"/>
        <w:jc w:val="center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</w:p>
    <w:p w14:paraId="783802D8">
      <w:pPr>
        <w:widowControl/>
        <w:spacing w:after="200" w:line="276" w:lineRule="auto"/>
        <w:jc w:val="left"/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  <w:drawing>
          <wp:inline distT="0" distB="0" distL="114300" distR="114300">
            <wp:extent cx="5269865" cy="2892425"/>
            <wp:effectExtent l="0" t="0" r="635" b="3175"/>
            <wp:docPr id="17" name="图片 17" descr="subfield_statis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subfield_statistic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9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EC15F">
      <w:pPr>
        <w:widowControl/>
        <w:spacing w:after="200" w:line="276" w:lineRule="auto"/>
        <w:jc w:val="left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  <w:r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  <w:br w:type="page"/>
      </w:r>
    </w:p>
    <w:p w14:paraId="15641C7C">
      <w:pPr>
        <w:keepNext/>
        <w:keepLines/>
        <w:spacing w:before="200" w:after="0" w:line="276" w:lineRule="auto"/>
        <w:outlineLvl w:val="1"/>
        <w:rPr>
          <w:rFonts w:ascii="Calibri" w:hAnsi="Calibri" w:eastAsia="宋体" w:cs="Times New Roman"/>
          <w:b/>
          <w:bCs/>
          <w:color w:val="4F81BD"/>
          <w:sz w:val="22"/>
          <w:szCs w:val="26"/>
          <w:lang w:val="en-US" w:eastAsia="en-US" w:bidi="ar-SA"/>
        </w:rPr>
      </w:pP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Supplementary Fig. S</w:t>
      </w:r>
      <w:r>
        <w:rPr>
          <w:rFonts w:hint="eastAsia"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zh-CN" w:bidi="ar-SA"/>
        </w:rPr>
        <w:t>5</w:t>
      </w: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. Statistical contrast heatmap for baseline comparisons.</w:t>
      </w:r>
    </w:p>
    <w:p w14:paraId="2F555758">
      <w:pPr>
        <w:widowControl/>
        <w:spacing w:after="200" w:line="276" w:lineRule="auto"/>
        <w:jc w:val="center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</w:p>
    <w:p w14:paraId="005BFBCC">
      <w:pPr>
        <w:widowControl/>
        <w:spacing w:after="200" w:line="276" w:lineRule="auto"/>
        <w:jc w:val="left"/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  <w:drawing>
          <wp:inline distT="0" distB="0" distL="114300" distR="114300">
            <wp:extent cx="5139055" cy="4578350"/>
            <wp:effectExtent l="0" t="0" r="4445" b="6350"/>
            <wp:docPr id="18" name="图片 18" descr="fig_stat_hea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ig_stat_heatmap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9055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875CB">
      <w:pPr>
        <w:widowControl/>
        <w:spacing w:after="200" w:line="276" w:lineRule="auto"/>
        <w:jc w:val="left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  <w:r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  <w:br w:type="page"/>
      </w:r>
    </w:p>
    <w:p w14:paraId="44579E91">
      <w:pPr>
        <w:keepNext/>
        <w:keepLines/>
        <w:spacing w:before="200" w:after="0" w:line="276" w:lineRule="auto"/>
        <w:outlineLvl w:val="1"/>
        <w:rPr>
          <w:rFonts w:ascii="Calibri" w:hAnsi="Calibri" w:eastAsia="宋体" w:cs="Times New Roman"/>
          <w:b/>
          <w:bCs/>
          <w:color w:val="4F81BD"/>
          <w:sz w:val="22"/>
          <w:szCs w:val="26"/>
          <w:lang w:val="en-US" w:eastAsia="en-US" w:bidi="ar-SA"/>
        </w:rPr>
      </w:pP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Supplementary Fig. S</w:t>
      </w:r>
      <w:r>
        <w:rPr>
          <w:rFonts w:hint="eastAsia"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zh-CN" w:bidi="ar-SA"/>
        </w:rPr>
        <w:t>6</w:t>
      </w: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. Harvestability distributions under controlled fruit thinning strategies.</w:t>
      </w:r>
    </w:p>
    <w:p w14:paraId="35560AEF">
      <w:pPr>
        <w:widowControl/>
        <w:spacing w:after="200" w:line="276" w:lineRule="auto"/>
        <w:jc w:val="center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</w:p>
    <w:p w14:paraId="6D189C1B">
      <w:pPr>
        <w:widowControl/>
        <w:spacing w:after="200" w:line="276" w:lineRule="auto"/>
        <w:jc w:val="left"/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  <w:drawing>
          <wp:inline distT="0" distB="0" distL="114300" distR="114300">
            <wp:extent cx="5270500" cy="1456690"/>
            <wp:effectExtent l="0" t="0" r="0" b="3810"/>
            <wp:docPr id="19" name="图片 19" descr="a4_distribu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4_distribution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56F62">
      <w:pPr>
        <w:widowControl/>
        <w:spacing w:after="200" w:line="276" w:lineRule="auto"/>
        <w:jc w:val="left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  <w:r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  <w:br w:type="page"/>
      </w:r>
      <w:bookmarkStart w:id="0" w:name="_GoBack"/>
      <w:bookmarkEnd w:id="0"/>
    </w:p>
    <w:p w14:paraId="27E1D0AF">
      <w:pPr>
        <w:keepNext/>
        <w:keepLines/>
        <w:spacing w:before="200" w:after="0" w:line="276" w:lineRule="auto"/>
        <w:outlineLvl w:val="1"/>
        <w:rPr>
          <w:rFonts w:ascii="Calibri" w:hAnsi="Calibri" w:eastAsia="宋体" w:cs="Times New Roman"/>
          <w:b/>
          <w:bCs/>
          <w:color w:val="4F81BD"/>
          <w:sz w:val="22"/>
          <w:szCs w:val="26"/>
          <w:lang w:val="en-US" w:eastAsia="en-US" w:bidi="ar-SA"/>
        </w:rPr>
      </w:pP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Supplementary Fig. S</w:t>
      </w:r>
      <w:r>
        <w:rPr>
          <w:rFonts w:hint="eastAsia"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zh-CN" w:bidi="ar-SA"/>
        </w:rPr>
        <w:t>7</w:t>
      </w: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. Bootstrap convergence diagnostics for HYI uncertainty analysis.</w:t>
      </w:r>
    </w:p>
    <w:p w14:paraId="5D501A45">
      <w:pPr>
        <w:widowControl/>
        <w:spacing w:after="200" w:line="276" w:lineRule="auto"/>
        <w:jc w:val="center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</w:p>
    <w:p w14:paraId="7F9E81C1">
      <w:pPr>
        <w:widowControl/>
        <w:spacing w:after="200" w:line="276" w:lineRule="auto"/>
        <w:jc w:val="left"/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  <w:drawing>
          <wp:inline distT="0" distB="0" distL="114300" distR="114300">
            <wp:extent cx="5271770" cy="4082415"/>
            <wp:effectExtent l="0" t="0" r="11430" b="6985"/>
            <wp:docPr id="20" name="图片 20" descr="hyi_bootstrap_converg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hyi_bootstrap_convergenc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08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A7055">
      <w:pPr>
        <w:widowControl/>
        <w:spacing w:after="200" w:line="276" w:lineRule="auto"/>
        <w:jc w:val="left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  <w:r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  <w:br w:type="page"/>
      </w:r>
    </w:p>
    <w:p w14:paraId="19D1A8D2">
      <w:pPr>
        <w:keepNext/>
        <w:keepLines/>
        <w:spacing w:before="200" w:after="0" w:line="276" w:lineRule="auto"/>
        <w:outlineLvl w:val="1"/>
        <w:rPr>
          <w:rFonts w:ascii="Calibri" w:hAnsi="Calibri" w:eastAsia="宋体" w:cs="Times New Roman"/>
          <w:b/>
          <w:bCs/>
          <w:color w:val="4F81BD"/>
          <w:sz w:val="22"/>
          <w:szCs w:val="26"/>
          <w:lang w:val="en-US" w:eastAsia="en-US" w:bidi="ar-SA"/>
        </w:rPr>
      </w:pP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Supplementary Fig. S</w:t>
      </w:r>
      <w:r>
        <w:rPr>
          <w:rFonts w:hint="eastAsia"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zh-CN" w:bidi="ar-SA"/>
        </w:rPr>
        <w:t>8</w:t>
      </w: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. Sobol second-order interaction matrix for HYI.</w:t>
      </w:r>
    </w:p>
    <w:p w14:paraId="34691B51">
      <w:pPr>
        <w:widowControl/>
        <w:spacing w:after="200" w:line="276" w:lineRule="auto"/>
        <w:jc w:val="center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</w:p>
    <w:p w14:paraId="45172272">
      <w:pPr>
        <w:widowControl/>
        <w:spacing w:after="200" w:line="276" w:lineRule="auto"/>
        <w:jc w:val="left"/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  <w:drawing>
          <wp:inline distT="0" distB="0" distL="114300" distR="114300">
            <wp:extent cx="5273040" cy="4582160"/>
            <wp:effectExtent l="0" t="0" r="10160" b="2540"/>
            <wp:docPr id="21" name="图片 21" descr="sobol_interac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sobol_interaction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58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93ABA">
      <w:pPr>
        <w:widowControl/>
        <w:spacing w:after="200" w:line="276" w:lineRule="auto"/>
        <w:jc w:val="left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  <w:r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  <w:br w:type="page"/>
      </w:r>
    </w:p>
    <w:p w14:paraId="4DE73449">
      <w:pPr>
        <w:keepNext/>
        <w:keepLines/>
        <w:spacing w:before="200" w:after="0" w:line="276" w:lineRule="auto"/>
        <w:outlineLvl w:val="1"/>
        <w:rPr>
          <w:rFonts w:ascii="Calibri" w:hAnsi="Calibri" w:eastAsia="宋体" w:cs="Times New Roman"/>
          <w:b/>
          <w:bCs/>
          <w:color w:val="4F81BD"/>
          <w:sz w:val="22"/>
          <w:szCs w:val="26"/>
          <w:lang w:val="en-US" w:eastAsia="en-US" w:bidi="ar-SA"/>
        </w:rPr>
      </w:pP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Supplementary Fig. S</w:t>
      </w:r>
      <w:r>
        <w:rPr>
          <w:rFonts w:hint="eastAsia"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zh-CN" w:bidi="ar-SA"/>
        </w:rPr>
        <w:t>9</w:t>
      </w: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. Hypervolume comparison between robot configurations.</w:t>
      </w:r>
    </w:p>
    <w:p w14:paraId="263446F3">
      <w:pPr>
        <w:widowControl/>
        <w:spacing w:after="200" w:line="276" w:lineRule="auto"/>
        <w:jc w:val="center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</w:p>
    <w:p w14:paraId="5F471E2B">
      <w:pPr>
        <w:widowControl/>
        <w:spacing w:after="200" w:line="276" w:lineRule="auto"/>
        <w:jc w:val="left"/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  <w:drawing>
          <wp:inline distT="0" distB="0" distL="114300" distR="114300">
            <wp:extent cx="5269865" cy="3469640"/>
            <wp:effectExtent l="0" t="0" r="635" b="10160"/>
            <wp:docPr id="22" name="图片 22" descr="hv_compari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hv_comparison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54277">
      <w:pPr>
        <w:widowControl/>
        <w:spacing w:after="200" w:line="276" w:lineRule="auto"/>
        <w:jc w:val="left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  <w:r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  <w:br w:type="page"/>
      </w:r>
    </w:p>
    <w:p w14:paraId="02F9527F">
      <w:pPr>
        <w:keepNext/>
        <w:keepLines/>
        <w:spacing w:before="200" w:after="0" w:line="276" w:lineRule="auto"/>
        <w:outlineLvl w:val="1"/>
        <w:rPr>
          <w:rFonts w:ascii="Calibri" w:hAnsi="Calibri" w:eastAsia="宋体" w:cs="Times New Roman"/>
          <w:b/>
          <w:bCs/>
          <w:color w:val="4F81BD"/>
          <w:sz w:val="22"/>
          <w:szCs w:val="26"/>
          <w:lang w:val="en-US" w:eastAsia="en-US" w:bidi="ar-SA"/>
        </w:rPr>
      </w:pP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Supplementary Fig. S1</w:t>
      </w:r>
      <w:r>
        <w:rPr>
          <w:rFonts w:hint="eastAsia"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zh-CN" w:bidi="ar-SA"/>
        </w:rPr>
        <w:t>0</w:t>
      </w: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. Dynamic HYI evolution under sequential fruit removal.</w:t>
      </w:r>
    </w:p>
    <w:p w14:paraId="171788CF">
      <w:pPr>
        <w:widowControl/>
        <w:spacing w:after="200" w:line="276" w:lineRule="auto"/>
        <w:jc w:val="center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</w:p>
    <w:p w14:paraId="2BDE5DB7">
      <w:pPr>
        <w:widowControl/>
        <w:spacing w:after="200" w:line="276" w:lineRule="auto"/>
        <w:jc w:val="left"/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  <w:drawing>
          <wp:inline distT="0" distB="0" distL="114300" distR="114300">
            <wp:extent cx="5273040" cy="3261995"/>
            <wp:effectExtent l="0" t="0" r="10160" b="1905"/>
            <wp:docPr id="23" name="图片 23" descr="dynamic_hyi_evolu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dynamic_hyi_evolution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30788">
      <w:pPr>
        <w:widowControl/>
        <w:spacing w:after="200" w:line="276" w:lineRule="auto"/>
        <w:jc w:val="left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  <w:r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  <w:br w:type="page"/>
      </w:r>
    </w:p>
    <w:p w14:paraId="7E4DC40A">
      <w:pPr>
        <w:keepNext/>
        <w:keepLines/>
        <w:spacing w:before="200" w:after="0" w:line="276" w:lineRule="auto"/>
        <w:outlineLvl w:val="1"/>
        <w:rPr>
          <w:rFonts w:ascii="Calibri" w:hAnsi="Calibri" w:eastAsia="宋体" w:cs="Times New Roman"/>
          <w:b/>
          <w:bCs/>
          <w:color w:val="4F81BD"/>
          <w:sz w:val="22"/>
          <w:szCs w:val="26"/>
          <w:lang w:val="en-US" w:eastAsia="en-US" w:bidi="ar-SA"/>
        </w:rPr>
      </w:pP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Supplementary Fig. S1</w:t>
      </w:r>
      <w:r>
        <w:rPr>
          <w:rFonts w:hint="eastAsia"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zh-CN" w:bidi="ar-SA"/>
        </w:rPr>
        <w:t>1</w:t>
      </w: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. Dynamic mean harvestability evolution under sequential fruit removal.</w:t>
      </w:r>
    </w:p>
    <w:p w14:paraId="51572706">
      <w:pPr>
        <w:widowControl/>
        <w:spacing w:after="200" w:line="276" w:lineRule="auto"/>
        <w:jc w:val="center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</w:p>
    <w:p w14:paraId="671CF383">
      <w:pPr>
        <w:widowControl/>
        <w:spacing w:after="200" w:line="276" w:lineRule="auto"/>
        <w:jc w:val="left"/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</w:pPr>
      <w:r>
        <w:rPr>
          <w:rFonts w:hint="eastAsia" w:ascii="Times New Roman" w:hAnsi="Times New Roman" w:eastAsia="宋体" w:cs="Times New Roman"/>
          <w:kern w:val="0"/>
          <w:sz w:val="20"/>
          <w:szCs w:val="22"/>
          <w:lang w:eastAsia="zh-CN"/>
        </w:rPr>
        <w:drawing>
          <wp:inline distT="0" distB="0" distL="114300" distR="114300">
            <wp:extent cx="5273040" cy="3261995"/>
            <wp:effectExtent l="0" t="0" r="10160" b="1905"/>
            <wp:docPr id="24" name="图片 24" descr="dynamic_mean_H_evolu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dynamic_mean_H_evolution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B68A6">
      <w:pPr>
        <w:widowControl/>
        <w:spacing w:after="200" w:line="276" w:lineRule="auto"/>
        <w:jc w:val="left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  <w:r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  <w:br w:type="page"/>
      </w:r>
    </w:p>
    <w:p w14:paraId="056FFEEA">
      <w:pPr>
        <w:keepNext/>
        <w:keepLines/>
        <w:spacing w:before="200" w:after="0" w:line="276" w:lineRule="auto"/>
        <w:outlineLvl w:val="1"/>
        <w:rPr>
          <w:rFonts w:ascii="Calibri" w:hAnsi="Calibri" w:eastAsia="宋体" w:cs="Times New Roman"/>
          <w:b/>
          <w:bCs/>
          <w:color w:val="4F81BD"/>
          <w:sz w:val="22"/>
          <w:szCs w:val="26"/>
          <w:lang w:val="en-US" w:eastAsia="en-US" w:bidi="ar-SA"/>
        </w:rPr>
      </w:pP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Supplementary Fig. S1</w:t>
      </w:r>
      <w:r>
        <w:rPr>
          <w:rFonts w:hint="eastAsia"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zh-CN" w:bidi="ar-SA"/>
        </w:rPr>
        <w:t>2</w:t>
      </w:r>
      <w:r>
        <w:rPr>
          <w:rFonts w:ascii="Times New Roman" w:hAnsi="Times New Roman" w:eastAsia="宋体" w:cs="Times New Roman"/>
          <w:b w:val="0"/>
          <w:bCs/>
          <w:color w:val="4F81BD"/>
          <w:sz w:val="20"/>
          <w:szCs w:val="26"/>
          <w:lang w:val="en-US" w:eastAsia="en-US" w:bidi="ar-SA"/>
        </w:rPr>
        <w:t>. Monotonicity diagnostics for the dynamic harvestability extension.</w:t>
      </w:r>
    </w:p>
    <w:p w14:paraId="278D689D">
      <w:pPr>
        <w:widowControl/>
        <w:spacing w:after="200" w:line="276" w:lineRule="auto"/>
        <w:jc w:val="center"/>
        <w:rPr>
          <w:rFonts w:ascii="Times New Roman" w:hAnsi="Times New Roman" w:eastAsia="宋体" w:cs="Times New Roman"/>
          <w:kern w:val="0"/>
          <w:sz w:val="20"/>
          <w:szCs w:val="22"/>
          <w:lang w:eastAsia="en-US"/>
        </w:rPr>
      </w:pPr>
    </w:p>
    <w:p w14:paraId="37A9DB4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594610"/>
            <wp:effectExtent l="0" t="0" r="10160" b="8890"/>
            <wp:docPr id="25" name="图片 25" descr="dynamic_monotonic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dynamic_monotonicity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9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A7373"/>
    <w:rsid w:val="02AA7373"/>
    <w:rsid w:val="17253036"/>
    <w:rsid w:val="3238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3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2026-04-25T23:32:00Z</dcterms:created>
  <dc:creator>二十四节气</dc:creator>
  <cp:lastModifiedBy>二十四节气</cp:lastModifiedBy>
  <dcterms:modified xsi:type="dcterms:W3CDTF">2026-04-25T23:42:09Z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95DEEA953F774ABEBF6C2C90F98A858D_11</vt:lpwstr>
  </property>
  <property fmtid="{D5CDD505-2E9C-101B-9397-08002B2CF9AE}" pid="4" name="KSOTemplateDocerSaveRecord">
    <vt:lpwstr>eyJoZGlkIjoiOGEzNDIxZTRiMmE4MjEzY2Y0OWRjNzQ2ZTA1NGYxN2MiLCJ1c2VySWQiOiI4NjYwNDg2NTUifQ==</vt:lpwstr>
  </property>
</Properties>
</file>