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5FF2B" w14:textId="77777777" w:rsidR="00E010D3" w:rsidRPr="00E010D3" w:rsidRDefault="00E010D3" w:rsidP="00E010D3">
      <w:pPr>
        <w:spacing w:line="360" w:lineRule="auto"/>
        <w:jc w:val="both"/>
        <w:rPr>
          <w:rFonts w:ascii="Times New Roman" w:hAnsi="Times New Roman" w:cs="Times New Roman"/>
          <w:b/>
          <w:bCs/>
          <w:color w:val="000000"/>
          <w:sz w:val="20"/>
          <w:szCs w:val="20"/>
        </w:rPr>
      </w:pPr>
      <w:r w:rsidRPr="00E010D3">
        <w:rPr>
          <w:rFonts w:ascii="Times New Roman" w:hAnsi="Times New Roman" w:cs="Times New Roman"/>
          <w:b/>
          <w:bCs/>
          <w:color w:val="000000"/>
          <w:sz w:val="20"/>
          <w:szCs w:val="20"/>
        </w:rPr>
        <w:t>Supplementary sheet</w:t>
      </w:r>
    </w:p>
    <w:p w14:paraId="194AD12A" w14:textId="77777777" w:rsidR="00E010D3" w:rsidRPr="001768A3" w:rsidRDefault="00E010D3" w:rsidP="00E010D3">
      <w:pPr>
        <w:spacing w:line="360" w:lineRule="auto"/>
        <w:jc w:val="both"/>
        <w:rPr>
          <w:rFonts w:ascii="Times New Roman" w:hAnsi="Times New Roman" w:cs="Times New Roman"/>
          <w:color w:val="FF0000"/>
          <w:sz w:val="20"/>
          <w:szCs w:val="20"/>
        </w:rPr>
      </w:pPr>
      <w:r w:rsidRPr="001768A3">
        <w:rPr>
          <w:rFonts w:ascii="Times New Roman" w:hAnsi="Times New Roman" w:cs="Times New Roman"/>
          <w:color w:val="333333"/>
          <w:sz w:val="20"/>
          <w:szCs w:val="20"/>
        </w:rPr>
        <w:t>Figure 2 Path diagram</w:t>
      </w:r>
      <w:r w:rsidRPr="001768A3">
        <w:rPr>
          <w:rFonts w:ascii="Times New Roman" w:hAnsi="Times New Roman" w:cs="Times New Roman"/>
          <w:sz w:val="20"/>
          <w:szCs w:val="20"/>
        </w:rPr>
        <w:t xml:space="preserve"> </w:t>
      </w:r>
    </w:p>
    <w:p w14:paraId="6647091A" w14:textId="77777777" w:rsidR="00E010D3" w:rsidRPr="001768A3" w:rsidRDefault="00E010D3" w:rsidP="00E010D3">
      <w:pPr>
        <w:spacing w:line="360" w:lineRule="auto"/>
        <w:jc w:val="both"/>
        <w:rPr>
          <w:rFonts w:ascii="Times New Roman" w:hAnsi="Times New Roman" w:cs="Times New Roman"/>
          <w:color w:val="FF0000"/>
          <w:sz w:val="20"/>
          <w:szCs w:val="20"/>
        </w:rPr>
      </w:pPr>
      <w:r w:rsidRPr="001768A3">
        <w:rPr>
          <w:rFonts w:ascii="Times New Roman" w:hAnsi="Times New Roman" w:cs="Times New Roman"/>
          <w:noProof/>
          <w:sz w:val="20"/>
          <w:szCs w:val="20"/>
        </w:rPr>
        <w:drawing>
          <wp:anchor distT="0" distB="0" distL="114300" distR="114300" simplePos="0" relativeHeight="251659264" behindDoc="0" locked="0" layoutInCell="1" hidden="0" allowOverlap="1" wp14:anchorId="4E352A46" wp14:editId="68A3949F">
            <wp:simplePos x="0" y="0"/>
            <wp:positionH relativeFrom="column">
              <wp:posOffset>-152400</wp:posOffset>
            </wp:positionH>
            <wp:positionV relativeFrom="paragraph">
              <wp:posOffset>579120</wp:posOffset>
            </wp:positionV>
            <wp:extent cx="6357620" cy="4944110"/>
            <wp:effectExtent l="0" t="0" r="0" b="0"/>
            <wp:wrapSquare wrapText="bothSides" distT="0" distB="0" distL="114300" distR="114300"/>
            <wp:docPr id="2" name="image2.png" descr="A diagram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diagram of a diagram&#10;&#10;Description automatically generated"/>
                    <pic:cNvPicPr preferRelativeResize="0"/>
                  </pic:nvPicPr>
                  <pic:blipFill>
                    <a:blip r:embed="rId5"/>
                    <a:srcRect/>
                    <a:stretch>
                      <a:fillRect/>
                    </a:stretch>
                  </pic:blipFill>
                  <pic:spPr>
                    <a:xfrm>
                      <a:off x="0" y="0"/>
                      <a:ext cx="6357620" cy="4944110"/>
                    </a:xfrm>
                    <a:prstGeom prst="rect">
                      <a:avLst/>
                    </a:prstGeom>
                    <a:ln/>
                  </pic:spPr>
                </pic:pic>
              </a:graphicData>
            </a:graphic>
          </wp:anchor>
        </w:drawing>
      </w:r>
    </w:p>
    <w:p w14:paraId="4C724225" w14:textId="1918FE20" w:rsidR="008322C7" w:rsidRPr="00535ACF" w:rsidRDefault="00CE43B6" w:rsidP="00535ACF">
      <w:pPr>
        <w:spacing w:after="0"/>
        <w:rPr>
          <w:rFonts w:ascii="Times New Roman" w:eastAsia="Calibri" w:hAnsi="Times New Roman" w:cs="Times New Roman"/>
          <w:sz w:val="20"/>
          <w:szCs w:val="20"/>
        </w:rPr>
      </w:pPr>
      <w:r w:rsidRPr="0045517F">
        <w:rPr>
          <w:rFonts w:ascii="Times New Roman" w:eastAsia="Calibri" w:hAnsi="Times New Roman" w:cs="Times New Roman"/>
          <w:sz w:val="20"/>
          <w:szCs w:val="20"/>
        </w:rPr>
        <w:t xml:space="preserve"> </w:t>
      </w:r>
    </w:p>
    <w:sectPr w:rsidR="008322C7" w:rsidRPr="00535A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1A8"/>
    <w:rsid w:val="00001765"/>
    <w:rsid w:val="00107D26"/>
    <w:rsid w:val="00111A3F"/>
    <w:rsid w:val="0021595F"/>
    <w:rsid w:val="00237CA0"/>
    <w:rsid w:val="00335413"/>
    <w:rsid w:val="00335DDC"/>
    <w:rsid w:val="00376620"/>
    <w:rsid w:val="0041173E"/>
    <w:rsid w:val="00436399"/>
    <w:rsid w:val="0045517F"/>
    <w:rsid w:val="00482FEB"/>
    <w:rsid w:val="004C628A"/>
    <w:rsid w:val="0050693B"/>
    <w:rsid w:val="00535ACF"/>
    <w:rsid w:val="00547EE3"/>
    <w:rsid w:val="005523D7"/>
    <w:rsid w:val="00554370"/>
    <w:rsid w:val="0060084D"/>
    <w:rsid w:val="0071646C"/>
    <w:rsid w:val="00764172"/>
    <w:rsid w:val="00766065"/>
    <w:rsid w:val="0078122C"/>
    <w:rsid w:val="007E19E9"/>
    <w:rsid w:val="00801EE2"/>
    <w:rsid w:val="008322C7"/>
    <w:rsid w:val="008E32C6"/>
    <w:rsid w:val="00A171A8"/>
    <w:rsid w:val="00A66E7F"/>
    <w:rsid w:val="00AE469D"/>
    <w:rsid w:val="00B06A41"/>
    <w:rsid w:val="00B84982"/>
    <w:rsid w:val="00BF2EEC"/>
    <w:rsid w:val="00C36DCA"/>
    <w:rsid w:val="00C8757E"/>
    <w:rsid w:val="00CE43B6"/>
    <w:rsid w:val="00D0798B"/>
    <w:rsid w:val="00DE27DD"/>
    <w:rsid w:val="00E010D3"/>
    <w:rsid w:val="00E76824"/>
    <w:rsid w:val="00F155FD"/>
    <w:rsid w:val="00F33D4F"/>
    <w:rsid w:val="00F924A2"/>
    <w:rsid w:val="00FD61A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52BD0441"/>
  <w15:chartTrackingRefBased/>
  <w15:docId w15:val="{BB482F3A-D625-334E-A559-6D94B105B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3B6"/>
    <w:pPr>
      <w:spacing w:after="160" w:line="259" w:lineRule="auto"/>
    </w:pPr>
    <w:rPr>
      <w:rFonts w:eastAsiaTheme="minorEastAsia"/>
      <w:kern w:val="0"/>
      <w:sz w:val="22"/>
      <w:szCs w:val="22"/>
      <w:lang w:val="en-AU"/>
      <w14:ligatures w14:val="none"/>
    </w:rPr>
  </w:style>
  <w:style w:type="paragraph" w:styleId="Heading1">
    <w:name w:val="heading 1"/>
    <w:basedOn w:val="Normal"/>
    <w:link w:val="Heading1Char"/>
    <w:uiPriority w:val="9"/>
    <w:qFormat/>
    <w:rsid w:val="00A171A8"/>
    <w:pPr>
      <w:spacing w:before="100" w:beforeAutospacing="1" w:after="180" w:line="240" w:lineRule="auto"/>
      <w:outlineLvl w:val="0"/>
    </w:pPr>
    <w:rPr>
      <w:rFonts w:ascii="Times New Roman" w:eastAsia="Times New Roman" w:hAnsi="Times New Roman" w:cs="Times New Roman"/>
      <w:b/>
      <w:bCs/>
      <w:color w:val="3E6DA9"/>
      <w:kern w:val="36"/>
      <w:sz w:val="38"/>
      <w:szCs w:val="38"/>
      <w:lang w:val="en-NZ" w:eastAsia="en-GB"/>
    </w:rPr>
  </w:style>
  <w:style w:type="paragraph" w:styleId="Heading2">
    <w:name w:val="heading 2"/>
    <w:basedOn w:val="Normal"/>
    <w:link w:val="Heading2Char"/>
    <w:uiPriority w:val="9"/>
    <w:qFormat/>
    <w:rsid w:val="00A171A8"/>
    <w:pPr>
      <w:spacing w:before="100" w:beforeAutospacing="1" w:after="180" w:line="240" w:lineRule="auto"/>
      <w:outlineLvl w:val="1"/>
    </w:pPr>
    <w:rPr>
      <w:rFonts w:ascii="Times New Roman" w:eastAsia="Times New Roman" w:hAnsi="Times New Roman" w:cs="Times New Roman"/>
      <w:b/>
      <w:bCs/>
      <w:color w:val="3E6DA9"/>
      <w:sz w:val="31"/>
      <w:szCs w:val="31"/>
      <w:lang w:val="en-NZ" w:eastAsia="en-GB"/>
    </w:rPr>
  </w:style>
  <w:style w:type="paragraph" w:styleId="Heading3">
    <w:name w:val="heading 3"/>
    <w:basedOn w:val="Normal"/>
    <w:link w:val="Heading3Char"/>
    <w:uiPriority w:val="9"/>
    <w:qFormat/>
    <w:rsid w:val="00A171A8"/>
    <w:pPr>
      <w:spacing w:before="100" w:beforeAutospacing="1" w:after="180" w:line="240" w:lineRule="auto"/>
      <w:outlineLvl w:val="2"/>
    </w:pPr>
    <w:rPr>
      <w:rFonts w:ascii="Times New Roman" w:eastAsia="Times New Roman" w:hAnsi="Times New Roman" w:cs="Times New Roman"/>
      <w:b/>
      <w:bCs/>
      <w:sz w:val="26"/>
      <w:szCs w:val="26"/>
      <w:lang w:val="en-NZ"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1A8"/>
    <w:rPr>
      <w:rFonts w:ascii="Times New Roman" w:eastAsia="Times New Roman" w:hAnsi="Times New Roman" w:cs="Times New Roman"/>
      <w:b/>
      <w:bCs/>
      <w:color w:val="3E6DA9"/>
      <w:kern w:val="36"/>
      <w:sz w:val="38"/>
      <w:szCs w:val="38"/>
      <w:lang w:eastAsia="en-GB"/>
      <w14:ligatures w14:val="none"/>
    </w:rPr>
  </w:style>
  <w:style w:type="character" w:customStyle="1" w:styleId="Heading2Char">
    <w:name w:val="Heading 2 Char"/>
    <w:basedOn w:val="DefaultParagraphFont"/>
    <w:link w:val="Heading2"/>
    <w:uiPriority w:val="9"/>
    <w:rsid w:val="00A171A8"/>
    <w:rPr>
      <w:rFonts w:ascii="Times New Roman" w:eastAsia="Times New Roman" w:hAnsi="Times New Roman" w:cs="Times New Roman"/>
      <w:b/>
      <w:bCs/>
      <w:color w:val="3E6DA9"/>
      <w:kern w:val="0"/>
      <w:sz w:val="31"/>
      <w:szCs w:val="31"/>
      <w:lang w:eastAsia="en-GB"/>
      <w14:ligatures w14:val="none"/>
    </w:rPr>
  </w:style>
  <w:style w:type="character" w:customStyle="1" w:styleId="Heading3Char">
    <w:name w:val="Heading 3 Char"/>
    <w:basedOn w:val="DefaultParagraphFont"/>
    <w:link w:val="Heading3"/>
    <w:uiPriority w:val="9"/>
    <w:rsid w:val="00A171A8"/>
    <w:rPr>
      <w:rFonts w:ascii="Times New Roman" w:eastAsia="Times New Roman" w:hAnsi="Times New Roman" w:cs="Times New Roman"/>
      <w:b/>
      <w:bCs/>
      <w:kern w:val="0"/>
      <w:sz w:val="26"/>
      <w:szCs w:val="26"/>
      <w:lang w:eastAsia="en-GB"/>
      <w14:ligatures w14:val="none"/>
    </w:rPr>
  </w:style>
  <w:style w:type="paragraph" w:styleId="NormalWeb">
    <w:name w:val="Normal (Web)"/>
    <w:basedOn w:val="Normal"/>
    <w:uiPriority w:val="99"/>
    <w:semiHidden/>
    <w:unhideWhenUsed/>
    <w:rsid w:val="00A171A8"/>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801EE2"/>
    <w:rPr>
      <w:i/>
      <w:iCs/>
    </w:rPr>
  </w:style>
  <w:style w:type="character" w:styleId="Hyperlink">
    <w:name w:val="Hyperlink"/>
    <w:basedOn w:val="DefaultParagraphFont"/>
    <w:uiPriority w:val="99"/>
    <w:semiHidden/>
    <w:unhideWhenUsed/>
    <w:rsid w:val="00801EE2"/>
    <w:rPr>
      <w:color w:val="0000FF"/>
      <w:u w:val="single"/>
    </w:rPr>
  </w:style>
  <w:style w:type="character" w:styleId="PlaceholderText">
    <w:name w:val="Placeholder Text"/>
    <w:basedOn w:val="DefaultParagraphFont"/>
    <w:uiPriority w:val="99"/>
    <w:semiHidden/>
    <w:rsid w:val="00107D26"/>
    <w:rPr>
      <w:color w:val="808080"/>
    </w:rPr>
  </w:style>
  <w:style w:type="paragraph" w:styleId="Header">
    <w:name w:val="header"/>
    <w:basedOn w:val="Normal"/>
    <w:link w:val="HeaderChar"/>
    <w:uiPriority w:val="99"/>
    <w:unhideWhenUsed/>
    <w:qFormat/>
    <w:rsid w:val="00CE43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3B6"/>
    <w:rPr>
      <w:rFonts w:eastAsiaTheme="minorEastAsia"/>
      <w:kern w:val="0"/>
      <w:sz w:val="22"/>
      <w:szCs w:val="22"/>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6593">
      <w:bodyDiv w:val="1"/>
      <w:marLeft w:val="0"/>
      <w:marRight w:val="0"/>
      <w:marTop w:val="0"/>
      <w:marBottom w:val="0"/>
      <w:divBdr>
        <w:top w:val="none" w:sz="0" w:space="0" w:color="auto"/>
        <w:left w:val="none" w:sz="0" w:space="0" w:color="auto"/>
        <w:bottom w:val="none" w:sz="0" w:space="0" w:color="auto"/>
        <w:right w:val="none" w:sz="0" w:space="0" w:color="auto"/>
      </w:divBdr>
    </w:div>
    <w:div w:id="221600199">
      <w:bodyDiv w:val="1"/>
      <w:marLeft w:val="360"/>
      <w:marRight w:val="360"/>
      <w:marTop w:val="360"/>
      <w:marBottom w:val="360"/>
      <w:divBdr>
        <w:top w:val="none" w:sz="0" w:space="0" w:color="auto"/>
        <w:left w:val="none" w:sz="0" w:space="0" w:color="auto"/>
        <w:bottom w:val="none" w:sz="0" w:space="0" w:color="auto"/>
        <w:right w:val="none" w:sz="0" w:space="0" w:color="auto"/>
      </w:divBdr>
    </w:div>
    <w:div w:id="226452299">
      <w:bodyDiv w:val="1"/>
      <w:marLeft w:val="360"/>
      <w:marRight w:val="360"/>
      <w:marTop w:val="360"/>
      <w:marBottom w:val="360"/>
      <w:divBdr>
        <w:top w:val="none" w:sz="0" w:space="0" w:color="auto"/>
        <w:left w:val="none" w:sz="0" w:space="0" w:color="auto"/>
        <w:bottom w:val="none" w:sz="0" w:space="0" w:color="auto"/>
        <w:right w:val="none" w:sz="0" w:space="0" w:color="auto"/>
      </w:divBdr>
    </w:div>
    <w:div w:id="266622778">
      <w:bodyDiv w:val="1"/>
      <w:marLeft w:val="0"/>
      <w:marRight w:val="0"/>
      <w:marTop w:val="0"/>
      <w:marBottom w:val="0"/>
      <w:divBdr>
        <w:top w:val="none" w:sz="0" w:space="0" w:color="auto"/>
        <w:left w:val="none" w:sz="0" w:space="0" w:color="auto"/>
        <w:bottom w:val="none" w:sz="0" w:space="0" w:color="auto"/>
        <w:right w:val="none" w:sz="0" w:space="0" w:color="auto"/>
      </w:divBdr>
    </w:div>
    <w:div w:id="438449756">
      <w:bodyDiv w:val="1"/>
      <w:marLeft w:val="360"/>
      <w:marRight w:val="360"/>
      <w:marTop w:val="360"/>
      <w:marBottom w:val="360"/>
      <w:divBdr>
        <w:top w:val="none" w:sz="0" w:space="0" w:color="auto"/>
        <w:left w:val="none" w:sz="0" w:space="0" w:color="auto"/>
        <w:bottom w:val="none" w:sz="0" w:space="0" w:color="auto"/>
        <w:right w:val="none" w:sz="0" w:space="0" w:color="auto"/>
      </w:divBdr>
    </w:div>
    <w:div w:id="675882547">
      <w:bodyDiv w:val="1"/>
      <w:marLeft w:val="360"/>
      <w:marRight w:val="360"/>
      <w:marTop w:val="360"/>
      <w:marBottom w:val="360"/>
      <w:divBdr>
        <w:top w:val="none" w:sz="0" w:space="0" w:color="auto"/>
        <w:left w:val="none" w:sz="0" w:space="0" w:color="auto"/>
        <w:bottom w:val="none" w:sz="0" w:space="0" w:color="auto"/>
        <w:right w:val="none" w:sz="0" w:space="0" w:color="auto"/>
      </w:divBdr>
    </w:div>
    <w:div w:id="684669009">
      <w:bodyDiv w:val="1"/>
      <w:marLeft w:val="360"/>
      <w:marRight w:val="360"/>
      <w:marTop w:val="360"/>
      <w:marBottom w:val="360"/>
      <w:divBdr>
        <w:top w:val="none" w:sz="0" w:space="0" w:color="auto"/>
        <w:left w:val="none" w:sz="0" w:space="0" w:color="auto"/>
        <w:bottom w:val="none" w:sz="0" w:space="0" w:color="auto"/>
        <w:right w:val="none" w:sz="0" w:space="0" w:color="auto"/>
      </w:divBdr>
    </w:div>
    <w:div w:id="888108039">
      <w:bodyDiv w:val="1"/>
      <w:marLeft w:val="360"/>
      <w:marRight w:val="360"/>
      <w:marTop w:val="360"/>
      <w:marBottom w:val="360"/>
      <w:divBdr>
        <w:top w:val="none" w:sz="0" w:space="0" w:color="auto"/>
        <w:left w:val="none" w:sz="0" w:space="0" w:color="auto"/>
        <w:bottom w:val="none" w:sz="0" w:space="0" w:color="auto"/>
        <w:right w:val="none" w:sz="0" w:space="0" w:color="auto"/>
      </w:divBdr>
    </w:div>
    <w:div w:id="1004358497">
      <w:bodyDiv w:val="1"/>
      <w:marLeft w:val="360"/>
      <w:marRight w:val="360"/>
      <w:marTop w:val="360"/>
      <w:marBottom w:val="360"/>
      <w:divBdr>
        <w:top w:val="none" w:sz="0" w:space="0" w:color="auto"/>
        <w:left w:val="none" w:sz="0" w:space="0" w:color="auto"/>
        <w:bottom w:val="none" w:sz="0" w:space="0" w:color="auto"/>
        <w:right w:val="none" w:sz="0" w:space="0" w:color="auto"/>
      </w:divBdr>
    </w:div>
    <w:div w:id="1200237324">
      <w:bodyDiv w:val="1"/>
      <w:marLeft w:val="0"/>
      <w:marRight w:val="0"/>
      <w:marTop w:val="0"/>
      <w:marBottom w:val="0"/>
      <w:divBdr>
        <w:top w:val="none" w:sz="0" w:space="0" w:color="auto"/>
        <w:left w:val="none" w:sz="0" w:space="0" w:color="auto"/>
        <w:bottom w:val="none" w:sz="0" w:space="0" w:color="auto"/>
        <w:right w:val="none" w:sz="0" w:space="0" w:color="auto"/>
      </w:divBdr>
      <w:divsChild>
        <w:div w:id="186797469">
          <w:marLeft w:val="480"/>
          <w:marRight w:val="0"/>
          <w:marTop w:val="0"/>
          <w:marBottom w:val="0"/>
          <w:divBdr>
            <w:top w:val="none" w:sz="0" w:space="0" w:color="auto"/>
            <w:left w:val="none" w:sz="0" w:space="0" w:color="auto"/>
            <w:bottom w:val="none" w:sz="0" w:space="0" w:color="auto"/>
            <w:right w:val="none" w:sz="0" w:space="0" w:color="auto"/>
          </w:divBdr>
        </w:div>
        <w:div w:id="332613698">
          <w:marLeft w:val="480"/>
          <w:marRight w:val="0"/>
          <w:marTop w:val="0"/>
          <w:marBottom w:val="0"/>
          <w:divBdr>
            <w:top w:val="none" w:sz="0" w:space="0" w:color="auto"/>
            <w:left w:val="none" w:sz="0" w:space="0" w:color="auto"/>
            <w:bottom w:val="none" w:sz="0" w:space="0" w:color="auto"/>
            <w:right w:val="none" w:sz="0" w:space="0" w:color="auto"/>
          </w:divBdr>
        </w:div>
        <w:div w:id="628122456">
          <w:marLeft w:val="480"/>
          <w:marRight w:val="0"/>
          <w:marTop w:val="0"/>
          <w:marBottom w:val="0"/>
          <w:divBdr>
            <w:top w:val="none" w:sz="0" w:space="0" w:color="auto"/>
            <w:left w:val="none" w:sz="0" w:space="0" w:color="auto"/>
            <w:bottom w:val="none" w:sz="0" w:space="0" w:color="auto"/>
            <w:right w:val="none" w:sz="0" w:space="0" w:color="auto"/>
          </w:divBdr>
        </w:div>
        <w:div w:id="1548949042">
          <w:marLeft w:val="480"/>
          <w:marRight w:val="0"/>
          <w:marTop w:val="0"/>
          <w:marBottom w:val="0"/>
          <w:divBdr>
            <w:top w:val="none" w:sz="0" w:space="0" w:color="auto"/>
            <w:left w:val="none" w:sz="0" w:space="0" w:color="auto"/>
            <w:bottom w:val="none" w:sz="0" w:space="0" w:color="auto"/>
            <w:right w:val="none" w:sz="0" w:space="0" w:color="auto"/>
          </w:divBdr>
        </w:div>
        <w:div w:id="2128962442">
          <w:marLeft w:val="480"/>
          <w:marRight w:val="0"/>
          <w:marTop w:val="0"/>
          <w:marBottom w:val="0"/>
          <w:divBdr>
            <w:top w:val="none" w:sz="0" w:space="0" w:color="auto"/>
            <w:left w:val="none" w:sz="0" w:space="0" w:color="auto"/>
            <w:bottom w:val="none" w:sz="0" w:space="0" w:color="auto"/>
            <w:right w:val="none" w:sz="0" w:space="0" w:color="auto"/>
          </w:divBdr>
        </w:div>
      </w:divsChild>
    </w:div>
    <w:div w:id="1505366223">
      <w:bodyDiv w:val="1"/>
      <w:marLeft w:val="0"/>
      <w:marRight w:val="0"/>
      <w:marTop w:val="0"/>
      <w:marBottom w:val="0"/>
      <w:divBdr>
        <w:top w:val="none" w:sz="0" w:space="0" w:color="auto"/>
        <w:left w:val="none" w:sz="0" w:space="0" w:color="auto"/>
        <w:bottom w:val="none" w:sz="0" w:space="0" w:color="auto"/>
        <w:right w:val="none" w:sz="0" w:space="0" w:color="auto"/>
      </w:divBdr>
      <w:divsChild>
        <w:div w:id="633676420">
          <w:marLeft w:val="480"/>
          <w:marRight w:val="0"/>
          <w:marTop w:val="0"/>
          <w:marBottom w:val="0"/>
          <w:divBdr>
            <w:top w:val="none" w:sz="0" w:space="0" w:color="auto"/>
            <w:left w:val="none" w:sz="0" w:space="0" w:color="auto"/>
            <w:bottom w:val="none" w:sz="0" w:space="0" w:color="auto"/>
            <w:right w:val="none" w:sz="0" w:space="0" w:color="auto"/>
          </w:divBdr>
        </w:div>
        <w:div w:id="853229172">
          <w:marLeft w:val="480"/>
          <w:marRight w:val="0"/>
          <w:marTop w:val="0"/>
          <w:marBottom w:val="0"/>
          <w:divBdr>
            <w:top w:val="none" w:sz="0" w:space="0" w:color="auto"/>
            <w:left w:val="none" w:sz="0" w:space="0" w:color="auto"/>
            <w:bottom w:val="none" w:sz="0" w:space="0" w:color="auto"/>
            <w:right w:val="none" w:sz="0" w:space="0" w:color="auto"/>
          </w:divBdr>
        </w:div>
        <w:div w:id="2011830931">
          <w:marLeft w:val="480"/>
          <w:marRight w:val="0"/>
          <w:marTop w:val="0"/>
          <w:marBottom w:val="0"/>
          <w:divBdr>
            <w:top w:val="none" w:sz="0" w:space="0" w:color="auto"/>
            <w:left w:val="none" w:sz="0" w:space="0" w:color="auto"/>
            <w:bottom w:val="none" w:sz="0" w:space="0" w:color="auto"/>
            <w:right w:val="none" w:sz="0" w:space="0" w:color="auto"/>
          </w:divBdr>
        </w:div>
        <w:div w:id="178128737">
          <w:marLeft w:val="480"/>
          <w:marRight w:val="0"/>
          <w:marTop w:val="0"/>
          <w:marBottom w:val="0"/>
          <w:divBdr>
            <w:top w:val="none" w:sz="0" w:space="0" w:color="auto"/>
            <w:left w:val="none" w:sz="0" w:space="0" w:color="auto"/>
            <w:bottom w:val="none" w:sz="0" w:space="0" w:color="auto"/>
            <w:right w:val="none" w:sz="0" w:space="0" w:color="auto"/>
          </w:divBdr>
        </w:div>
        <w:div w:id="547256528">
          <w:marLeft w:val="480"/>
          <w:marRight w:val="0"/>
          <w:marTop w:val="0"/>
          <w:marBottom w:val="0"/>
          <w:divBdr>
            <w:top w:val="none" w:sz="0" w:space="0" w:color="auto"/>
            <w:left w:val="none" w:sz="0" w:space="0" w:color="auto"/>
            <w:bottom w:val="none" w:sz="0" w:space="0" w:color="auto"/>
            <w:right w:val="none" w:sz="0" w:space="0" w:color="auto"/>
          </w:divBdr>
        </w:div>
        <w:div w:id="2047413181">
          <w:marLeft w:val="480"/>
          <w:marRight w:val="0"/>
          <w:marTop w:val="0"/>
          <w:marBottom w:val="0"/>
          <w:divBdr>
            <w:top w:val="none" w:sz="0" w:space="0" w:color="auto"/>
            <w:left w:val="none" w:sz="0" w:space="0" w:color="auto"/>
            <w:bottom w:val="none" w:sz="0" w:space="0" w:color="auto"/>
            <w:right w:val="none" w:sz="0" w:space="0" w:color="auto"/>
          </w:divBdr>
        </w:div>
        <w:div w:id="1664745865">
          <w:marLeft w:val="480"/>
          <w:marRight w:val="0"/>
          <w:marTop w:val="0"/>
          <w:marBottom w:val="0"/>
          <w:divBdr>
            <w:top w:val="none" w:sz="0" w:space="0" w:color="auto"/>
            <w:left w:val="none" w:sz="0" w:space="0" w:color="auto"/>
            <w:bottom w:val="none" w:sz="0" w:space="0" w:color="auto"/>
            <w:right w:val="none" w:sz="0" w:space="0" w:color="auto"/>
          </w:divBdr>
        </w:div>
        <w:div w:id="1675570849">
          <w:marLeft w:val="480"/>
          <w:marRight w:val="0"/>
          <w:marTop w:val="0"/>
          <w:marBottom w:val="0"/>
          <w:divBdr>
            <w:top w:val="none" w:sz="0" w:space="0" w:color="auto"/>
            <w:left w:val="none" w:sz="0" w:space="0" w:color="auto"/>
            <w:bottom w:val="none" w:sz="0" w:space="0" w:color="auto"/>
            <w:right w:val="none" w:sz="0" w:space="0" w:color="auto"/>
          </w:divBdr>
        </w:div>
      </w:divsChild>
    </w:div>
    <w:div w:id="1877498542">
      <w:bodyDiv w:val="1"/>
      <w:marLeft w:val="0"/>
      <w:marRight w:val="0"/>
      <w:marTop w:val="0"/>
      <w:marBottom w:val="0"/>
      <w:divBdr>
        <w:top w:val="none" w:sz="0" w:space="0" w:color="auto"/>
        <w:left w:val="none" w:sz="0" w:space="0" w:color="auto"/>
        <w:bottom w:val="none" w:sz="0" w:space="0" w:color="auto"/>
        <w:right w:val="none" w:sz="0" w:space="0" w:color="auto"/>
      </w:divBdr>
    </w:div>
    <w:div w:id="1922134294">
      <w:bodyDiv w:val="1"/>
      <w:marLeft w:val="0"/>
      <w:marRight w:val="0"/>
      <w:marTop w:val="0"/>
      <w:marBottom w:val="0"/>
      <w:divBdr>
        <w:top w:val="none" w:sz="0" w:space="0" w:color="auto"/>
        <w:left w:val="none" w:sz="0" w:space="0" w:color="auto"/>
        <w:bottom w:val="none" w:sz="0" w:space="0" w:color="auto"/>
        <w:right w:val="none" w:sz="0" w:space="0" w:color="auto"/>
      </w:divBdr>
    </w:div>
    <w:div w:id="2055229082">
      <w:bodyDiv w:val="1"/>
      <w:marLeft w:val="0"/>
      <w:marRight w:val="0"/>
      <w:marTop w:val="0"/>
      <w:marBottom w:val="0"/>
      <w:divBdr>
        <w:top w:val="none" w:sz="0" w:space="0" w:color="auto"/>
        <w:left w:val="none" w:sz="0" w:space="0" w:color="auto"/>
        <w:bottom w:val="none" w:sz="0" w:space="0" w:color="auto"/>
        <w:right w:val="none" w:sz="0" w:space="0" w:color="auto"/>
      </w:divBdr>
      <w:divsChild>
        <w:div w:id="1460760237">
          <w:marLeft w:val="480"/>
          <w:marRight w:val="0"/>
          <w:marTop w:val="0"/>
          <w:marBottom w:val="0"/>
          <w:divBdr>
            <w:top w:val="none" w:sz="0" w:space="0" w:color="auto"/>
            <w:left w:val="none" w:sz="0" w:space="0" w:color="auto"/>
            <w:bottom w:val="none" w:sz="0" w:space="0" w:color="auto"/>
            <w:right w:val="none" w:sz="0" w:space="0" w:color="auto"/>
          </w:divBdr>
        </w:div>
        <w:div w:id="100994688">
          <w:marLeft w:val="480"/>
          <w:marRight w:val="0"/>
          <w:marTop w:val="0"/>
          <w:marBottom w:val="0"/>
          <w:divBdr>
            <w:top w:val="none" w:sz="0" w:space="0" w:color="auto"/>
            <w:left w:val="none" w:sz="0" w:space="0" w:color="auto"/>
            <w:bottom w:val="none" w:sz="0" w:space="0" w:color="auto"/>
            <w:right w:val="none" w:sz="0" w:space="0" w:color="auto"/>
          </w:divBdr>
        </w:div>
        <w:div w:id="1371492757">
          <w:marLeft w:val="480"/>
          <w:marRight w:val="0"/>
          <w:marTop w:val="0"/>
          <w:marBottom w:val="0"/>
          <w:divBdr>
            <w:top w:val="none" w:sz="0" w:space="0" w:color="auto"/>
            <w:left w:val="none" w:sz="0" w:space="0" w:color="auto"/>
            <w:bottom w:val="none" w:sz="0" w:space="0" w:color="auto"/>
            <w:right w:val="none" w:sz="0" w:space="0" w:color="auto"/>
          </w:divBdr>
        </w:div>
        <w:div w:id="1391534067">
          <w:marLeft w:val="480"/>
          <w:marRight w:val="0"/>
          <w:marTop w:val="0"/>
          <w:marBottom w:val="0"/>
          <w:divBdr>
            <w:top w:val="none" w:sz="0" w:space="0" w:color="auto"/>
            <w:left w:val="none" w:sz="0" w:space="0" w:color="auto"/>
            <w:bottom w:val="none" w:sz="0" w:space="0" w:color="auto"/>
            <w:right w:val="none" w:sz="0" w:space="0" w:color="auto"/>
          </w:divBdr>
        </w:div>
        <w:div w:id="82504746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6910074-67C9-B144-804C-597D100BC314}">
  <we:reference id="f78a3046-9e99-4300-aa2b-5814002b01a2" version="1.55.1.0" store="EXCatalog" storeType="EXCatalog"/>
  <we:alternateReferences>
    <we:reference id="WA104382081" version="1.55.1.0" store="en-NZ" storeType="OMEX"/>
  </we:alternateReferences>
  <we:properties>
    <we:property name="MENDELEY_BIBLIOGRAPHY_IS_DIRTY" value="false"/>
    <we:property name="MENDELEY_BIBLIOGRAPHY_LAST_MODIFIED" value="1766197251980"/>
    <we:property name="MENDELEY_CITATIONS" value="[{&quot;citationID&quot;:&quot;MENDELEY_CITATION_9b1f824b-f0a0-4d33-bf82-99fa28238202&quot;,&quot;properties&quot;:{&quot;noteIndex&quot;:0},&quot;isEdited&quot;:false,&quot;manualOverride&quot;:{&quot;isManuallyOverridden&quot;:false,&quot;citeprocText&quot;:&quot;(Gogovor et al., 2021; Kaufman et al., 2023)&quot;,&quot;manualOverrideText&quot;:&quot;&quot;},&quot;citationTag&quot;:&quot;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&quot;,&quot;citationItems&quot;:[{&quot;id&quot;:&quot;2be83e73-01ca-3c05-b4e9-6ce16c3b8b6d&quot;,&quot;itemData&quot;:{&quot;type&quot;:&quot;article-journal&quot;,&quot;id&quot;:&quot;2be83e73-01ca-3c05-b4e9-6ce16c3b8b6d&quot;,&quot;title&quot;:&quot;Sex and gender considerations in reporting guidelines for health research: a systematic review&quot;,&quot;author&quot;:[{&quot;family&quot;:&quot;Gogovor&quot;,&quot;given&quot;:&quot;Amédé&quot;,&quot;parse-names&quot;:false,&quot;dropping-particle&quot;:&quot;&quot;,&quot;non-dropping-particle&quot;:&quot;&quot;},{&quot;family&quot;:&quot;Zomahoun&quot;,&quot;given&quot;:&quot;Hervé Tchala Vignon&quot;,&quot;parse-names&quot;:false,&quot;dropping-particle&quot;:&quot;&quot;,&quot;non-dropping-particle&quot;:&quot;&quot;},{&quot;family&quot;:&quot;Ekanmian&quot;,&quot;given&quot;:&quot;Giraud&quot;,&quot;parse-names&quot;:false,&quot;dropping-particle&quot;:&quot;&quot;,&quot;non-dropping-particle&quot;:&quot;&quot;},{&quot;family&quot;:&quot;Adisso&quot;,&quot;given&quot;:&quot;Évèhouénou Lionel&quot;,&quot;parse-names&quot;:false,&quot;dropping-particle&quot;:&quot;&quot;,&quot;non-dropping-particle&quot;:&quot;&quot;},{&quot;family&quot;:&quot;Deom Tardif&quot;,&quot;given&quot;:&quot;Alèxe&quot;,&quot;parse-names&quot;:false,&quot;dropping-particle&quot;:&quot;&quot;,&quot;non-dropping-particle&quot;:&quot;&quot;},{&quot;family&quot;:&quot;Khadhraoui&quot;,&quot;given&quot;:&quot;Lobna&quot;,&quot;parse-names&quot;:false,&quot;dropping-particle&quot;:&quot;&quot;,&quot;non-dropping-particle&quot;:&quot;&quot;},{&quot;family&quot;:&quot;Rheault&quot;,&quot;given&quot;:&quot;Nathalie&quot;,&quot;parse-names&quot;:false,&quot;dropping-particle&quot;:&quot;&quot;,&quot;non-dropping-particle&quot;:&quot;&quot;},{&quot;family&quot;:&quot;Moher&quot;,&quot;given&quot;:&quot;David&quot;,&quot;parse-names&quot;:false,&quot;dropping-particle&quot;:&quot;&quot;,&quot;non-dropping-particle&quot;:&quot;&quot;},{&quot;family&quot;:&quot;Légaré&quot;,&quot;given&quot;:&quot;France&quot;,&quot;parse-names&quot;:false,&quot;dropping-particle&quot;:&quot;&quot;,&quot;non-dropping-particle&quot;:&quot;&quot;}],&quot;container-title&quot;:&quot;Biology of sex differences&quot;,&quot;container-title-short&quot;:&quot;Biol Sex Differ&quot;,&quot;accessed&quot;:{&quot;date-parts&quot;:[[2025,9,20]]},&quot;DOI&quot;:&quot;10.1186/S13293-021-00404-0&quot;,&quot;ISSN&quot;:&quot;2042-6410&quot;,&quot;PMID&quot;:&quot;34801060&quot;,&quot;URL&quot;:&quot;https://pubmed.ncbi.nlm.nih.gov/34801060/&quot;,&quot;issued&quot;:{&quot;date-parts&quot;:[[2021,12,1]]},&quot;abstract&quot;:&quot;Background: Despite growing recognition of the importance of sex and gender considerations in health research, they are rarely integrated into research design and reporting. We sought to assess the integration of sex, as a biological attribute, and gender, as a socially constructed identity, in published reporting guidelines. Methods: We conducted a systematic review of published reporting guidelines listed on the EQUATOR website (www.equator-nework.org) from inception until December 2018. We selected all reporting guidelines (original and extensions) listed in the EQUATOR library. We used EndNote Citation Software to build a database of the statements of each guideline identified as a \&quot;full bibliographic reference\&quot; and retrieved the full texts. Reviewers independently extracted the data on use of sex and gender terms from the checklist/abstract/main text of guidelines. Data were analyzed using descriptive statistics and narrative synthesis. Results: A total of 407 reporting guidelines were included; they were published between 1995 and 2018. Of the 407 guidelines, 235 (57.7%) mentioned at least one of the sex- and gender-related words. In the checklist of the reporting guidelines (n = 363), “sex” and “gender” were mentioned in 50 (13.8%) and 40 (11%), respectively. Only one reporting guideline met our criteria (nonbinary, appropriate categorization, and non-interchangeability) for correct use of sex and gender concepts. Trends in the use of \&quot;sex\&quot; and \&quot;gender\&quot; in the checklists showed that the use of “sex” only started in 2003, while “gender” has been in use since 1996. Conclusions: We assessed the integration of sex and gender in reporting guidelines based on the use of sex- and gender-related words. Our findings showed a low use and integration of sex and gender concepts and their incorrect use. Authors of reporting guidelines should reduce this gap for a better use of research knowledge. Trial registration PROSPERO no. CRD42019136491.&quot;,&quot;publisher&quot;:&quot;Biol Sex Differ&quot;,&quot;issue&quot;:&quot;1&quot;,&quot;volume&quot;:&quot;12&quot;},&quot;isTemporary&quot;:false},{&quot;id&quot;:&quot;65e02b69-2d83-39c9-aad5-cc7cee7f80bb&quot;,&quot;itemData&quot;:{&quot;type&quot;:&quot;article-journal&quot;,&quot;id&quot;:&quot;65e02b69-2d83-39c9-aad5-cc7cee7f80bb&quot;,&quot;title&quot;:&quot;Differentiating sex and gender in health research to achieve gender equity&quot;,&quot;author&quot;:[{&quot;family&quot;:&quot;Kaufman&quot;,&quot;given&quot;:&quot;Michelle R.&quot;,&quot;parse-names&quot;:false,&quot;dropping-particle&quot;:&quot;&quot;,&quot;non-dropping-particle&quot;:&quot;&quot;},{&quot;family&quot;:&quot;Eschliman&quot;,&quot;given&quot;:&quot;Evan L.&quot;,&quot;parse-names&quot;:false,&quot;dropping-particle&quot;:&quot;&quot;,&quot;non-dropping-particle&quot;:&quot;&quot;},{&quot;family&quot;:&quot;Karver&quot;,&quot;given&quot;:&quot;Tahilin Sanchez&quot;,&quot;parse-names&quot;:false,&quot;dropping-particle&quot;:&quot;&quot;,&quot;non-dropping-particle&quot;:&quot;&quot;}],&quot;container-title&quot;:&quot;Bulletin of the World Health Organization&quot;,&quot;container-title-short&quot;:&quot;Bull World Health Organ&quot;,&quot;accessed&quot;:{&quot;date-parts&quot;:[[2025,9,20]]},&quot;DOI&quot;:&quot;10.2471/BLT.22.289310&quot;,&quot;ISSN&quot;:&quot;1564-0604&quot;,&quot;PMID&quot;:&quot;37772198&quot;,&quot;URL&quot;:&quot;https://pubmed.ncbi.nlm.nih.gov/37772198/&quot;,&quot;issued&quot;:{&quot;date-parts&quot;:[[2023,10,1]]},&quot;page&quot;:&quot;666-671&quot;,&quot;abstract&quot;:&quot;Effectively tracking progress on initiatives focused on gender equity requires clear differentiation between the terms sex and gender. Sex usually refers to a person’s biological characteristics, whereas gender refers to socially constructed roles and norms. Although both terms are often treated as binaries, gender is a spectrum and sex may include intersex individuals. While the terms are interrelated, they are sometimes conflated or used interchangeably in health data. Their fundamental distinctions, however, have implications for the conduct of research and the design of interventions targeting sex-and gender-based health disparities. We use the example of coronavirus disease 2019 to show how conflating these terms in data collection makes it difficult to ascertain whether disparities in infection rates, morbidity and mortality are determined by sex or gender. Although the exact process of collecting data on sex and gender may need to be adapted for specific contexts, there are steps that can be taken so that health data better reflect the differences between these concepts. Possible actions include using a two-step data collection process to determine both sex and gender of individuals, and encouraging recognition of intersex, third gender, transgender and gender nonbinary people. There also needs to be acceptance and commitment by data collectors and research editors; for example, by using tools such as the Sex and Gender Equity in Research checklist. With clearer distinctions between these foundational terms and how they are used in health data, we can achieve more accurate research findings, better-tailored interventions and better progress towards gender equity.&quot;,&quot;publisher&quot;:&quot;Bull World Health Organ&quot;,&quot;issue&quot;:&quot;10&quot;,&quot;volume&quot;:&quot;101&quot;},&quot;isTemporary&quot;:false}]},{&quot;citationID&quot;:&quot;MENDELEY_CITATION_8feaa57d-101f-434e-8e06-040922d15d57&quot;,&quot;properties&quot;:{&quot;noteIndex&quot;:0},&quot;isEdited&quot;:false,&quot;manualOverride&quot;:{&quot;isManuallyOverridden&quot;:false,&quot;citeprocText&quot;:&quot;(McNeish &amp;#38; Wolf, 2023)&quot;,&quot;manualOverrideText&quot;:&quot;&quot;},&quot;citationTag&quot;:&quot;MENDELEY_CITATION_v3_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&quot;,&quot;citationItems&quot;:[{&quot;id&quot;:&quot;d04602b5-f7fc-3662-b010-df0f6840bf86&quot;,&quot;itemData&quot;:{&quot;type&quot;:&quot;article-journal&quot;,&quot;id&quot;:&quot;d04602b5-f7fc-3662-b010-df0f6840bf86&quot;,&quot;title&quot;:&quot;Dynamic fit index cutoffs for one-factor models&quot;,&quot;author&quot;:[{&quot;family&quot;:&quot;McNeish&quot;,&quot;given&quot;:&quot;Daniel&quot;,&quot;parse-names&quot;:false,&quot;dropping-particle&quot;:&quot;&quot;,&quot;non-dropping-particle&quot;:&quot;&quot;},{&quot;family&quot;:&quot;Wolf&quot;,&quot;given&quot;:&quot;Melissa G.&quot;,&quot;parse-names&quot;:false,&quot;dropping-particle&quot;:&quot;&quot;,&quot;non-dropping-particle&quot;:&quot;&quot;}],&quot;container-title&quot;:&quot;Behavior research methods&quot;,&quot;container-title-short&quot;:&quot;Behav Res Methods&quot;,&quot;accessed&quot;:{&quot;date-parts&quot;:[[2025,9,22]]},&quot;DOI&quot;:&quot;10.3758/S13428-022-01847-Y&quot;,&quot;ISSN&quot;:&quot;1554-3528&quot;,&quot;PMID&quot;:&quot;35585278&quot;,&quot;URL&quot;:&quot;https://pubmed.ncbi.nlm.nih.gov/35585278/&quot;,&quot;issued&quot;:{&quot;date-parts&quot;:[[2023,4,1]]},&quot;page&quot;:&quot;1157-1174&quot;,&quot;abstract&quot;:&quot;Assessing whether a multiple-item scale can be represented with a one-factor model is a frequent interest in behavioral research. Often, this is done in a factor analysis framework with approximate fit indices like RMSEA, CFI, or SRMR. These fit indices are continuous measures, so values indicating acceptable fit are up to interpretation. Cutoffs suggested by Hu and Bentler (1999) are a common guideline used in empirical research. However, these cutoffs were derived with intent to detect omitted cross-loadings or omitted factor covariances in multifactor models. These types of misspecifications cannot exist in one-factor models, so the appropriateness of using these guidelines in one-factor models is uncertain. This paper uses a simulation study to address whether traditional fit index cutoffs are sensitive to the types of misspecifications common in one-factor models. The results showed that traditional cutoffs have very poor sensitivity to misspecification in one-factor models and that the traditional cutoffs generalize poorly to one-factor contexts. As an alternative, we investigate the accuracy and stability of the recently introduced dynamic fit cutoff approach for creating fit index cutoffs for one-factor models. Simulation results indicated excellent performance of dynamic fit index cutoffs to classify correct or misspecified one-factor models and that dynamic fit index cutoffs are a promising approach for more accurate assessment of model fit in one-factor contexts.&quot;,&quot;publisher&quot;:&quot;Behav Res Methods&quot;,&quot;issue&quot;:&quot;3&quot;,&quot;volume&quot;:&quot;55&quot;},&quot;isTemporary&quot;:false}]},{&quot;citationID&quot;:&quot;MENDELEY_CITATION_b927cd5b-9cf6-4c8e-9d68-a90f353339d8&quot;,&quot;properties&quot;:{&quot;noteIndex&quot;:0},&quot;isEdited&quot;:false,&quot;manualOverride&quot;:{&quot;isManuallyOverridden&quot;:false,&quot;citeprocText&quot;:&quot;(van Kooten et al., 2020)&quot;,&quot;manualOverrideText&quot;:&quot;&quot;},&quot;citationTag&quot;:&quot;MENDELEY_CITATION_v3_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&quot;,&quot;citationItems&quot;:[{&quot;id&quot;:&quot;c2e2f0ff-94c9-3d5e-bff3-846aac9b5452&quot;,&quot;itemData&quot;:{&quot;type&quot;:&quot;article-journal&quot;,&quot;id&quot;:&quot;c2e2f0ff-94c9-3d5e-bff3-846aac9b5452&quot;,&quot;title&quot;:&quot;Psychometric properties of the Patient‐Reported Outcomes Measurement Information System (PROMIS) Sleep Disturbance and Sleep‐Related Impairment item banks in adolescents&quot;,&quot;author&quot;:[{&quot;family&quot;:&quot;Kooten&quot;,&quot;given&quot;:&quot;Jojanneke A.M.C.&quot;,&quot;parse-names&quot;:false,&quot;dropping-particle&quot;:&quot;&quot;,&quot;non-dropping-particle&quot;:&quot;van&quot;},{&quot;family&quot;:&quot;Terwee&quot;,&quot;given&quot;:&quot;Caroline B.&quot;,&quot;parse-names&quot;:false,&quot;dropping-particle&quot;:&quot;&quot;,&quot;non-dropping-particle&quot;:&quot;&quot;},{&quot;family&quot;:&quot;Luijten&quot;,&quot;given&quot;:&quot;Michiel A.J.&quot;,&quot;parse-names&quot;:false,&quot;dropping-particle&quot;:&quot;&quot;,&quot;non-dropping-particle&quot;:&quot;&quot;},{&quot;family&quot;:&quot;Steur&quot;,&quot;given&quot;:&quot;Lindsay M.H.&quot;,&quot;parse-names&quot;:false,&quot;dropping-particle&quot;:&quot;&quot;,&quot;non-dropping-particle&quot;:&quot;&quot;},{&quot;family&quot;:&quot;Pillen&quot;,&quot;given&quot;:&quot;Sigrid&quot;,&quot;parse-names&quot;:false,&quot;dropping-particle&quot;:&quot;&quot;,&quot;non-dropping-particle&quot;:&quot;&quot;},{&quot;family&quot;:&quot;Wolters&quot;,&quot;given&quot;:&quot;Nicole G.J.&quot;,&quot;parse-names&quot;:false,&quot;dropping-particle&quot;:&quot;&quot;,&quot;non-dropping-particle&quot;:&quot;&quot;},{&quot;family&quot;:&quot;Kaspers&quot;,&quot;given&quot;:&quot;Gertjan J.L.&quot;,&quot;parse-names&quot;:false,&quot;dropping-particle&quot;:&quot;&quot;,&quot;non-dropping-particle&quot;:&quot;&quot;},{&quot;family&quot;:&quot;Litsenburg&quot;,&quot;given&quot;:&quot;Raphaële R.L.&quot;,&quot;parse-names&quot;:false,&quot;dropping-particle&quot;:&quot;&quot;,&quot;non-dropping-particle&quot;:&quot;van&quot;}],&quot;container-title&quot;:&quot;Journal of Sleep Research&quot;,&quot;container-title-short&quot;:&quot;J Sleep Res&quot;,&quot;accessed&quot;:{&quot;date-parts&quot;:[[2025,10,14]]},&quot;DOI&quot;:&quot;10.1111/JSR.13029&quot;,&quot;ISSN&quot;:&quot;13652869&quot;,&quot;PMID&quot;:&quot;32180280&quot;,&quot;URL&quot;:&quot;https://pmc.ncbi.nlm.nih.gov/articles/PMC8047882/&quot;,&quot;issued&quot;:{&quot;date-parts&quot;:[[2020,4,1]]},&quot;page&quot;:&quot;e13029&quot;,&quot;abstract&quot;:&quot;Sleep problems have a high prevalence and negative daytime consequences in adolescents. Current sleep measures for this age group have limitations. The Patient-Reported Outcomes Measurement Information System (PROMIS®) developed sleep item banks for adults. In a previous validation study, these item banks were adapted to a shortened version for adolescents. The current study aimed to further explore the psychometric properties of the 11-item Sleep-Related Impairment and 23-item Sleep Disturbance item banks in Dutch adolescents. We investigated structural validity by testing item response theory assumptions and model fit; measurement invariance by performing differential item functioning analyses; performance as a computerized adaptive test; reliability by marginal reliability estimates and test–retest reliability (intraclass correlation coefficients and limits of agreement); and construct validity by hypothesis testing. Additionally, we provide mean values for the item banks. The study sample consisted of 1,046 adolescents (mean age 14.3 ± 1.6), including 1,013 high-school students and 33 sleep-clinic patients. The Sleep Disturbance-23 showed lack of unidimensionality, but had sufficient test–retest reliability, and could distinguish between adolescents with and without sleep or health issues. The Sleep-Related Impairment-11 showed sufficient unidimensionality and model fit and was thus tested as a computerized adaptive test, demonstrating an equal amount of reliable measures to the full item bank. Furthermore, the Sleep-Related Impairment-11 could distinguish between adolescents with and without sleep or health issues and test–retest reliability was moderate. The use of both item banks in the full form and the use of the Sleep-related Impairment-11 as a computer adaptive test is recommended.&quot;,&quot;publisher&quot;:&quot;Blackwell Publishing Ltd&quot;,&quot;issue&quot;:&quot;2&quot;,&quot;volume&quot;:&quot;30&quot;},&quot;isTemporary&quot;:false}]},{&quot;citationID&quot;:&quot;MENDELEY_CITATION_128e564e-1338-49ad-88ed-aff204264233&quot;,&quot;properties&quot;:{&quot;noteIndex&quot;:0},&quot;isEdited&quot;:false,&quot;manualOverride&quot;:{&quot;isManuallyOverridden&quot;:false,&quot;citeprocText&quot;:&quot;(Morin et al., 2011)&quot;,&quot;manualOverrideText&quot;:&quot;&quot;},&quot;citationTag&quot;:&quot;MENDELEY_CITATION_v3_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&quot;,&quot;citationItems&quot;:[{&quot;id&quot;:&quot;e7bbf657-3227-3631-b162-bf3c8d9ca82e&quot;,&quot;itemData&quot;:{&quot;type&quot;:&quot;article-journal&quot;,&quot;id&quot;:&quot;e7bbf657-3227-3631-b162-bf3c8d9ca82e&quot;,&quot;title&quot;:&quot;The Insomnia Severity Index: Psychometric Indicators to Detect Insomnia Cases and Evaluate Treatment Response&quot;,&quot;author&quot;:[{&quot;family&quot;:&quot;Morin&quot;,&quot;given&quot;:&quot;Charles M.&quot;,&quot;parse-names&quot;:false,&quot;dropping-particle&quot;:&quot;&quot;,&quot;non-dropping-particle&quot;:&quot;&quot;},{&quot;family&quot;:&quot;Belleville&quot;,&quot;given&quot;:&quot;Geneviève&quot;,&quot;parse-names&quot;:false,&quot;dropping-particle&quot;:&quot;&quot;,&quot;non-dropping-particle&quot;:&quot;&quot;},{&quot;family&quot;:&quot;Bélanger&quot;,&quot;given&quot;:&quot;Lynda&quot;,&quot;parse-names&quot;:false,&quot;dropping-particle&quot;:&quot;&quot;,&quot;non-dropping-particle&quot;:&quot;&quot;},{&quot;family&quot;:&quot;Ivers&quot;,&quot;given&quot;:&quot;Hans&quot;,&quot;parse-names&quot;:false,&quot;dropping-particle&quot;:&quot;&quot;,&quot;non-dropping-particle&quot;:&quot;&quot;}],&quot;container-title&quot;:&quot;Sleep&quot;,&quot;container-title-short&quot;:&quot;Sleep&quot;,&quot;accessed&quot;:{&quot;date-parts&quot;:[[2025,9,13]]},&quot;DOI&quot;:&quot;10.1093/SLEEP/34.5.601&quot;,&quot;ISSN&quot;:&quot;15509109&quot;,&quot;PMID&quot;:&quot;21532953&quot;,&quot;URL&quot;:&quot;https://pmc.ncbi.nlm.nih.gov/articles/PMC3079939/&quot;,&quot;issued&quot;:{&quot;date-parts&quot;:[[2011,5,1]]},&quot;page&quot;:&quot;601&quot;,&quot;abstract&quot;:&quot;Background: Although insomnia is a prevalent complaint with significant morbidity, it often remains unrecognized and untreated. Brief and valid instruments are needed both for screening and outcome assessment. This study examined psychometric indices of the Insomnia Severity Index (ISI) to detect cases of insomnia in a population-based sample and to evaluate treatment response in a clinical sample. Methods: Participants were 959 individuals selected from the community for an epidemiological study of insomnia (Community sample) and 183 individuals evaluated for insomnia treatment and 62 controls without insomnia (Clinical sample). They completed the ISI and several measures of sleep quality, fatigue, psychological symptoms, and quality of life; those in the Clinical sample also completed sleep diaries, polysomnography, and interviews to validate their insomnia/good sleep status and assess treatment response. In addition to standard psychometric indices of reliability and validity, item response theory analyses were computed to examine ISI item response patterns. Receiver operating curves were used to derive optimal cutoff scores for case identification and to quantify the minimally important changes in relation to global improvement ratings obtained by an independent assessor. Results: ISI internal consistency was excellent for both samples (Cronbach α of 0.90 and 0.91). Item response analyses revealed adequate discriminatory capacity for 5 of the 7 items. Convergent validity was supported by significant correlations between total ISI score and measures of fatigue, quality of life, anxiety, and depression. A cutoff score of 10 was optimal (86.1% sensitivity and 87.7% specificity) for detecting insomnia cases in the community sample. In the clinical sample, a change score of -8.4 points (95% CI: -7.1, -9.4) was associated with moderate improvement as rated by an independent assessor after treatment. Conclusion: These findings provide further evidence that the ISI is a reliable and valid instrument to detect cases of insomnia in the population and is sensitive to treatment response in clinical patients. © Copyright 2011 Associated Professional Sleep Societies, LLC.&quot;,&quot;publisher&quot;:&quot;Associated Professional Sleep Societies,LLC&quot;,&quot;issue&quot;:&quot;5&quot;,&quot;volume&quot;:&quot;34&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EE0AD-0B71-6B4D-8595-20F33EA10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7</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Shalu Rana</dc:creator>
  <cp:keywords/>
  <dc:description/>
  <cp:lastModifiedBy>Shalu Rana</cp:lastModifiedBy>
  <cp:revision>40</cp:revision>
  <dcterms:created xsi:type="dcterms:W3CDTF">2025-07-30T02:57:00Z</dcterms:created>
  <dcterms:modified xsi:type="dcterms:W3CDTF">2026-04-17T23:15:00Z</dcterms:modified>
</cp:coreProperties>
</file>