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44439A41" w:rsidR="001B4CCA" w:rsidRDefault="257530F9" w:rsidP="2428BD21">
      <w:pPr>
        <w:pStyle w:val="Heading1"/>
      </w:pPr>
      <w:r>
        <w:t>Supplementary information</w:t>
      </w:r>
    </w:p>
    <w:p w14:paraId="296A9363" w14:textId="007F5132" w:rsidR="788FD1F4" w:rsidRDefault="788FD1F4" w:rsidP="635D0FDC">
      <w:pPr>
        <w:pStyle w:val="Heading2"/>
      </w:pPr>
      <w:r>
        <w:t>Additional results</w:t>
      </w:r>
    </w:p>
    <w:p w14:paraId="5C44E7AA" w14:textId="3AF31FE6" w:rsidR="003E50AE" w:rsidRDefault="001029FD" w:rsidP="003E50AE">
      <w:pPr>
        <w:keepNext/>
      </w:pPr>
      <w:r>
        <w:rPr>
          <w:noProof/>
        </w:rPr>
        <w:drawing>
          <wp:inline distT="0" distB="0" distL="0" distR="0" wp14:anchorId="1C1B9106" wp14:editId="58BD1F26">
            <wp:extent cx="5943600" cy="5426015"/>
            <wp:effectExtent l="0" t="0" r="0" b="3810"/>
            <wp:docPr id="14280450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45071" name="Picture 1428045071"/>
                    <pic:cNvPicPr/>
                  </pic:nvPicPr>
                  <pic:blipFill rotWithShape="1">
                    <a:blip r:embed="rId6" cstate="print">
                      <a:extLst>
                        <a:ext uri="{28A0092B-C50C-407E-A947-70E740481C1C}">
                          <a14:useLocalDpi xmlns:a14="http://schemas.microsoft.com/office/drawing/2010/main" val="0"/>
                        </a:ext>
                      </a:extLst>
                    </a:blip>
                    <a:srcRect b="17552"/>
                    <a:stretch>
                      <a:fillRect/>
                    </a:stretch>
                  </pic:blipFill>
                  <pic:spPr bwMode="auto">
                    <a:xfrm>
                      <a:off x="0" y="0"/>
                      <a:ext cx="5943600" cy="5426015"/>
                    </a:xfrm>
                    <a:prstGeom prst="rect">
                      <a:avLst/>
                    </a:prstGeom>
                    <a:ln>
                      <a:noFill/>
                    </a:ln>
                    <a:extLst>
                      <a:ext uri="{53640926-AAD7-44D8-BBD7-CCE9431645EC}">
                        <a14:shadowObscured xmlns:a14="http://schemas.microsoft.com/office/drawing/2010/main"/>
                      </a:ext>
                    </a:extLst>
                  </pic:spPr>
                </pic:pic>
              </a:graphicData>
            </a:graphic>
          </wp:inline>
        </w:drawing>
      </w:r>
    </w:p>
    <w:p w14:paraId="58C6DA84" w14:textId="0FA93A12" w:rsidR="0005127C" w:rsidRDefault="000E5450" w:rsidP="00545820">
      <w:pPr>
        <w:pStyle w:val="Caption"/>
        <w:jc w:val="both"/>
        <w:rPr>
          <w:i w:val="0"/>
          <w:iCs w:val="0"/>
        </w:rPr>
      </w:pPr>
      <w:r w:rsidRPr="00685726">
        <w:rPr>
          <w:b/>
          <w:bCs/>
          <w:i w:val="0"/>
          <w:iCs w:val="0"/>
        </w:rPr>
        <w:t xml:space="preserve">Figure </w:t>
      </w:r>
      <w:r>
        <w:rPr>
          <w:b/>
          <w:bCs/>
          <w:i w:val="0"/>
          <w:iCs w:val="0"/>
        </w:rPr>
        <w:t>SI1</w:t>
      </w:r>
      <w:r w:rsidRPr="00685726">
        <w:rPr>
          <w:b/>
          <w:bCs/>
          <w:i w:val="0"/>
          <w:iCs w:val="0"/>
        </w:rPr>
        <w:t xml:space="preserve"> | </w:t>
      </w:r>
      <w:r w:rsidR="11CA62F9" w:rsidRPr="613416B7">
        <w:rPr>
          <w:b/>
          <w:bCs/>
          <w:i w:val="0"/>
          <w:iCs w:val="0"/>
        </w:rPr>
        <w:t>Annual e</w:t>
      </w:r>
      <w:r w:rsidRPr="613416B7">
        <w:rPr>
          <w:b/>
          <w:bCs/>
          <w:i w:val="0"/>
          <w:iCs w:val="0"/>
        </w:rPr>
        <w:t>nvironmental</w:t>
      </w:r>
      <w:r w:rsidRPr="00685726">
        <w:rPr>
          <w:b/>
          <w:bCs/>
          <w:i w:val="0"/>
          <w:iCs w:val="0"/>
        </w:rPr>
        <w:t xml:space="preserve"> impacts of global final energy provision across climate mitigation pathways.</w:t>
      </w:r>
      <w:r w:rsidRPr="00685726">
        <w:rPr>
          <w:i w:val="0"/>
          <w:iCs w:val="0"/>
        </w:rPr>
        <w:t xml:space="preserve"> </w:t>
      </w:r>
      <w:r>
        <w:rPr>
          <w:i w:val="0"/>
          <w:iCs w:val="0"/>
        </w:rPr>
        <w:t>Percentage change in</w:t>
      </w:r>
      <w:r w:rsidRPr="00685726">
        <w:rPr>
          <w:i w:val="0"/>
          <w:iCs w:val="0"/>
        </w:rPr>
        <w:t xml:space="preserve"> </w:t>
      </w:r>
      <w:r w:rsidR="0890C670" w:rsidRPr="613416B7">
        <w:rPr>
          <w:i w:val="0"/>
          <w:iCs w:val="0"/>
        </w:rPr>
        <w:t>annual impacts relative to 2020</w:t>
      </w:r>
      <w:r w:rsidR="001B7D43">
        <w:rPr>
          <w:i w:val="0"/>
          <w:iCs w:val="0"/>
        </w:rPr>
        <w:t>,</w:t>
      </w:r>
      <w:r w:rsidR="0890C670" w:rsidRPr="613416B7">
        <w:rPr>
          <w:i w:val="0"/>
          <w:iCs w:val="0"/>
        </w:rPr>
        <w:t xml:space="preserve"> </w:t>
      </w:r>
      <w:r w:rsidRPr="00685726">
        <w:rPr>
          <w:i w:val="0"/>
          <w:iCs w:val="0"/>
        </w:rPr>
        <w:t>from 2020 to 2100</w:t>
      </w:r>
      <w:r w:rsidR="001B7D43">
        <w:rPr>
          <w:i w:val="0"/>
          <w:iCs w:val="0"/>
        </w:rPr>
        <w:t>,</w:t>
      </w:r>
      <w:r w:rsidRPr="00685726">
        <w:rPr>
          <w:i w:val="0"/>
          <w:iCs w:val="0"/>
        </w:rPr>
        <w:t xml:space="preserve"> across </w:t>
      </w:r>
      <w:r w:rsidR="0890C670" w:rsidRPr="613416B7">
        <w:rPr>
          <w:i w:val="0"/>
          <w:iCs w:val="0"/>
        </w:rPr>
        <w:t xml:space="preserve">EF3.1 environmental indicators and </w:t>
      </w:r>
      <w:r w:rsidRPr="00685726">
        <w:rPr>
          <w:i w:val="0"/>
          <w:iCs w:val="0"/>
        </w:rPr>
        <w:t xml:space="preserve">24 mitigation pathways. The horizontal dashed line marks </w:t>
      </w:r>
      <w:r>
        <w:rPr>
          <w:i w:val="0"/>
          <w:iCs w:val="0"/>
        </w:rPr>
        <w:t xml:space="preserve">zero change </w:t>
      </w:r>
      <w:r w:rsidR="5223CBDD" w:rsidRPr="613416B7">
        <w:rPr>
          <w:i w:val="0"/>
          <w:iCs w:val="0"/>
        </w:rPr>
        <w:t xml:space="preserve">relative to </w:t>
      </w:r>
      <w:r w:rsidRPr="00685726">
        <w:rPr>
          <w:i w:val="0"/>
          <w:iCs w:val="0"/>
        </w:rPr>
        <w:t xml:space="preserve">the 2020 </w:t>
      </w:r>
      <w:r w:rsidR="5223CBDD" w:rsidRPr="613416B7">
        <w:rPr>
          <w:i w:val="0"/>
          <w:iCs w:val="0"/>
        </w:rPr>
        <w:t>baseline.</w:t>
      </w:r>
      <w:r w:rsidR="00545820">
        <w:rPr>
          <w:i w:val="0"/>
          <w:iCs w:val="0"/>
        </w:rPr>
        <w:t xml:space="preserve"> </w:t>
      </w:r>
      <w:r w:rsidR="00545820" w:rsidRPr="003B1C33">
        <w:rPr>
          <w:i w:val="0"/>
          <w:iCs w:val="0"/>
        </w:rPr>
        <w:t xml:space="preserve">Colours indicate </w:t>
      </w:r>
      <w:r w:rsidR="00545820">
        <w:rPr>
          <w:i w:val="0"/>
          <w:iCs w:val="0"/>
        </w:rPr>
        <w:t>end-of-century</w:t>
      </w:r>
      <w:r w:rsidR="00545820" w:rsidRPr="003B1C33">
        <w:rPr>
          <w:i w:val="0"/>
          <w:iCs w:val="0"/>
        </w:rPr>
        <w:t xml:space="preserve"> global mean surface temperature </w:t>
      </w:r>
      <w:r w:rsidR="00545820">
        <w:rPr>
          <w:i w:val="0"/>
          <w:iCs w:val="0"/>
        </w:rPr>
        <w:t xml:space="preserve">(GMST) </w:t>
      </w:r>
      <w:r w:rsidR="00545820" w:rsidRPr="003B1C33">
        <w:rPr>
          <w:i w:val="0"/>
          <w:iCs w:val="0"/>
        </w:rPr>
        <w:t xml:space="preserve">outcomes, with dark green for less than </w:t>
      </w:r>
      <w:r w:rsidR="00545820">
        <w:rPr>
          <w:i w:val="0"/>
          <w:iCs w:val="0"/>
        </w:rPr>
        <w:t>2.0</w:t>
      </w:r>
      <w:r w:rsidR="00545820" w:rsidRPr="003B1C33">
        <w:rPr>
          <w:i w:val="0"/>
          <w:iCs w:val="0"/>
        </w:rPr>
        <w:t xml:space="preserve"> degrees Celsius, orange for 2.0 to </w:t>
      </w:r>
      <w:r w:rsidR="00064EB0">
        <w:rPr>
          <w:i w:val="0"/>
          <w:iCs w:val="0"/>
        </w:rPr>
        <w:t>2.5</w:t>
      </w:r>
      <w:r w:rsidR="00545820" w:rsidRPr="003B1C33">
        <w:rPr>
          <w:i w:val="0"/>
          <w:iCs w:val="0"/>
        </w:rPr>
        <w:t xml:space="preserve"> degrees Celsius, and dark red for more than </w:t>
      </w:r>
      <w:r w:rsidR="00064EB0">
        <w:rPr>
          <w:i w:val="0"/>
          <w:iCs w:val="0"/>
        </w:rPr>
        <w:t>2.5</w:t>
      </w:r>
      <w:r w:rsidR="00545820" w:rsidRPr="003B1C33">
        <w:rPr>
          <w:i w:val="0"/>
          <w:iCs w:val="0"/>
        </w:rPr>
        <w:t xml:space="preserve"> degrees Celsius. Marker shapes denote </w:t>
      </w:r>
      <w:r w:rsidR="00545820">
        <w:rPr>
          <w:i w:val="0"/>
          <w:iCs w:val="0"/>
        </w:rPr>
        <w:t>models</w:t>
      </w:r>
      <w:r w:rsidR="00545820" w:rsidRPr="003B1C33">
        <w:rPr>
          <w:i w:val="0"/>
          <w:iCs w:val="0"/>
        </w:rPr>
        <w:t>, with circles for IMAGE, triangles for MESSAGE</w:t>
      </w:r>
      <w:r w:rsidR="00545820">
        <w:rPr>
          <w:i w:val="0"/>
          <w:iCs w:val="0"/>
        </w:rPr>
        <w:t xml:space="preserve">, and </w:t>
      </w:r>
      <w:r w:rsidR="00545820" w:rsidRPr="003B1C33">
        <w:rPr>
          <w:i w:val="0"/>
          <w:iCs w:val="0"/>
        </w:rPr>
        <w:t>squares for REMIND. Line styles represent Shared Socioeconomic Pathways</w:t>
      </w:r>
      <w:r w:rsidR="00545820">
        <w:rPr>
          <w:i w:val="0"/>
          <w:iCs w:val="0"/>
        </w:rPr>
        <w:t xml:space="preserve"> (SSP)</w:t>
      </w:r>
      <w:r w:rsidR="00545820" w:rsidRPr="003B1C33">
        <w:rPr>
          <w:i w:val="0"/>
          <w:iCs w:val="0"/>
        </w:rPr>
        <w:t xml:space="preserve">, with </w:t>
      </w:r>
      <w:r w:rsidR="00064EB0">
        <w:rPr>
          <w:i w:val="0"/>
          <w:iCs w:val="0"/>
        </w:rPr>
        <w:t>dashed</w:t>
      </w:r>
      <w:r w:rsidR="00545820" w:rsidRPr="003B1C33">
        <w:rPr>
          <w:i w:val="0"/>
          <w:iCs w:val="0"/>
        </w:rPr>
        <w:t xml:space="preserve"> lines for SSP1, </w:t>
      </w:r>
      <w:r w:rsidR="00064EB0">
        <w:rPr>
          <w:i w:val="0"/>
          <w:iCs w:val="0"/>
        </w:rPr>
        <w:t>solid</w:t>
      </w:r>
      <w:r w:rsidR="00545820" w:rsidRPr="003B1C33">
        <w:rPr>
          <w:i w:val="0"/>
          <w:iCs w:val="0"/>
        </w:rPr>
        <w:t xml:space="preserve"> lines for SSP2, dotted lines for SSP3, and </w:t>
      </w:r>
      <w:r w:rsidR="00545820">
        <w:rPr>
          <w:i w:val="0"/>
          <w:iCs w:val="0"/>
        </w:rPr>
        <w:t>dash-dot</w:t>
      </w:r>
      <w:r w:rsidR="00545820" w:rsidRPr="003B1C33">
        <w:rPr>
          <w:i w:val="0"/>
          <w:iCs w:val="0"/>
        </w:rPr>
        <w:t xml:space="preserve"> lines for SSP5. All values are shown for the global aggregate.</w:t>
      </w:r>
    </w:p>
    <w:p w14:paraId="2103241E" w14:textId="77777777" w:rsidR="00536F6B" w:rsidRDefault="00536F6B" w:rsidP="00536F6B"/>
    <w:p w14:paraId="784DE70E" w14:textId="02720049" w:rsidR="00536F6B" w:rsidRDefault="008E3E0D" w:rsidP="00536F6B">
      <w:pPr>
        <w:keepNext/>
      </w:pPr>
      <w:r>
        <w:rPr>
          <w:noProof/>
        </w:rPr>
        <w:lastRenderedPageBreak/>
        <w:drawing>
          <wp:inline distT="0" distB="0" distL="0" distR="0" wp14:anchorId="6A81A6D7" wp14:editId="5ED7BF56">
            <wp:extent cx="5943600" cy="3778250"/>
            <wp:effectExtent l="0" t="0" r="0" b="0"/>
            <wp:docPr id="16303889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88934" name="Picture 163038893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778250"/>
                    </a:xfrm>
                    <a:prstGeom prst="rect">
                      <a:avLst/>
                    </a:prstGeom>
                  </pic:spPr>
                </pic:pic>
              </a:graphicData>
            </a:graphic>
          </wp:inline>
        </w:drawing>
      </w:r>
    </w:p>
    <w:p w14:paraId="13586C50" w14:textId="5C75C9B0" w:rsidR="00536F6B" w:rsidRDefault="00536F6B" w:rsidP="00536F6B">
      <w:pPr>
        <w:pStyle w:val="Caption"/>
        <w:jc w:val="both"/>
        <w:rPr>
          <w:i w:val="0"/>
          <w:iCs w:val="0"/>
        </w:rPr>
      </w:pPr>
      <w:r w:rsidRPr="00685726">
        <w:rPr>
          <w:b/>
          <w:bCs/>
          <w:i w:val="0"/>
          <w:iCs w:val="0"/>
        </w:rPr>
        <w:t xml:space="preserve">Figure </w:t>
      </w:r>
      <w:r>
        <w:rPr>
          <w:b/>
          <w:bCs/>
          <w:i w:val="0"/>
          <w:iCs w:val="0"/>
        </w:rPr>
        <w:t>SI2</w:t>
      </w:r>
      <w:r w:rsidRPr="00685726">
        <w:rPr>
          <w:b/>
          <w:bCs/>
          <w:i w:val="0"/>
          <w:iCs w:val="0"/>
        </w:rPr>
        <w:t xml:space="preserve"> | </w:t>
      </w:r>
      <w:r w:rsidR="00AE3CB5" w:rsidRPr="00AE3CB5">
        <w:rPr>
          <w:b/>
          <w:bCs/>
          <w:i w:val="0"/>
          <w:iCs w:val="0"/>
        </w:rPr>
        <w:t xml:space="preserve">Per-capita annual environmental impacts of global final energy provision across climate mitigation pathways. </w:t>
      </w:r>
      <w:r w:rsidR="00AE3CB5" w:rsidRPr="00AE3CB5">
        <w:rPr>
          <w:i w:val="0"/>
          <w:iCs w:val="0"/>
        </w:rPr>
        <w:t xml:space="preserve">Percentage change in annual per-capita impacts relative to 2020, from 2020 to 2100, across ten environmental indicators and 24 mitigation pathways. Per-capita values are obtained by dividing global aggregate impacts by the scenario-specific global population projected by each IAM for each pathway and year. Panels are organised by area of protection: ecosystem quality (total ecosystem quality in local species loss over time, acidification, freshwater ecotoxicity, freshwater eutrophication), human health (total human health in DALYs, particulate matter formation, photochemical ozone formation), and natural resources (land use, freshwater use, scarcity-weighted mineral resource use). The horizontal dashed line marks zero change relative to the 2020 baseline. Colours indicate end-of-century global mean surface temperature (GMST) outcomes, marker shapes denote IAM models, and line styles represent SSP scenarios, all as in Fig. </w:t>
      </w:r>
      <w:r w:rsidR="002C46EB">
        <w:rPr>
          <w:i w:val="0"/>
          <w:iCs w:val="0"/>
        </w:rPr>
        <w:t>SI1</w:t>
      </w:r>
      <w:r w:rsidR="00AE3CB5" w:rsidRPr="00AE3CB5">
        <w:rPr>
          <w:i w:val="0"/>
          <w:iCs w:val="0"/>
        </w:rPr>
        <w:t>, with SSP2 scenarios emphasised with higher opacity.</w:t>
      </w:r>
    </w:p>
    <w:p w14:paraId="1B4C8EF3" w14:textId="4FF8B584" w:rsidR="00536F6B" w:rsidRPr="00536F6B" w:rsidRDefault="00536F6B" w:rsidP="00536F6B">
      <w:pPr>
        <w:pStyle w:val="Caption"/>
      </w:pPr>
    </w:p>
    <w:p w14:paraId="73C7F122" w14:textId="49AE69D4" w:rsidR="003E50AE" w:rsidRDefault="00A710D9" w:rsidP="003E50AE">
      <w:pPr>
        <w:keepNext/>
        <w:jc w:val="center"/>
      </w:pPr>
      <w:r>
        <w:rPr>
          <w:noProof/>
        </w:rPr>
        <w:lastRenderedPageBreak/>
        <w:drawing>
          <wp:inline distT="0" distB="0" distL="0" distR="0" wp14:anchorId="431ED6F6" wp14:editId="5BB9F526">
            <wp:extent cx="4889959" cy="6696000"/>
            <wp:effectExtent l="0" t="0" r="6350" b="0"/>
            <wp:docPr id="1551860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60088" name="Picture 155186008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9959" cy="6696000"/>
                    </a:xfrm>
                    <a:prstGeom prst="rect">
                      <a:avLst/>
                    </a:prstGeom>
                  </pic:spPr>
                </pic:pic>
              </a:graphicData>
            </a:graphic>
          </wp:inline>
        </w:drawing>
      </w:r>
    </w:p>
    <w:p w14:paraId="30C04D44" w14:textId="15441258" w:rsidR="00E7651E" w:rsidRPr="004F53F4" w:rsidRDefault="00E7651E" w:rsidP="00E7651E">
      <w:pPr>
        <w:pStyle w:val="Caption"/>
        <w:jc w:val="both"/>
        <w:rPr>
          <w:i w:val="0"/>
          <w:iCs w:val="0"/>
        </w:rPr>
      </w:pPr>
      <w:r w:rsidRPr="00773FFF">
        <w:rPr>
          <w:b/>
          <w:bCs/>
          <w:i w:val="0"/>
          <w:iCs w:val="0"/>
        </w:rPr>
        <w:t xml:space="preserve">Figure </w:t>
      </w:r>
      <w:r>
        <w:rPr>
          <w:b/>
          <w:bCs/>
          <w:i w:val="0"/>
          <w:iCs w:val="0"/>
        </w:rPr>
        <w:t>SI</w:t>
      </w:r>
      <w:r w:rsidR="002C46EB">
        <w:rPr>
          <w:b/>
          <w:bCs/>
          <w:i w:val="0"/>
          <w:iCs w:val="0"/>
        </w:rPr>
        <w:t>3</w:t>
      </w:r>
      <w:r w:rsidRPr="00773FFF">
        <w:rPr>
          <w:b/>
          <w:bCs/>
          <w:i w:val="0"/>
          <w:iCs w:val="0"/>
        </w:rPr>
        <w:t xml:space="preserve"> | </w:t>
      </w:r>
      <w:r w:rsidRPr="00A744C9">
        <w:rPr>
          <w:b/>
          <w:bCs/>
          <w:i w:val="0"/>
          <w:iCs w:val="0"/>
        </w:rPr>
        <w:t xml:space="preserve">Sectoral and energy supply </w:t>
      </w:r>
      <w:r>
        <w:rPr>
          <w:b/>
          <w:bCs/>
          <w:i w:val="0"/>
          <w:iCs w:val="0"/>
        </w:rPr>
        <w:t>alternative</w:t>
      </w:r>
      <w:r w:rsidRPr="00A744C9">
        <w:rPr>
          <w:b/>
          <w:bCs/>
          <w:i w:val="0"/>
          <w:iCs w:val="0"/>
        </w:rPr>
        <w:t xml:space="preserve"> contributions to changes in environmental impacts by 2100.</w:t>
      </w:r>
      <w:r w:rsidRPr="00A744C9">
        <w:rPr>
          <w:i w:val="0"/>
          <w:iCs w:val="0"/>
        </w:rPr>
        <w:t xml:space="preserve"> Stacked bar charts show the relative contribution of consuming sectors and energy supply options to the change in </w:t>
      </w:r>
      <w:r w:rsidR="001212AF">
        <w:rPr>
          <w:i w:val="0"/>
          <w:iCs w:val="0"/>
        </w:rPr>
        <w:t>EF3.1</w:t>
      </w:r>
      <w:r w:rsidRPr="00A744C9">
        <w:rPr>
          <w:i w:val="0"/>
          <w:iCs w:val="0"/>
        </w:rPr>
        <w:t xml:space="preserve"> </w:t>
      </w:r>
      <w:r w:rsidR="001212AF">
        <w:rPr>
          <w:i w:val="0"/>
          <w:iCs w:val="0"/>
        </w:rPr>
        <w:t>impact categories</w:t>
      </w:r>
      <w:r w:rsidRPr="00A744C9">
        <w:rPr>
          <w:i w:val="0"/>
          <w:iCs w:val="0"/>
        </w:rPr>
        <w:t xml:space="preserve"> between 2020 and 2100</w:t>
      </w:r>
      <w:r>
        <w:rPr>
          <w:i w:val="0"/>
          <w:iCs w:val="0"/>
        </w:rPr>
        <w:t>. Environmental indicators include ‘T</w:t>
      </w:r>
      <w:r w:rsidRPr="0069321D">
        <w:rPr>
          <w:i w:val="0"/>
          <w:iCs w:val="0"/>
        </w:rPr>
        <w:t>ota</w:t>
      </w:r>
      <w:r>
        <w:rPr>
          <w:i w:val="0"/>
          <w:iCs w:val="0"/>
        </w:rPr>
        <w:t>l:</w:t>
      </w:r>
      <w:r w:rsidRPr="0069321D">
        <w:rPr>
          <w:i w:val="0"/>
          <w:iCs w:val="0"/>
        </w:rPr>
        <w:t xml:space="preserve"> </w:t>
      </w:r>
      <w:r>
        <w:rPr>
          <w:i w:val="0"/>
          <w:iCs w:val="0"/>
        </w:rPr>
        <w:t>E</w:t>
      </w:r>
      <w:r w:rsidRPr="0069321D">
        <w:rPr>
          <w:i w:val="0"/>
          <w:iCs w:val="0"/>
        </w:rPr>
        <w:t xml:space="preserve">cosystem </w:t>
      </w:r>
      <w:r>
        <w:rPr>
          <w:i w:val="0"/>
          <w:iCs w:val="0"/>
        </w:rPr>
        <w:t>Q</w:t>
      </w:r>
      <w:r w:rsidRPr="0069321D">
        <w:rPr>
          <w:i w:val="0"/>
          <w:iCs w:val="0"/>
        </w:rPr>
        <w:t>uality</w:t>
      </w:r>
      <w:r>
        <w:rPr>
          <w:i w:val="0"/>
          <w:iCs w:val="0"/>
        </w:rPr>
        <w:t>’</w:t>
      </w:r>
      <w:r w:rsidRPr="0069321D">
        <w:rPr>
          <w:i w:val="0"/>
          <w:iCs w:val="0"/>
        </w:rPr>
        <w:t xml:space="preserve">, </w:t>
      </w:r>
      <w:r>
        <w:rPr>
          <w:i w:val="0"/>
          <w:iCs w:val="0"/>
        </w:rPr>
        <w:t>‘T</w:t>
      </w:r>
      <w:r w:rsidRPr="0069321D">
        <w:rPr>
          <w:i w:val="0"/>
          <w:iCs w:val="0"/>
        </w:rPr>
        <w:t>otal</w:t>
      </w:r>
      <w:r>
        <w:rPr>
          <w:i w:val="0"/>
          <w:iCs w:val="0"/>
        </w:rPr>
        <w:t>:</w:t>
      </w:r>
      <w:r w:rsidRPr="0069321D">
        <w:rPr>
          <w:i w:val="0"/>
          <w:iCs w:val="0"/>
        </w:rPr>
        <w:t xml:space="preserve"> human health</w:t>
      </w:r>
      <w:r>
        <w:rPr>
          <w:i w:val="0"/>
          <w:iCs w:val="0"/>
        </w:rPr>
        <w:t>’</w:t>
      </w:r>
      <w:r w:rsidRPr="0069321D">
        <w:rPr>
          <w:i w:val="0"/>
          <w:iCs w:val="0"/>
        </w:rPr>
        <w:t xml:space="preserve">, </w:t>
      </w:r>
      <w:r>
        <w:rPr>
          <w:i w:val="0"/>
          <w:iCs w:val="0"/>
        </w:rPr>
        <w:t>‘Freshwater Ecotoxicity’, ‘L</w:t>
      </w:r>
      <w:r w:rsidRPr="0069321D">
        <w:rPr>
          <w:i w:val="0"/>
          <w:iCs w:val="0"/>
        </w:rPr>
        <w:t>and use</w:t>
      </w:r>
      <w:r>
        <w:rPr>
          <w:i w:val="0"/>
          <w:iCs w:val="0"/>
        </w:rPr>
        <w:t>’</w:t>
      </w:r>
      <w:r w:rsidRPr="0069321D">
        <w:rPr>
          <w:i w:val="0"/>
          <w:iCs w:val="0"/>
        </w:rPr>
        <w:t xml:space="preserve">, and </w:t>
      </w:r>
      <w:r>
        <w:rPr>
          <w:i w:val="0"/>
          <w:iCs w:val="0"/>
        </w:rPr>
        <w:t>‘Water</w:t>
      </w:r>
      <w:r w:rsidRPr="0069321D">
        <w:rPr>
          <w:i w:val="0"/>
          <w:iCs w:val="0"/>
        </w:rPr>
        <w:t xml:space="preserve"> use</w:t>
      </w:r>
      <w:r>
        <w:rPr>
          <w:i w:val="0"/>
          <w:iCs w:val="0"/>
        </w:rPr>
        <w:t>’</w:t>
      </w:r>
      <w:r w:rsidRPr="0069321D">
        <w:rPr>
          <w:i w:val="0"/>
          <w:iCs w:val="0"/>
        </w:rPr>
        <w:t xml:space="preserve">. Values are expressed as percentage change relative to </w:t>
      </w:r>
      <w:r>
        <w:rPr>
          <w:i w:val="0"/>
          <w:iCs w:val="0"/>
        </w:rPr>
        <w:t xml:space="preserve">the </w:t>
      </w:r>
      <w:r w:rsidRPr="0069321D">
        <w:rPr>
          <w:i w:val="0"/>
          <w:iCs w:val="0"/>
        </w:rPr>
        <w:t>total 2020 impacts. Bars are grouped by end</w:t>
      </w:r>
      <w:r>
        <w:rPr>
          <w:i w:val="0"/>
          <w:iCs w:val="0"/>
        </w:rPr>
        <w:t>-</w:t>
      </w:r>
      <w:r w:rsidRPr="0069321D">
        <w:rPr>
          <w:i w:val="0"/>
          <w:iCs w:val="0"/>
        </w:rPr>
        <w:t>of</w:t>
      </w:r>
      <w:r>
        <w:rPr>
          <w:i w:val="0"/>
          <w:iCs w:val="0"/>
        </w:rPr>
        <w:t>-</w:t>
      </w:r>
      <w:r w:rsidRPr="0069321D">
        <w:rPr>
          <w:i w:val="0"/>
          <w:iCs w:val="0"/>
        </w:rPr>
        <w:t xml:space="preserve">century </w:t>
      </w:r>
      <w:r w:rsidRPr="003B1C33">
        <w:rPr>
          <w:i w:val="0"/>
          <w:iCs w:val="0"/>
        </w:rPr>
        <w:t xml:space="preserve">global mean surface temperature </w:t>
      </w:r>
      <w:r>
        <w:rPr>
          <w:i w:val="0"/>
          <w:iCs w:val="0"/>
        </w:rPr>
        <w:t xml:space="preserve">(GMST) </w:t>
      </w:r>
      <w:r w:rsidRPr="0069321D">
        <w:rPr>
          <w:i w:val="0"/>
          <w:iCs w:val="0"/>
        </w:rPr>
        <w:t xml:space="preserve">outcome, with columns representing pathways below 2.0 degrees Celsius, between 2.0 and </w:t>
      </w:r>
      <w:r w:rsidR="00075258">
        <w:rPr>
          <w:i w:val="0"/>
          <w:iCs w:val="0"/>
        </w:rPr>
        <w:t>2.5</w:t>
      </w:r>
      <w:r w:rsidRPr="0069321D">
        <w:rPr>
          <w:i w:val="0"/>
          <w:iCs w:val="0"/>
        </w:rPr>
        <w:t xml:space="preserve"> degrees Celsius, and above </w:t>
      </w:r>
      <w:r w:rsidR="00075258">
        <w:rPr>
          <w:i w:val="0"/>
          <w:iCs w:val="0"/>
        </w:rPr>
        <w:t>2.5</w:t>
      </w:r>
      <w:r w:rsidRPr="0069321D">
        <w:rPr>
          <w:i w:val="0"/>
          <w:iCs w:val="0"/>
        </w:rPr>
        <w:t xml:space="preserve"> degrees Celsius. Within each column, pathways are grouped by Integrated Assessment Model</w:t>
      </w:r>
      <w:r>
        <w:rPr>
          <w:i w:val="0"/>
          <w:iCs w:val="0"/>
        </w:rPr>
        <w:t xml:space="preserve"> (IAM)</w:t>
      </w:r>
      <w:r w:rsidRPr="0069321D">
        <w:rPr>
          <w:i w:val="0"/>
          <w:iCs w:val="0"/>
        </w:rPr>
        <w:t xml:space="preserve"> and Shared Socioeconomic Pathway</w:t>
      </w:r>
      <w:r>
        <w:rPr>
          <w:i w:val="0"/>
          <w:iCs w:val="0"/>
        </w:rPr>
        <w:t xml:space="preserve"> (SSP)</w:t>
      </w:r>
      <w:r w:rsidRPr="0069321D">
        <w:rPr>
          <w:i w:val="0"/>
          <w:iCs w:val="0"/>
        </w:rPr>
        <w:t>. Colours indicate energy supply options, hatching denotes consuming sectors, and diamond markers represent the net change in total impact</w:t>
      </w:r>
      <w:r w:rsidR="00454AC1">
        <w:rPr>
          <w:i w:val="0"/>
          <w:iCs w:val="0"/>
        </w:rPr>
        <w:t>s</w:t>
      </w:r>
      <w:r w:rsidRPr="0069321D">
        <w:rPr>
          <w:i w:val="0"/>
          <w:iCs w:val="0"/>
        </w:rPr>
        <w:t xml:space="preserve"> for each pathway. Only the main contributing sector and option combinations are shown explicitly, with remaining contributions aggregated as </w:t>
      </w:r>
      <w:r>
        <w:rPr>
          <w:i w:val="0"/>
          <w:iCs w:val="0"/>
        </w:rPr>
        <w:t>‘</w:t>
      </w:r>
      <w:r w:rsidRPr="0069321D">
        <w:rPr>
          <w:i w:val="0"/>
          <w:iCs w:val="0"/>
        </w:rPr>
        <w:t>Other</w:t>
      </w:r>
      <w:r>
        <w:rPr>
          <w:i w:val="0"/>
          <w:iCs w:val="0"/>
        </w:rPr>
        <w:t>’</w:t>
      </w:r>
      <w:r w:rsidRPr="0069321D">
        <w:rPr>
          <w:i w:val="0"/>
          <w:iCs w:val="0"/>
        </w:rPr>
        <w:t>.</w:t>
      </w:r>
    </w:p>
    <w:p w14:paraId="315942E8" w14:textId="2E2F03A1" w:rsidR="001212AF" w:rsidRDefault="00D36482" w:rsidP="00D90C75">
      <w:pPr>
        <w:jc w:val="center"/>
      </w:pPr>
      <w:r>
        <w:rPr>
          <w:noProof/>
        </w:rPr>
        <w:lastRenderedPageBreak/>
        <w:drawing>
          <wp:inline distT="0" distB="0" distL="0" distR="0" wp14:anchorId="5CAB00EB" wp14:editId="168F6BD2">
            <wp:extent cx="4940000" cy="6840000"/>
            <wp:effectExtent l="0" t="0" r="0" b="0"/>
            <wp:docPr id="13383714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71445" name="Picture 133837144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0000" cy="6840000"/>
                    </a:xfrm>
                    <a:prstGeom prst="rect">
                      <a:avLst/>
                    </a:prstGeom>
                  </pic:spPr>
                </pic:pic>
              </a:graphicData>
            </a:graphic>
          </wp:inline>
        </w:drawing>
      </w:r>
    </w:p>
    <w:p w14:paraId="1C276328" w14:textId="6F80808C" w:rsidR="008474EC" w:rsidRDefault="008474EC" w:rsidP="008474EC">
      <w:pPr>
        <w:pStyle w:val="Caption"/>
        <w:jc w:val="both"/>
        <w:rPr>
          <w:i w:val="0"/>
          <w:iCs w:val="0"/>
        </w:rPr>
      </w:pPr>
      <w:r w:rsidRPr="00773FFF">
        <w:rPr>
          <w:b/>
          <w:bCs/>
          <w:i w:val="0"/>
          <w:iCs w:val="0"/>
        </w:rPr>
        <w:t xml:space="preserve">Figure </w:t>
      </w:r>
      <w:r>
        <w:rPr>
          <w:b/>
          <w:bCs/>
          <w:i w:val="0"/>
          <w:iCs w:val="0"/>
        </w:rPr>
        <w:t>SI</w:t>
      </w:r>
      <w:r w:rsidR="002C46EB">
        <w:rPr>
          <w:b/>
          <w:bCs/>
          <w:i w:val="0"/>
          <w:iCs w:val="0"/>
        </w:rPr>
        <w:t>4</w:t>
      </w:r>
      <w:r w:rsidRPr="00773FFF">
        <w:rPr>
          <w:b/>
          <w:bCs/>
          <w:i w:val="0"/>
          <w:iCs w:val="0"/>
        </w:rPr>
        <w:t xml:space="preserve"> | </w:t>
      </w:r>
      <w:r w:rsidRPr="00A744C9">
        <w:rPr>
          <w:b/>
          <w:bCs/>
          <w:i w:val="0"/>
          <w:iCs w:val="0"/>
        </w:rPr>
        <w:t xml:space="preserve">Sectoral and energy supply </w:t>
      </w:r>
      <w:r>
        <w:rPr>
          <w:b/>
          <w:bCs/>
          <w:i w:val="0"/>
          <w:iCs w:val="0"/>
        </w:rPr>
        <w:t>alternative</w:t>
      </w:r>
      <w:r w:rsidRPr="00A744C9">
        <w:rPr>
          <w:b/>
          <w:bCs/>
          <w:i w:val="0"/>
          <w:iCs w:val="0"/>
        </w:rPr>
        <w:t xml:space="preserve"> contributions to changes in </w:t>
      </w:r>
      <w:r w:rsidR="005572C7">
        <w:rPr>
          <w:b/>
          <w:bCs/>
          <w:i w:val="0"/>
          <w:iCs w:val="0"/>
        </w:rPr>
        <w:t xml:space="preserve">primary </w:t>
      </w:r>
      <w:r w:rsidR="00854F71">
        <w:rPr>
          <w:b/>
          <w:bCs/>
          <w:i w:val="0"/>
          <w:iCs w:val="0"/>
        </w:rPr>
        <w:t>metal extraction</w:t>
      </w:r>
      <w:r w:rsidRPr="00A744C9">
        <w:rPr>
          <w:b/>
          <w:bCs/>
          <w:i w:val="0"/>
          <w:iCs w:val="0"/>
        </w:rPr>
        <w:t xml:space="preserve"> by </w:t>
      </w:r>
      <w:r w:rsidR="00854F71">
        <w:rPr>
          <w:b/>
          <w:bCs/>
          <w:i w:val="0"/>
          <w:iCs w:val="0"/>
        </w:rPr>
        <w:t>2050</w:t>
      </w:r>
      <w:r w:rsidRPr="00A744C9">
        <w:rPr>
          <w:b/>
          <w:bCs/>
          <w:i w:val="0"/>
          <w:iCs w:val="0"/>
        </w:rPr>
        <w:t>.</w:t>
      </w:r>
      <w:r w:rsidRPr="00A744C9">
        <w:rPr>
          <w:i w:val="0"/>
          <w:iCs w:val="0"/>
        </w:rPr>
        <w:t xml:space="preserve"> Stacked bar charts show the relative contribution of consuming sectors and energy supply options to the change in</w:t>
      </w:r>
      <w:r w:rsidR="005572C7">
        <w:rPr>
          <w:i w:val="0"/>
          <w:iCs w:val="0"/>
        </w:rPr>
        <w:t xml:space="preserve"> primary</w:t>
      </w:r>
      <w:r w:rsidRPr="00A744C9">
        <w:rPr>
          <w:i w:val="0"/>
          <w:iCs w:val="0"/>
        </w:rPr>
        <w:t xml:space="preserve"> </w:t>
      </w:r>
      <w:r>
        <w:rPr>
          <w:i w:val="0"/>
          <w:iCs w:val="0"/>
        </w:rPr>
        <w:t>metal extraction</w:t>
      </w:r>
      <w:r w:rsidRPr="00A744C9">
        <w:rPr>
          <w:i w:val="0"/>
          <w:iCs w:val="0"/>
        </w:rPr>
        <w:t xml:space="preserve"> between 2020 and </w:t>
      </w:r>
      <w:r w:rsidR="00854F71">
        <w:rPr>
          <w:i w:val="0"/>
          <w:iCs w:val="0"/>
        </w:rPr>
        <w:t>2050</w:t>
      </w:r>
      <w:r>
        <w:rPr>
          <w:i w:val="0"/>
          <w:iCs w:val="0"/>
        </w:rPr>
        <w:t xml:space="preserve">. </w:t>
      </w:r>
      <w:r w:rsidRPr="0069321D">
        <w:rPr>
          <w:i w:val="0"/>
          <w:iCs w:val="0"/>
        </w:rPr>
        <w:t xml:space="preserve">Values are expressed as percentage change relative to </w:t>
      </w:r>
      <w:r>
        <w:rPr>
          <w:i w:val="0"/>
          <w:iCs w:val="0"/>
        </w:rPr>
        <w:t xml:space="preserve">the </w:t>
      </w:r>
      <w:r w:rsidRPr="0069321D">
        <w:rPr>
          <w:i w:val="0"/>
          <w:iCs w:val="0"/>
        </w:rPr>
        <w:t xml:space="preserve">total 2020 </w:t>
      </w:r>
      <w:r>
        <w:rPr>
          <w:i w:val="0"/>
          <w:iCs w:val="0"/>
        </w:rPr>
        <w:t>values</w:t>
      </w:r>
      <w:r w:rsidRPr="0069321D">
        <w:rPr>
          <w:i w:val="0"/>
          <w:iCs w:val="0"/>
        </w:rPr>
        <w:t>. Bars are grouped by end</w:t>
      </w:r>
      <w:r>
        <w:rPr>
          <w:i w:val="0"/>
          <w:iCs w:val="0"/>
        </w:rPr>
        <w:t>-</w:t>
      </w:r>
      <w:r w:rsidRPr="0069321D">
        <w:rPr>
          <w:i w:val="0"/>
          <w:iCs w:val="0"/>
        </w:rPr>
        <w:t>of</w:t>
      </w:r>
      <w:r>
        <w:rPr>
          <w:i w:val="0"/>
          <w:iCs w:val="0"/>
        </w:rPr>
        <w:t>-</w:t>
      </w:r>
      <w:r w:rsidRPr="0069321D">
        <w:rPr>
          <w:i w:val="0"/>
          <w:iCs w:val="0"/>
        </w:rPr>
        <w:t xml:space="preserve">century </w:t>
      </w:r>
      <w:r w:rsidRPr="003B1C33">
        <w:rPr>
          <w:i w:val="0"/>
          <w:iCs w:val="0"/>
        </w:rPr>
        <w:t xml:space="preserve">global mean surface temperature </w:t>
      </w:r>
      <w:r>
        <w:rPr>
          <w:i w:val="0"/>
          <w:iCs w:val="0"/>
        </w:rPr>
        <w:t xml:space="preserve">(GMST) </w:t>
      </w:r>
      <w:r w:rsidRPr="0069321D">
        <w:rPr>
          <w:i w:val="0"/>
          <w:iCs w:val="0"/>
        </w:rPr>
        <w:t xml:space="preserve">outcome, with columns representing pathways below 2.0 degrees Celsius, between 2.0 and </w:t>
      </w:r>
      <w:r w:rsidR="00075258">
        <w:rPr>
          <w:i w:val="0"/>
          <w:iCs w:val="0"/>
        </w:rPr>
        <w:t>2.5</w:t>
      </w:r>
      <w:r w:rsidRPr="0069321D">
        <w:rPr>
          <w:i w:val="0"/>
          <w:iCs w:val="0"/>
        </w:rPr>
        <w:t xml:space="preserve"> degrees Celsius, and above </w:t>
      </w:r>
      <w:r w:rsidR="00075258">
        <w:rPr>
          <w:i w:val="0"/>
          <w:iCs w:val="0"/>
        </w:rPr>
        <w:t>2.5</w:t>
      </w:r>
      <w:r w:rsidRPr="0069321D">
        <w:rPr>
          <w:i w:val="0"/>
          <w:iCs w:val="0"/>
        </w:rPr>
        <w:t xml:space="preserve"> degrees Celsius. Within each column, pathways are grouped by Integrated Assessment Model</w:t>
      </w:r>
      <w:r>
        <w:rPr>
          <w:i w:val="0"/>
          <w:iCs w:val="0"/>
        </w:rPr>
        <w:t xml:space="preserve"> (IAM)</w:t>
      </w:r>
      <w:r w:rsidRPr="0069321D">
        <w:rPr>
          <w:i w:val="0"/>
          <w:iCs w:val="0"/>
        </w:rPr>
        <w:t xml:space="preserve"> and Shared Socioeconomic Pathway</w:t>
      </w:r>
      <w:r>
        <w:rPr>
          <w:i w:val="0"/>
          <w:iCs w:val="0"/>
        </w:rPr>
        <w:t xml:space="preserve"> (SSP)</w:t>
      </w:r>
      <w:r w:rsidRPr="0069321D">
        <w:rPr>
          <w:i w:val="0"/>
          <w:iCs w:val="0"/>
        </w:rPr>
        <w:t>. Colours indicate energy supply options, hatching denotes consuming sectors, and diamond markers represent the net change in total impact</w:t>
      </w:r>
      <w:r w:rsidR="00454AC1">
        <w:rPr>
          <w:i w:val="0"/>
          <w:iCs w:val="0"/>
        </w:rPr>
        <w:t>s</w:t>
      </w:r>
      <w:r w:rsidRPr="0069321D">
        <w:rPr>
          <w:i w:val="0"/>
          <w:iCs w:val="0"/>
        </w:rPr>
        <w:t xml:space="preserve"> for each pathway. Only the main contributing sector and option combinations are shown explicitly, with remaining contributions aggregated as </w:t>
      </w:r>
      <w:r>
        <w:rPr>
          <w:i w:val="0"/>
          <w:iCs w:val="0"/>
        </w:rPr>
        <w:t>‘</w:t>
      </w:r>
      <w:r w:rsidRPr="0069321D">
        <w:rPr>
          <w:i w:val="0"/>
          <w:iCs w:val="0"/>
        </w:rPr>
        <w:t>Other</w:t>
      </w:r>
      <w:r>
        <w:rPr>
          <w:i w:val="0"/>
          <w:iCs w:val="0"/>
        </w:rPr>
        <w:t>’</w:t>
      </w:r>
      <w:r w:rsidRPr="0069321D">
        <w:rPr>
          <w:i w:val="0"/>
          <w:iCs w:val="0"/>
        </w:rPr>
        <w:t>.</w:t>
      </w:r>
    </w:p>
    <w:p w14:paraId="225E2722" w14:textId="445C225D" w:rsidR="00345099" w:rsidRPr="00345099" w:rsidRDefault="00DB30B2" w:rsidP="00345099">
      <w:pPr>
        <w:jc w:val="center"/>
      </w:pPr>
      <w:r>
        <w:rPr>
          <w:noProof/>
        </w:rPr>
        <w:lastRenderedPageBreak/>
        <w:drawing>
          <wp:inline distT="0" distB="0" distL="0" distR="0" wp14:anchorId="1D9F35E9" wp14:editId="3282F8D6">
            <wp:extent cx="4940000" cy="6840000"/>
            <wp:effectExtent l="0" t="0" r="0" b="0"/>
            <wp:docPr id="12375231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23171" name="Picture 123752317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40000" cy="6840000"/>
                    </a:xfrm>
                    <a:prstGeom prst="rect">
                      <a:avLst/>
                    </a:prstGeom>
                  </pic:spPr>
                </pic:pic>
              </a:graphicData>
            </a:graphic>
          </wp:inline>
        </w:drawing>
      </w:r>
    </w:p>
    <w:p w14:paraId="3C5D8529" w14:textId="2FD07F1C" w:rsidR="00345099" w:rsidRDefault="00345099" w:rsidP="00345099">
      <w:pPr>
        <w:pStyle w:val="Caption"/>
        <w:jc w:val="both"/>
        <w:rPr>
          <w:i w:val="0"/>
          <w:iCs w:val="0"/>
        </w:rPr>
      </w:pPr>
      <w:r w:rsidRPr="00773FFF">
        <w:rPr>
          <w:b/>
          <w:bCs/>
          <w:i w:val="0"/>
          <w:iCs w:val="0"/>
        </w:rPr>
        <w:t xml:space="preserve">Figure </w:t>
      </w:r>
      <w:r>
        <w:rPr>
          <w:b/>
          <w:bCs/>
          <w:i w:val="0"/>
          <w:iCs w:val="0"/>
        </w:rPr>
        <w:t>SI</w:t>
      </w:r>
      <w:r w:rsidR="002C46EB">
        <w:rPr>
          <w:b/>
          <w:bCs/>
          <w:i w:val="0"/>
          <w:iCs w:val="0"/>
        </w:rPr>
        <w:t>5</w:t>
      </w:r>
      <w:r w:rsidRPr="00773FFF">
        <w:rPr>
          <w:b/>
          <w:bCs/>
          <w:i w:val="0"/>
          <w:iCs w:val="0"/>
        </w:rPr>
        <w:t xml:space="preserve"> | </w:t>
      </w:r>
      <w:r w:rsidRPr="00A744C9">
        <w:rPr>
          <w:b/>
          <w:bCs/>
          <w:i w:val="0"/>
          <w:iCs w:val="0"/>
        </w:rPr>
        <w:t xml:space="preserve">Sectoral and energy supply </w:t>
      </w:r>
      <w:r>
        <w:rPr>
          <w:b/>
          <w:bCs/>
          <w:i w:val="0"/>
          <w:iCs w:val="0"/>
        </w:rPr>
        <w:t>alternative</w:t>
      </w:r>
      <w:r w:rsidRPr="00A744C9">
        <w:rPr>
          <w:b/>
          <w:bCs/>
          <w:i w:val="0"/>
          <w:iCs w:val="0"/>
        </w:rPr>
        <w:t xml:space="preserve"> contributions to changes in </w:t>
      </w:r>
      <w:r>
        <w:rPr>
          <w:b/>
          <w:bCs/>
          <w:i w:val="0"/>
          <w:iCs w:val="0"/>
        </w:rPr>
        <w:t>primary metal extraction</w:t>
      </w:r>
      <w:r w:rsidRPr="00A744C9">
        <w:rPr>
          <w:b/>
          <w:bCs/>
          <w:i w:val="0"/>
          <w:iCs w:val="0"/>
        </w:rPr>
        <w:t xml:space="preserve"> by </w:t>
      </w:r>
      <w:r>
        <w:rPr>
          <w:b/>
          <w:bCs/>
          <w:i w:val="0"/>
          <w:iCs w:val="0"/>
        </w:rPr>
        <w:t>2100</w:t>
      </w:r>
      <w:r w:rsidRPr="00A744C9">
        <w:rPr>
          <w:b/>
          <w:bCs/>
          <w:i w:val="0"/>
          <w:iCs w:val="0"/>
        </w:rPr>
        <w:t>.</w:t>
      </w:r>
      <w:r w:rsidRPr="00A744C9">
        <w:rPr>
          <w:i w:val="0"/>
          <w:iCs w:val="0"/>
        </w:rPr>
        <w:t xml:space="preserve"> Stacked bar charts show the relative contribution of consuming sectors and energy supply options to the change in</w:t>
      </w:r>
      <w:r>
        <w:rPr>
          <w:i w:val="0"/>
          <w:iCs w:val="0"/>
        </w:rPr>
        <w:t xml:space="preserve"> primary</w:t>
      </w:r>
      <w:r w:rsidRPr="00A744C9">
        <w:rPr>
          <w:i w:val="0"/>
          <w:iCs w:val="0"/>
        </w:rPr>
        <w:t xml:space="preserve"> </w:t>
      </w:r>
      <w:r>
        <w:rPr>
          <w:i w:val="0"/>
          <w:iCs w:val="0"/>
        </w:rPr>
        <w:t>metal extraction</w:t>
      </w:r>
      <w:r w:rsidRPr="00A744C9">
        <w:rPr>
          <w:i w:val="0"/>
          <w:iCs w:val="0"/>
        </w:rPr>
        <w:t xml:space="preserve"> between 2020 and </w:t>
      </w:r>
      <w:r>
        <w:rPr>
          <w:i w:val="0"/>
          <w:iCs w:val="0"/>
        </w:rPr>
        <w:t xml:space="preserve">2100. </w:t>
      </w:r>
      <w:r w:rsidRPr="0069321D">
        <w:rPr>
          <w:i w:val="0"/>
          <w:iCs w:val="0"/>
        </w:rPr>
        <w:t xml:space="preserve">Values are expressed as percentage change relative to </w:t>
      </w:r>
      <w:r>
        <w:rPr>
          <w:i w:val="0"/>
          <w:iCs w:val="0"/>
        </w:rPr>
        <w:t xml:space="preserve">the </w:t>
      </w:r>
      <w:r w:rsidRPr="0069321D">
        <w:rPr>
          <w:i w:val="0"/>
          <w:iCs w:val="0"/>
        </w:rPr>
        <w:t xml:space="preserve">total 2020 </w:t>
      </w:r>
      <w:r>
        <w:rPr>
          <w:i w:val="0"/>
          <w:iCs w:val="0"/>
        </w:rPr>
        <w:t>values</w:t>
      </w:r>
      <w:r w:rsidRPr="0069321D">
        <w:rPr>
          <w:i w:val="0"/>
          <w:iCs w:val="0"/>
        </w:rPr>
        <w:t>. Bars are grouped by end</w:t>
      </w:r>
      <w:r>
        <w:rPr>
          <w:i w:val="0"/>
          <w:iCs w:val="0"/>
        </w:rPr>
        <w:t>-</w:t>
      </w:r>
      <w:r w:rsidRPr="0069321D">
        <w:rPr>
          <w:i w:val="0"/>
          <w:iCs w:val="0"/>
        </w:rPr>
        <w:t>of</w:t>
      </w:r>
      <w:r>
        <w:rPr>
          <w:i w:val="0"/>
          <w:iCs w:val="0"/>
        </w:rPr>
        <w:t>-</w:t>
      </w:r>
      <w:r w:rsidRPr="0069321D">
        <w:rPr>
          <w:i w:val="0"/>
          <w:iCs w:val="0"/>
        </w:rPr>
        <w:t xml:space="preserve">century </w:t>
      </w:r>
      <w:r w:rsidRPr="003B1C33">
        <w:rPr>
          <w:i w:val="0"/>
          <w:iCs w:val="0"/>
        </w:rPr>
        <w:t xml:space="preserve">global mean surface temperature </w:t>
      </w:r>
      <w:r>
        <w:rPr>
          <w:i w:val="0"/>
          <w:iCs w:val="0"/>
        </w:rPr>
        <w:t xml:space="preserve">(GMST) </w:t>
      </w:r>
      <w:r w:rsidRPr="0069321D">
        <w:rPr>
          <w:i w:val="0"/>
          <w:iCs w:val="0"/>
        </w:rPr>
        <w:t xml:space="preserve">outcome, with columns representing pathways below 2.0 degrees Celsius, between 2.0 and </w:t>
      </w:r>
      <w:r w:rsidR="008655A0">
        <w:rPr>
          <w:i w:val="0"/>
          <w:iCs w:val="0"/>
        </w:rPr>
        <w:t>2.5</w:t>
      </w:r>
      <w:r w:rsidRPr="0069321D">
        <w:rPr>
          <w:i w:val="0"/>
          <w:iCs w:val="0"/>
        </w:rPr>
        <w:t xml:space="preserve"> degrees Celsius, and above </w:t>
      </w:r>
      <w:r w:rsidR="008655A0">
        <w:rPr>
          <w:i w:val="0"/>
          <w:iCs w:val="0"/>
        </w:rPr>
        <w:t>2.5</w:t>
      </w:r>
      <w:r w:rsidRPr="0069321D">
        <w:rPr>
          <w:i w:val="0"/>
          <w:iCs w:val="0"/>
        </w:rPr>
        <w:t xml:space="preserve"> degrees Celsius. Within each column, pathways are grouped by Integrated Assessment Model</w:t>
      </w:r>
      <w:r>
        <w:rPr>
          <w:i w:val="0"/>
          <w:iCs w:val="0"/>
        </w:rPr>
        <w:t xml:space="preserve"> (IAM)</w:t>
      </w:r>
      <w:r w:rsidRPr="0069321D">
        <w:rPr>
          <w:i w:val="0"/>
          <w:iCs w:val="0"/>
        </w:rPr>
        <w:t xml:space="preserve"> and Shared Socioeconomic Pathway</w:t>
      </w:r>
      <w:r>
        <w:rPr>
          <w:i w:val="0"/>
          <w:iCs w:val="0"/>
        </w:rPr>
        <w:t xml:space="preserve"> (SSP)</w:t>
      </w:r>
      <w:r w:rsidRPr="0069321D">
        <w:rPr>
          <w:i w:val="0"/>
          <w:iCs w:val="0"/>
        </w:rPr>
        <w:t>. Colours indicate energy supply options, hatching denotes consuming sectors, and diamond markers represent the net change in total impact</w:t>
      </w:r>
      <w:r w:rsidR="00454AC1">
        <w:rPr>
          <w:i w:val="0"/>
          <w:iCs w:val="0"/>
        </w:rPr>
        <w:t>s</w:t>
      </w:r>
      <w:r w:rsidRPr="0069321D">
        <w:rPr>
          <w:i w:val="0"/>
          <w:iCs w:val="0"/>
        </w:rPr>
        <w:t xml:space="preserve"> for each pathway. Only the main contributing sector and option combinations are shown explicitly, with remaining contributions aggregated as </w:t>
      </w:r>
      <w:r>
        <w:rPr>
          <w:i w:val="0"/>
          <w:iCs w:val="0"/>
        </w:rPr>
        <w:t>‘</w:t>
      </w:r>
      <w:r w:rsidRPr="0069321D">
        <w:rPr>
          <w:i w:val="0"/>
          <w:iCs w:val="0"/>
        </w:rPr>
        <w:t>Other</w:t>
      </w:r>
      <w:r>
        <w:rPr>
          <w:i w:val="0"/>
          <w:iCs w:val="0"/>
        </w:rPr>
        <w:t>’</w:t>
      </w:r>
      <w:r w:rsidRPr="0069321D">
        <w:rPr>
          <w:i w:val="0"/>
          <w:iCs w:val="0"/>
        </w:rPr>
        <w:t>.</w:t>
      </w:r>
    </w:p>
    <w:p w14:paraId="31F30EF4" w14:textId="77777777" w:rsidR="008474EC" w:rsidRDefault="008474EC" w:rsidP="001212AF"/>
    <w:p w14:paraId="198850B1" w14:textId="7D04846D" w:rsidR="0012621C" w:rsidRPr="0012621C" w:rsidRDefault="0012621C" w:rsidP="0012621C">
      <w:pPr>
        <w:pStyle w:val="Heading2"/>
      </w:pPr>
      <w:r w:rsidRPr="0012621C">
        <w:t>Sensitivity analysis: increased recycling input rates</w:t>
      </w:r>
      <w:r>
        <w:t xml:space="preserve"> (RIR)</w:t>
      </w:r>
    </w:p>
    <w:p w14:paraId="3F45A9CC" w14:textId="77777777" w:rsidR="00B24BDA" w:rsidRPr="00B24BDA" w:rsidRDefault="00B24BDA" w:rsidP="0012621C">
      <w:pPr>
        <w:jc w:val="both"/>
      </w:pPr>
      <w:r w:rsidRPr="00B24BDA">
        <w:t>To assess the sensitivity of metal extraction demand to higher secondary supply, we perform a scenario in which recycling input rates are linearly increased to 2050. This exercise represents an optimistic benchmark, as global demand for many metals increases sharply across most regions, limiting the extent to which secondary material availability can scale relative to total demand. The purpose of this analysis is to evaluate the robustness of the main results and to demonstrate the flexibility of the modelling framework in incorporating supply-side parameter changes.</w:t>
      </w:r>
    </w:p>
    <w:p w14:paraId="311E3C04" w14:textId="77777777" w:rsidR="00647930" w:rsidRDefault="00B24BDA" w:rsidP="00591FE5">
      <w:pPr>
        <w:jc w:val="both"/>
      </w:pPr>
      <w:r w:rsidRPr="00B24BDA">
        <w:t>Recycling input rates are modified at the global market level within the LCA database. The following adjustments are implemented:</w:t>
      </w:r>
    </w:p>
    <w:p w14:paraId="58101B01" w14:textId="77777777" w:rsidR="00083725" w:rsidRDefault="00083725" w:rsidP="00591FE5">
      <w:pPr>
        <w:pStyle w:val="ListParagraph"/>
        <w:numPr>
          <w:ilvl w:val="0"/>
          <w:numId w:val="2"/>
        </w:numPr>
        <w:jc w:val="both"/>
      </w:pPr>
      <w:r w:rsidRPr="00647930">
        <w:t xml:space="preserve">Cobalt: increased </w:t>
      </w:r>
      <w:r>
        <w:t>original ecoinvent value a</w:t>
      </w:r>
      <w:r w:rsidRPr="00647930">
        <w:t xml:space="preserve"> 50%</w:t>
      </w:r>
      <w:r>
        <w:t>.</w:t>
      </w:r>
    </w:p>
    <w:p w14:paraId="7CE8E048" w14:textId="0A31B21D" w:rsidR="00083725" w:rsidRDefault="00083725" w:rsidP="00591FE5">
      <w:pPr>
        <w:pStyle w:val="ListParagraph"/>
        <w:numPr>
          <w:ilvl w:val="0"/>
          <w:numId w:val="2"/>
        </w:numPr>
        <w:jc w:val="both"/>
      </w:pPr>
      <w:r w:rsidRPr="00647930">
        <w:t xml:space="preserve">Copper: recycling input rate increased </w:t>
      </w:r>
      <w:r w:rsidR="00604DE5">
        <w:t>original ecoinvent value a</w:t>
      </w:r>
      <w:r w:rsidRPr="00647930">
        <w:t xml:space="preserve"> 20%.</w:t>
      </w:r>
    </w:p>
    <w:p w14:paraId="0CF13214" w14:textId="77777777" w:rsidR="00083725" w:rsidRDefault="00083725" w:rsidP="00591FE5">
      <w:pPr>
        <w:pStyle w:val="ListParagraph"/>
        <w:numPr>
          <w:ilvl w:val="0"/>
          <w:numId w:val="2"/>
        </w:numPr>
        <w:jc w:val="both"/>
      </w:pPr>
      <w:r w:rsidRPr="00647930">
        <w:t xml:space="preserve">Lithium: increased </w:t>
      </w:r>
      <w:r>
        <w:t>original ecoinvent value</w:t>
      </w:r>
      <w:r w:rsidRPr="00647930">
        <w:t xml:space="preserve"> </w:t>
      </w:r>
      <w:r>
        <w:t>a</w:t>
      </w:r>
      <w:r w:rsidRPr="00647930">
        <w:t xml:space="preserve"> 30%.</w:t>
      </w:r>
    </w:p>
    <w:p w14:paraId="1C1AEFC7" w14:textId="77777777" w:rsidR="00083725" w:rsidRDefault="00083725" w:rsidP="00591FE5">
      <w:pPr>
        <w:pStyle w:val="ListParagraph"/>
        <w:numPr>
          <w:ilvl w:val="0"/>
          <w:numId w:val="2"/>
        </w:numPr>
        <w:jc w:val="both"/>
      </w:pPr>
      <w:r w:rsidRPr="00647930">
        <w:t>Manganese (battery applications): increased from 0% to 10%.</w:t>
      </w:r>
    </w:p>
    <w:p w14:paraId="506D55D9" w14:textId="77777777" w:rsidR="00083725" w:rsidRDefault="00083725" w:rsidP="00591FE5">
      <w:pPr>
        <w:pStyle w:val="ListParagraph"/>
        <w:numPr>
          <w:ilvl w:val="0"/>
          <w:numId w:val="2"/>
        </w:numPr>
        <w:jc w:val="both"/>
      </w:pPr>
      <w:r w:rsidRPr="00647930">
        <w:t xml:space="preserve">Nickel: increased </w:t>
      </w:r>
      <w:r>
        <w:t>original ecoinvent value</w:t>
      </w:r>
      <w:r w:rsidRPr="00647930">
        <w:t xml:space="preserve"> </w:t>
      </w:r>
      <w:r>
        <w:t>a</w:t>
      </w:r>
      <w:r w:rsidRPr="00647930">
        <w:t xml:space="preserve"> 30%.</w:t>
      </w:r>
    </w:p>
    <w:p w14:paraId="0D833449" w14:textId="77777777" w:rsidR="00083725" w:rsidRDefault="00083725" w:rsidP="00591FE5">
      <w:pPr>
        <w:pStyle w:val="ListParagraph"/>
        <w:numPr>
          <w:ilvl w:val="0"/>
          <w:numId w:val="2"/>
        </w:numPr>
        <w:jc w:val="both"/>
      </w:pPr>
      <w:r w:rsidRPr="00647930">
        <w:t>Platinum group metals: unchanged, as existing recycling rates are already high at around 30% and close to observed saturation levels.</w:t>
      </w:r>
    </w:p>
    <w:p w14:paraId="7D798ECF" w14:textId="77777777" w:rsidR="00083725" w:rsidRDefault="00083725" w:rsidP="00591FE5">
      <w:pPr>
        <w:pStyle w:val="ListParagraph"/>
        <w:numPr>
          <w:ilvl w:val="0"/>
          <w:numId w:val="2"/>
        </w:numPr>
        <w:jc w:val="both"/>
      </w:pPr>
      <w:r w:rsidRPr="00647930">
        <w:t xml:space="preserve">Rare earth elements: increased </w:t>
      </w:r>
      <w:r>
        <w:t>ecoinvent value a</w:t>
      </w:r>
      <w:r w:rsidRPr="00647930">
        <w:t xml:space="preserve"> 35%.</w:t>
      </w:r>
    </w:p>
    <w:p w14:paraId="3B68A78A" w14:textId="77777777" w:rsidR="00083725" w:rsidRDefault="00083725" w:rsidP="00591FE5">
      <w:pPr>
        <w:pStyle w:val="ListParagraph"/>
        <w:numPr>
          <w:ilvl w:val="0"/>
          <w:numId w:val="2"/>
        </w:numPr>
        <w:jc w:val="both"/>
      </w:pPr>
      <w:r>
        <w:t>Silver: increased original ecoinvent value a 40%.</w:t>
      </w:r>
    </w:p>
    <w:p w14:paraId="38F03B37" w14:textId="77777777" w:rsidR="00083725" w:rsidRDefault="00083725" w:rsidP="00591FE5">
      <w:pPr>
        <w:pStyle w:val="ListParagraph"/>
        <w:numPr>
          <w:ilvl w:val="0"/>
          <w:numId w:val="2"/>
        </w:numPr>
        <w:jc w:val="both"/>
      </w:pPr>
      <w:r w:rsidRPr="00647930">
        <w:t xml:space="preserve">Steel: no modification, as </w:t>
      </w:r>
      <w:r>
        <w:t>its production is explicitly modelled in the IAM scenarios</w:t>
      </w:r>
      <w:r w:rsidRPr="00647930">
        <w:t>.</w:t>
      </w:r>
    </w:p>
    <w:p w14:paraId="731C7DE6" w14:textId="77777777" w:rsidR="00083725" w:rsidRDefault="00083725" w:rsidP="00591FE5">
      <w:pPr>
        <w:pStyle w:val="ListParagraph"/>
        <w:numPr>
          <w:ilvl w:val="0"/>
          <w:numId w:val="2"/>
        </w:numPr>
        <w:jc w:val="both"/>
      </w:pPr>
      <w:r>
        <w:t>Zinc: increased original ecoinvent value a 30%.</w:t>
      </w:r>
    </w:p>
    <w:p w14:paraId="7EDD91D4" w14:textId="6347B3B9" w:rsidR="00591FE5" w:rsidRPr="00591FE5" w:rsidRDefault="00CF2974" w:rsidP="00591FE5">
      <w:pPr>
        <w:jc w:val="both"/>
      </w:pPr>
      <w:r w:rsidRPr="00CF2974">
        <w:t>Recycling rates are increased linearly from 2020 to 2050 and held constant thereafter.</w:t>
      </w:r>
      <w:r w:rsidR="00591FE5">
        <w:t xml:space="preserve"> </w:t>
      </w:r>
      <w:r w:rsidR="00591FE5" w:rsidRPr="00591FE5">
        <w:t>Despite these adjustments, the central findings of the study remain unchanged:</w:t>
      </w:r>
    </w:p>
    <w:p w14:paraId="15307E49" w14:textId="13B96115" w:rsidR="00591FE5" w:rsidRPr="00591FE5" w:rsidRDefault="00591FE5" w:rsidP="00591FE5">
      <w:pPr>
        <w:pStyle w:val="ListParagraph"/>
        <w:numPr>
          <w:ilvl w:val="0"/>
          <w:numId w:val="1"/>
        </w:numPr>
        <w:jc w:val="both"/>
      </w:pPr>
      <w:r w:rsidRPr="00591FE5">
        <w:t>Ambitious mitigation pathways continue to shift metal demand forward in time, resulting in sharper near-term extraction requirements.</w:t>
      </w:r>
    </w:p>
    <w:p w14:paraId="00696B33" w14:textId="77777777" w:rsidR="00591FE5" w:rsidRPr="00591FE5" w:rsidRDefault="00591FE5" w:rsidP="00591FE5">
      <w:pPr>
        <w:numPr>
          <w:ilvl w:val="0"/>
          <w:numId w:val="1"/>
        </w:numPr>
        <w:jc w:val="both"/>
      </w:pPr>
      <w:r w:rsidRPr="00591FE5">
        <w:t>Cumulative extraction over the century remains broadly similar across warming categories.</w:t>
      </w:r>
    </w:p>
    <w:p w14:paraId="67422B3D" w14:textId="2CC3378D" w:rsidR="00591FE5" w:rsidRPr="00591FE5" w:rsidRDefault="00591FE5" w:rsidP="00591FE5">
      <w:pPr>
        <w:numPr>
          <w:ilvl w:val="0"/>
          <w:numId w:val="1"/>
        </w:numPr>
        <w:jc w:val="both"/>
      </w:pPr>
      <w:r w:rsidRPr="00591FE5">
        <w:t xml:space="preserve">The comparative environmental performance of pathways across </w:t>
      </w:r>
      <w:r w:rsidR="00C52A59">
        <w:t xml:space="preserve">environmental categories </w:t>
      </w:r>
      <w:r w:rsidRPr="00591FE5">
        <w:t>is not materially altered.</w:t>
      </w:r>
    </w:p>
    <w:p w14:paraId="7081A757" w14:textId="432AB729" w:rsidR="00591FE5" w:rsidRPr="00591FE5" w:rsidRDefault="00591FE5" w:rsidP="00591FE5">
      <w:pPr>
        <w:jc w:val="both"/>
      </w:pPr>
      <w:r w:rsidRPr="00591FE5">
        <w:t>These results indicate that while enhanced recycling can moderate primary extraction pressures for certain metals</w:t>
      </w:r>
      <w:r>
        <w:t xml:space="preserve"> and is certainly a lever </w:t>
      </w:r>
      <w:r w:rsidR="000440F0">
        <w:t>to match supply and demand</w:t>
      </w:r>
      <w:r w:rsidRPr="00591FE5">
        <w:t>, it does not fundamentally alter the structural patterns identified in the main analysis.</w:t>
      </w:r>
    </w:p>
    <w:p w14:paraId="6142543C" w14:textId="16BAA4A6" w:rsidR="00F428B7" w:rsidRPr="00F428B7" w:rsidRDefault="00F428B7" w:rsidP="00F428B7">
      <w:r w:rsidRPr="00F428B7">
        <w:lastRenderedPageBreak/>
        <w:t> </w:t>
      </w:r>
      <w:r w:rsidR="00450166">
        <w:rPr>
          <w:noProof/>
        </w:rPr>
        <w:drawing>
          <wp:inline distT="0" distB="0" distL="0" distR="0" wp14:anchorId="114B3EC9" wp14:editId="35B8E571">
            <wp:extent cx="5943600" cy="3785870"/>
            <wp:effectExtent l="0" t="0" r="0" b="5080"/>
            <wp:docPr id="18467733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73327" name="Picture 18467733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785870"/>
                    </a:xfrm>
                    <a:prstGeom prst="rect">
                      <a:avLst/>
                    </a:prstGeom>
                  </pic:spPr>
                </pic:pic>
              </a:graphicData>
            </a:graphic>
          </wp:inline>
        </w:drawing>
      </w:r>
    </w:p>
    <w:p w14:paraId="48A67855" w14:textId="2F2AFA17" w:rsidR="00F428B7" w:rsidRDefault="00F428B7" w:rsidP="006D76D7">
      <w:pPr>
        <w:jc w:val="both"/>
        <w:rPr>
          <w:color w:val="002060"/>
          <w:sz w:val="18"/>
          <w:szCs w:val="18"/>
        </w:rPr>
      </w:pPr>
      <w:r w:rsidRPr="00F428B7">
        <w:rPr>
          <w:b/>
          <w:bCs/>
          <w:color w:val="002060"/>
          <w:sz w:val="18"/>
          <w:szCs w:val="18"/>
        </w:rPr>
        <w:t xml:space="preserve">Figure </w:t>
      </w:r>
      <w:r w:rsidR="00057170" w:rsidRPr="613416B7">
        <w:rPr>
          <w:b/>
          <w:bCs/>
          <w:color w:val="002060"/>
          <w:sz w:val="18"/>
          <w:szCs w:val="18"/>
        </w:rPr>
        <w:t>SI</w:t>
      </w:r>
      <w:r w:rsidR="002C46EB">
        <w:rPr>
          <w:b/>
          <w:bCs/>
          <w:color w:val="002060"/>
          <w:sz w:val="18"/>
          <w:szCs w:val="18"/>
        </w:rPr>
        <w:t>6</w:t>
      </w:r>
      <w:r w:rsidRPr="613416B7">
        <w:rPr>
          <w:b/>
          <w:bCs/>
          <w:color w:val="002060"/>
          <w:sz w:val="18"/>
          <w:szCs w:val="18"/>
        </w:rPr>
        <w:t xml:space="preserve"> | </w:t>
      </w:r>
      <w:r w:rsidR="163F4501" w:rsidRPr="613416B7">
        <w:rPr>
          <w:b/>
          <w:bCs/>
          <w:color w:val="002060"/>
          <w:sz w:val="18"/>
          <w:szCs w:val="18"/>
        </w:rPr>
        <w:t>Annual e</w:t>
      </w:r>
      <w:r w:rsidRPr="613416B7">
        <w:rPr>
          <w:b/>
          <w:bCs/>
          <w:color w:val="002060"/>
          <w:sz w:val="18"/>
          <w:szCs w:val="18"/>
        </w:rPr>
        <w:t xml:space="preserve">nvironmental </w:t>
      </w:r>
      <w:r w:rsidRPr="00F428B7">
        <w:rPr>
          <w:b/>
          <w:bCs/>
          <w:color w:val="002060"/>
          <w:sz w:val="18"/>
          <w:szCs w:val="18"/>
        </w:rPr>
        <w:t>impacts of global final energy provision across climate mitigation pathways</w:t>
      </w:r>
      <w:r w:rsidR="5B253D10" w:rsidRPr="613416B7">
        <w:rPr>
          <w:b/>
          <w:bCs/>
          <w:color w:val="002060"/>
          <w:sz w:val="18"/>
          <w:szCs w:val="18"/>
        </w:rPr>
        <w:t xml:space="preserve"> in the case</w:t>
      </w:r>
      <w:r w:rsidRPr="613416B7">
        <w:rPr>
          <w:b/>
          <w:color w:val="002060"/>
          <w:sz w:val="18"/>
          <w:szCs w:val="18"/>
        </w:rPr>
        <w:t xml:space="preserve"> of </w:t>
      </w:r>
      <w:r w:rsidR="5B253D10" w:rsidRPr="613416B7">
        <w:rPr>
          <w:b/>
          <w:bCs/>
          <w:color w:val="002060"/>
          <w:sz w:val="18"/>
          <w:szCs w:val="18"/>
        </w:rPr>
        <w:t>increased recycling input rates</w:t>
      </w:r>
      <w:r w:rsidRPr="613416B7">
        <w:rPr>
          <w:b/>
          <w:bCs/>
          <w:color w:val="002060"/>
          <w:sz w:val="18"/>
          <w:szCs w:val="18"/>
        </w:rPr>
        <w:t>.</w:t>
      </w:r>
      <w:r w:rsidRPr="613416B7">
        <w:rPr>
          <w:color w:val="002060"/>
          <w:sz w:val="18"/>
          <w:szCs w:val="18"/>
        </w:rPr>
        <w:t xml:space="preserve"> </w:t>
      </w:r>
      <w:r w:rsidR="13977E81" w:rsidRPr="613416B7">
        <w:rPr>
          <w:color w:val="002060"/>
          <w:sz w:val="18"/>
          <w:szCs w:val="18"/>
        </w:rPr>
        <w:t>Percentage change in annual impacts relative to 2020</w:t>
      </w:r>
      <w:r w:rsidR="0013286F">
        <w:rPr>
          <w:color w:val="002060"/>
          <w:sz w:val="18"/>
          <w:szCs w:val="18"/>
        </w:rPr>
        <w:t>,</w:t>
      </w:r>
      <w:r w:rsidR="13977E81" w:rsidRPr="613416B7">
        <w:rPr>
          <w:color w:val="002060"/>
          <w:sz w:val="18"/>
          <w:szCs w:val="18"/>
        </w:rPr>
        <w:t xml:space="preserve"> from 2020 to 2100</w:t>
      </w:r>
      <w:r w:rsidR="0013286F">
        <w:rPr>
          <w:color w:val="002060"/>
          <w:sz w:val="18"/>
          <w:szCs w:val="18"/>
        </w:rPr>
        <w:t>,</w:t>
      </w:r>
      <w:r w:rsidR="13977E81" w:rsidRPr="613416B7">
        <w:rPr>
          <w:color w:val="002060"/>
          <w:sz w:val="18"/>
          <w:szCs w:val="18"/>
        </w:rPr>
        <w:t xml:space="preserve"> across ten environmental indicators and 24 mitigation pathways. </w:t>
      </w:r>
      <w:r w:rsidRPr="00F428B7">
        <w:rPr>
          <w:color w:val="002060"/>
          <w:sz w:val="18"/>
          <w:szCs w:val="18"/>
        </w:rPr>
        <w:t>Panels are organi</w:t>
      </w:r>
      <w:r w:rsidR="004128C0">
        <w:rPr>
          <w:color w:val="002060"/>
          <w:sz w:val="18"/>
          <w:szCs w:val="18"/>
        </w:rPr>
        <w:t>s</w:t>
      </w:r>
      <w:r w:rsidRPr="00F428B7">
        <w:rPr>
          <w:color w:val="002060"/>
          <w:sz w:val="18"/>
          <w:szCs w:val="18"/>
        </w:rPr>
        <w:t>ed by area of protection: ecosystem quality (</w:t>
      </w:r>
      <w:r w:rsidR="13977E81" w:rsidRPr="613416B7">
        <w:rPr>
          <w:color w:val="002060"/>
          <w:sz w:val="18"/>
          <w:szCs w:val="18"/>
        </w:rPr>
        <w:t>total ecosystem quality in local species loss over time</w:t>
      </w:r>
      <w:r w:rsidRPr="00F428B7">
        <w:rPr>
          <w:color w:val="002060"/>
          <w:sz w:val="18"/>
          <w:szCs w:val="18"/>
        </w:rPr>
        <w:t xml:space="preserve">, acidification, freshwater ecotoxicity, freshwater eutrophication), human health (total human health in DALYs, particulate matter formation, photochemical ozone formation), and natural resources (land use, freshwater use, mineral resource </w:t>
      </w:r>
      <w:r w:rsidR="13977E81" w:rsidRPr="613416B7">
        <w:rPr>
          <w:color w:val="002060"/>
          <w:sz w:val="18"/>
          <w:szCs w:val="18"/>
        </w:rPr>
        <w:t>scarcity).</w:t>
      </w:r>
      <w:r w:rsidRPr="00F428B7">
        <w:rPr>
          <w:color w:val="002060"/>
          <w:sz w:val="18"/>
          <w:szCs w:val="18"/>
        </w:rPr>
        <w:t xml:space="preserve"> The horizontal dashed line marks </w:t>
      </w:r>
      <w:r w:rsidR="13977E81" w:rsidRPr="613416B7">
        <w:rPr>
          <w:color w:val="002060"/>
          <w:sz w:val="18"/>
          <w:szCs w:val="18"/>
        </w:rPr>
        <w:t xml:space="preserve">zero change relative to </w:t>
      </w:r>
      <w:r w:rsidRPr="00F428B7">
        <w:rPr>
          <w:color w:val="002060"/>
          <w:sz w:val="18"/>
          <w:szCs w:val="18"/>
        </w:rPr>
        <w:t xml:space="preserve">the 2020 </w:t>
      </w:r>
      <w:r w:rsidR="13977E81" w:rsidRPr="613416B7">
        <w:rPr>
          <w:color w:val="002060"/>
          <w:sz w:val="18"/>
          <w:szCs w:val="18"/>
        </w:rPr>
        <w:t>baseline.</w:t>
      </w:r>
      <w:r w:rsidRPr="00F428B7">
        <w:rPr>
          <w:color w:val="002060"/>
          <w:sz w:val="18"/>
          <w:szCs w:val="18"/>
        </w:rPr>
        <w:t xml:space="preserve"> </w:t>
      </w:r>
      <w:r w:rsidR="00746AA1" w:rsidRPr="006D76D7">
        <w:rPr>
          <w:color w:val="002060"/>
          <w:sz w:val="18"/>
          <w:szCs w:val="18"/>
        </w:rPr>
        <w:t xml:space="preserve">Colours indicate end-of-century global mean surface temperature (GMST) outcomes, </w:t>
      </w:r>
      <w:r w:rsidR="13977E81" w:rsidRPr="613416B7">
        <w:rPr>
          <w:color w:val="002060"/>
          <w:sz w:val="18"/>
          <w:szCs w:val="18"/>
        </w:rPr>
        <w:t xml:space="preserve">marker shapes denote </w:t>
      </w:r>
      <w:r w:rsidR="7A23A0B4" w:rsidRPr="613416B7">
        <w:rPr>
          <w:color w:val="002060"/>
          <w:sz w:val="18"/>
          <w:szCs w:val="18"/>
        </w:rPr>
        <w:t xml:space="preserve">Integrated Assessment Models </w:t>
      </w:r>
      <w:r w:rsidR="2B37A129" w:rsidRPr="613416B7">
        <w:rPr>
          <w:color w:val="002060"/>
          <w:sz w:val="18"/>
          <w:szCs w:val="18"/>
        </w:rPr>
        <w:t>(</w:t>
      </w:r>
      <w:r w:rsidR="13977E81" w:rsidRPr="613416B7">
        <w:rPr>
          <w:color w:val="002060"/>
          <w:sz w:val="18"/>
          <w:szCs w:val="18"/>
        </w:rPr>
        <w:t>IAM</w:t>
      </w:r>
      <w:r w:rsidR="352E75CF" w:rsidRPr="613416B7">
        <w:rPr>
          <w:color w:val="002060"/>
          <w:sz w:val="18"/>
          <w:szCs w:val="18"/>
        </w:rPr>
        <w:t>s)</w:t>
      </w:r>
      <w:r w:rsidR="13977E81" w:rsidRPr="613416B7">
        <w:rPr>
          <w:color w:val="002060"/>
          <w:sz w:val="18"/>
          <w:szCs w:val="18"/>
        </w:rPr>
        <w:t xml:space="preserve">, and line styles represent </w:t>
      </w:r>
      <w:r w:rsidR="7867161B" w:rsidRPr="613416B7">
        <w:rPr>
          <w:color w:val="002060"/>
          <w:sz w:val="18"/>
          <w:szCs w:val="18"/>
        </w:rPr>
        <w:t xml:space="preserve">Shared Socioeconomic Pathways </w:t>
      </w:r>
      <w:r w:rsidR="65D0F1E0" w:rsidRPr="613416B7">
        <w:rPr>
          <w:color w:val="002060"/>
          <w:sz w:val="18"/>
          <w:szCs w:val="18"/>
        </w:rPr>
        <w:t>(</w:t>
      </w:r>
      <w:r w:rsidR="13977E81" w:rsidRPr="613416B7">
        <w:rPr>
          <w:color w:val="002060"/>
          <w:sz w:val="18"/>
          <w:szCs w:val="18"/>
        </w:rPr>
        <w:t>SSP</w:t>
      </w:r>
      <w:r w:rsidR="6FB4835A" w:rsidRPr="613416B7">
        <w:rPr>
          <w:color w:val="002060"/>
          <w:sz w:val="18"/>
          <w:szCs w:val="18"/>
        </w:rPr>
        <w:t>s</w:t>
      </w:r>
      <w:r w:rsidR="79CD4C54" w:rsidRPr="613416B7">
        <w:rPr>
          <w:color w:val="002060"/>
          <w:sz w:val="18"/>
          <w:szCs w:val="18"/>
        </w:rPr>
        <w:t>)</w:t>
      </w:r>
      <w:r w:rsidR="13977E81" w:rsidRPr="613416B7">
        <w:rPr>
          <w:color w:val="002060"/>
          <w:sz w:val="18"/>
          <w:szCs w:val="18"/>
        </w:rPr>
        <w:t>, all as in Fig. SI1.</w:t>
      </w:r>
    </w:p>
    <w:p w14:paraId="326BB826" w14:textId="51574C2B" w:rsidR="006D76D7" w:rsidRPr="00F428B7" w:rsidRDefault="005E134E" w:rsidP="00F428B7">
      <w:pPr>
        <w:rPr>
          <w:i/>
          <w:iCs/>
          <w:color w:val="002060"/>
          <w:sz w:val="18"/>
          <w:szCs w:val="18"/>
        </w:rPr>
      </w:pPr>
      <w:r>
        <w:rPr>
          <w:i/>
          <w:iCs/>
          <w:noProof/>
          <w:color w:val="002060"/>
          <w:sz w:val="18"/>
          <w:szCs w:val="18"/>
        </w:rPr>
        <w:lastRenderedPageBreak/>
        <w:drawing>
          <wp:inline distT="0" distB="0" distL="0" distR="0" wp14:anchorId="1D11F001" wp14:editId="72AD7052">
            <wp:extent cx="5943600" cy="5008245"/>
            <wp:effectExtent l="0" t="0" r="0" b="1905"/>
            <wp:docPr id="13605240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24048" name="Picture 13605240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008245"/>
                    </a:xfrm>
                    <a:prstGeom prst="rect">
                      <a:avLst/>
                    </a:prstGeom>
                  </pic:spPr>
                </pic:pic>
              </a:graphicData>
            </a:graphic>
          </wp:inline>
        </w:drawing>
      </w:r>
    </w:p>
    <w:p w14:paraId="0931EDE0" w14:textId="155C0881" w:rsidR="257530F9" w:rsidRPr="000440F0" w:rsidRDefault="00057170" w:rsidP="613416B7">
      <w:pPr>
        <w:spacing w:after="200"/>
        <w:jc w:val="both"/>
        <w:rPr>
          <w:rFonts w:ascii="Aptos" w:eastAsia="Aptos" w:hAnsi="Aptos" w:cs="Aptos"/>
          <w:color w:val="0E2841" w:themeColor="text2"/>
          <w:sz w:val="18"/>
          <w:szCs w:val="18"/>
        </w:rPr>
      </w:pPr>
      <w:r w:rsidRPr="613416B7">
        <w:rPr>
          <w:rFonts w:ascii="Aptos" w:eastAsia="Aptos" w:hAnsi="Aptos" w:cs="Aptos"/>
          <w:b/>
          <w:color w:val="0E2841" w:themeColor="text2"/>
          <w:sz w:val="18"/>
          <w:szCs w:val="18"/>
        </w:rPr>
        <w:t xml:space="preserve">Figure </w:t>
      </w:r>
      <w:r w:rsidR="31A210A6" w:rsidRPr="613416B7">
        <w:rPr>
          <w:rFonts w:ascii="Aptos" w:eastAsia="Aptos" w:hAnsi="Aptos" w:cs="Aptos"/>
          <w:b/>
          <w:bCs/>
          <w:color w:val="0E2841" w:themeColor="text2"/>
          <w:sz w:val="18"/>
          <w:szCs w:val="18"/>
        </w:rPr>
        <w:t>SI</w:t>
      </w:r>
      <w:r w:rsidR="00691921">
        <w:rPr>
          <w:rFonts w:ascii="Aptos" w:eastAsia="Aptos" w:hAnsi="Aptos" w:cs="Aptos"/>
          <w:b/>
          <w:bCs/>
          <w:color w:val="0E2841" w:themeColor="text2"/>
          <w:sz w:val="18"/>
          <w:szCs w:val="18"/>
        </w:rPr>
        <w:t>7</w:t>
      </w:r>
      <w:r w:rsidRPr="613416B7">
        <w:rPr>
          <w:rFonts w:ascii="Aptos" w:eastAsia="Aptos" w:hAnsi="Aptos" w:cs="Aptos"/>
          <w:b/>
          <w:color w:val="0E2841" w:themeColor="text2"/>
          <w:sz w:val="18"/>
          <w:szCs w:val="18"/>
        </w:rPr>
        <w:t xml:space="preserve"> | Timing and scale of metal demand across energy system pathways</w:t>
      </w:r>
      <w:r w:rsidR="5A2C9B19" w:rsidRPr="613416B7">
        <w:rPr>
          <w:rFonts w:ascii="Aptos" w:eastAsia="Aptos" w:hAnsi="Aptos" w:cs="Aptos"/>
          <w:b/>
          <w:bCs/>
          <w:color w:val="0E2841" w:themeColor="text2"/>
          <w:sz w:val="18"/>
          <w:szCs w:val="18"/>
        </w:rPr>
        <w:t xml:space="preserve"> in the case of increased recycling input rates</w:t>
      </w:r>
      <w:r w:rsidR="31A210A6" w:rsidRPr="613416B7">
        <w:rPr>
          <w:rFonts w:ascii="Aptos" w:eastAsia="Aptos" w:hAnsi="Aptos" w:cs="Aptos"/>
          <w:b/>
          <w:bCs/>
          <w:color w:val="0E2841" w:themeColor="text2"/>
          <w:sz w:val="18"/>
          <w:szCs w:val="18"/>
        </w:rPr>
        <w:t>.</w:t>
      </w:r>
      <w:r w:rsidRPr="613416B7">
        <w:rPr>
          <w:rFonts w:ascii="Aptos" w:eastAsia="Aptos" w:hAnsi="Aptos" w:cs="Aptos"/>
          <w:b/>
          <w:color w:val="0E2841" w:themeColor="text2"/>
          <w:sz w:val="18"/>
          <w:szCs w:val="18"/>
        </w:rPr>
        <w:t xml:space="preserve"> </w:t>
      </w:r>
      <w:r w:rsidRPr="613416B7">
        <w:rPr>
          <w:rFonts w:ascii="Aptos" w:eastAsia="Aptos" w:hAnsi="Aptos" w:cs="Aptos"/>
          <w:color w:val="0E2841" w:themeColor="text2"/>
          <w:sz w:val="18"/>
          <w:szCs w:val="18"/>
        </w:rPr>
        <w:t xml:space="preserve">Trajectories of annual primary metal extraction from 2020 to 2100 across 24 energy system pathways, shown for bulk metals (copper, iron, nickel, zinc), battery metals (lithium, cobalt, manganese), and precious metals and rare earth elements (platinum group metals, silver, rare earth elements). Insets show cumulative primary extraction from 2020 to 2100 for each pathway. Horizontal solid lines indicate 2023 global </w:t>
      </w:r>
      <w:r w:rsidR="31A210A6" w:rsidRPr="613416B7">
        <w:rPr>
          <w:rFonts w:ascii="Aptos" w:eastAsia="Aptos" w:hAnsi="Aptos" w:cs="Aptos"/>
          <w:color w:val="0E2841" w:themeColor="text2"/>
          <w:sz w:val="18"/>
          <w:szCs w:val="18"/>
        </w:rPr>
        <w:t>primary metal</w:t>
      </w:r>
      <w:r w:rsidRPr="613416B7">
        <w:rPr>
          <w:rFonts w:ascii="Aptos" w:eastAsia="Aptos" w:hAnsi="Aptos" w:cs="Aptos"/>
          <w:color w:val="0E2841" w:themeColor="text2"/>
          <w:sz w:val="18"/>
          <w:szCs w:val="18"/>
        </w:rPr>
        <w:t xml:space="preserve"> production, and horizontal dashed lines indicate 2023 reserves for each </w:t>
      </w:r>
      <w:r w:rsidR="31A210A6" w:rsidRPr="613416B7">
        <w:rPr>
          <w:rFonts w:ascii="Aptos" w:eastAsia="Aptos" w:hAnsi="Aptos" w:cs="Aptos"/>
          <w:color w:val="0E2841" w:themeColor="text2"/>
          <w:sz w:val="18"/>
          <w:szCs w:val="18"/>
        </w:rPr>
        <w:t>metal.</w:t>
      </w:r>
      <w:r w:rsidRPr="613416B7">
        <w:rPr>
          <w:rFonts w:ascii="Aptos" w:eastAsia="Aptos" w:hAnsi="Aptos" w:cs="Aptos"/>
          <w:color w:val="0E2841" w:themeColor="text2"/>
          <w:sz w:val="18"/>
          <w:szCs w:val="18"/>
        </w:rPr>
        <w:t xml:space="preserve"> Colours indicate end-of-century global mean surface temperature </w:t>
      </w:r>
      <w:r w:rsidR="7B87DC92" w:rsidRPr="613416B7">
        <w:rPr>
          <w:rFonts w:ascii="Aptos" w:eastAsia="Aptos" w:hAnsi="Aptos" w:cs="Aptos"/>
          <w:color w:val="0E2841" w:themeColor="text2"/>
          <w:sz w:val="18"/>
          <w:szCs w:val="18"/>
        </w:rPr>
        <w:t>(GMST)</w:t>
      </w:r>
      <w:r w:rsidR="31A210A6" w:rsidRPr="613416B7">
        <w:rPr>
          <w:rFonts w:ascii="Aptos" w:eastAsia="Aptos" w:hAnsi="Aptos" w:cs="Aptos"/>
          <w:color w:val="0E2841" w:themeColor="text2"/>
          <w:sz w:val="18"/>
          <w:szCs w:val="18"/>
        </w:rPr>
        <w:t xml:space="preserve"> </w:t>
      </w:r>
      <w:r w:rsidRPr="613416B7">
        <w:rPr>
          <w:rFonts w:ascii="Aptos" w:eastAsia="Aptos" w:hAnsi="Aptos" w:cs="Aptos"/>
          <w:color w:val="0E2841" w:themeColor="text2"/>
          <w:sz w:val="18"/>
          <w:szCs w:val="18"/>
        </w:rPr>
        <w:t>outcomes, marker shapes denote Integrated Assessment Models</w:t>
      </w:r>
      <w:r w:rsidR="33BFBD70" w:rsidRPr="613416B7">
        <w:rPr>
          <w:rFonts w:ascii="Aptos" w:eastAsia="Aptos" w:hAnsi="Aptos" w:cs="Aptos"/>
          <w:color w:val="0E2841" w:themeColor="text2"/>
          <w:sz w:val="18"/>
          <w:szCs w:val="18"/>
        </w:rPr>
        <w:t xml:space="preserve"> (IAMs)</w:t>
      </w:r>
      <w:r w:rsidR="31A210A6" w:rsidRPr="613416B7">
        <w:rPr>
          <w:rFonts w:ascii="Aptos" w:eastAsia="Aptos" w:hAnsi="Aptos" w:cs="Aptos"/>
          <w:color w:val="0E2841" w:themeColor="text2"/>
          <w:sz w:val="18"/>
          <w:szCs w:val="18"/>
        </w:rPr>
        <w:t>,</w:t>
      </w:r>
      <w:r w:rsidRPr="613416B7">
        <w:rPr>
          <w:rFonts w:ascii="Aptos" w:eastAsia="Aptos" w:hAnsi="Aptos" w:cs="Aptos"/>
          <w:color w:val="0E2841" w:themeColor="text2"/>
          <w:sz w:val="18"/>
          <w:szCs w:val="18"/>
        </w:rPr>
        <w:t xml:space="preserve"> and line styles represent Shared Socioeconomic Pathways</w:t>
      </w:r>
      <w:r w:rsidR="1BFB6727" w:rsidRPr="613416B7">
        <w:rPr>
          <w:rFonts w:ascii="Aptos" w:eastAsia="Aptos" w:hAnsi="Aptos" w:cs="Aptos"/>
          <w:color w:val="0E2841" w:themeColor="text2"/>
          <w:sz w:val="18"/>
          <w:szCs w:val="18"/>
        </w:rPr>
        <w:t xml:space="preserve"> (SSPs)</w:t>
      </w:r>
      <w:r w:rsidR="31A210A6" w:rsidRPr="613416B7">
        <w:rPr>
          <w:rFonts w:ascii="Aptos" w:eastAsia="Aptos" w:hAnsi="Aptos" w:cs="Aptos"/>
          <w:color w:val="0E2841" w:themeColor="text2"/>
          <w:sz w:val="18"/>
          <w:szCs w:val="18"/>
        </w:rPr>
        <w:t>,</w:t>
      </w:r>
      <w:r w:rsidRPr="613416B7">
        <w:rPr>
          <w:rFonts w:ascii="Aptos" w:eastAsia="Aptos" w:hAnsi="Aptos" w:cs="Aptos"/>
          <w:color w:val="0E2841" w:themeColor="text2"/>
          <w:sz w:val="18"/>
          <w:szCs w:val="18"/>
        </w:rPr>
        <w:t xml:space="preserve"> all as in Fig. SI1.</w:t>
      </w:r>
    </w:p>
    <w:p w14:paraId="5CD7C143" w14:textId="1A954EBD" w:rsidR="257530F9" w:rsidRPr="000440F0" w:rsidRDefault="257530F9" w:rsidP="613416B7">
      <w:pPr>
        <w:spacing w:after="0"/>
        <w:jc w:val="both"/>
      </w:pPr>
    </w:p>
    <w:p w14:paraId="78D418BE" w14:textId="7E155798" w:rsidR="257530F9" w:rsidRPr="000440F0" w:rsidRDefault="257530F9" w:rsidP="000440F0">
      <w:pPr>
        <w:jc w:val="both"/>
        <w:rPr>
          <w:b/>
          <w:sz w:val="18"/>
          <w:szCs w:val="18"/>
        </w:rPr>
      </w:pPr>
    </w:p>
    <w:p w14:paraId="6694F705" w14:textId="615FD735" w:rsidR="2428BD21" w:rsidRDefault="2428BD21" w:rsidP="2428BD21"/>
    <w:sectPr w:rsidR="2428BD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B2CC3"/>
    <w:multiLevelType w:val="multilevel"/>
    <w:tmpl w:val="AE4076E4"/>
    <w:lvl w:ilvl="0">
      <w:start w:val="1"/>
      <w:numFmt w:val="lowerRoman"/>
      <w:lvlText w:val="%1."/>
      <w:lvlJc w:val="left"/>
      <w:pPr>
        <w:tabs>
          <w:tab w:val="num" w:pos="720"/>
        </w:tabs>
        <w:ind w:left="720" w:hanging="360"/>
      </w:pPr>
      <w:rPr>
        <w:rFonts w:asciiTheme="minorHAnsi" w:eastAsiaTheme="minorEastAsia"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D24577D"/>
    <w:multiLevelType w:val="hybridMultilevel"/>
    <w:tmpl w:val="632A9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6498780">
    <w:abstractNumId w:val="0"/>
  </w:num>
  <w:num w:numId="2" w16cid:durableId="5376223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29AA3E1"/>
    <w:rsid w:val="00007501"/>
    <w:rsid w:val="000350F0"/>
    <w:rsid w:val="000440F0"/>
    <w:rsid w:val="0005127C"/>
    <w:rsid w:val="00057170"/>
    <w:rsid w:val="00062A8D"/>
    <w:rsid w:val="00064EB0"/>
    <w:rsid w:val="00075258"/>
    <w:rsid w:val="00083725"/>
    <w:rsid w:val="000E5450"/>
    <w:rsid w:val="000E63EE"/>
    <w:rsid w:val="001029FD"/>
    <w:rsid w:val="001212AF"/>
    <w:rsid w:val="00121C11"/>
    <w:rsid w:val="0012621C"/>
    <w:rsid w:val="0013286F"/>
    <w:rsid w:val="0015288E"/>
    <w:rsid w:val="00155A6A"/>
    <w:rsid w:val="0017348D"/>
    <w:rsid w:val="00173597"/>
    <w:rsid w:val="00177650"/>
    <w:rsid w:val="001B4CCA"/>
    <w:rsid w:val="001B7D43"/>
    <w:rsid w:val="002413A9"/>
    <w:rsid w:val="002603E4"/>
    <w:rsid w:val="002C281D"/>
    <w:rsid w:val="002C46EB"/>
    <w:rsid w:val="003367FB"/>
    <w:rsid w:val="00345099"/>
    <w:rsid w:val="003D5B8F"/>
    <w:rsid w:val="003E50AE"/>
    <w:rsid w:val="00404702"/>
    <w:rsid w:val="004128C0"/>
    <w:rsid w:val="004437A8"/>
    <w:rsid w:val="00446F04"/>
    <w:rsid w:val="00450166"/>
    <w:rsid w:val="00454AC1"/>
    <w:rsid w:val="00536F6B"/>
    <w:rsid w:val="00545820"/>
    <w:rsid w:val="005572C7"/>
    <w:rsid w:val="00591FE5"/>
    <w:rsid w:val="005B4711"/>
    <w:rsid w:val="005E134E"/>
    <w:rsid w:val="00604DE5"/>
    <w:rsid w:val="006408E0"/>
    <w:rsid w:val="00647930"/>
    <w:rsid w:val="006711EF"/>
    <w:rsid w:val="00691921"/>
    <w:rsid w:val="006C29CD"/>
    <w:rsid w:val="006D2AF3"/>
    <w:rsid w:val="006D530C"/>
    <w:rsid w:val="006D76D7"/>
    <w:rsid w:val="00746AA1"/>
    <w:rsid w:val="00795859"/>
    <w:rsid w:val="00807F78"/>
    <w:rsid w:val="008414E8"/>
    <w:rsid w:val="008474EC"/>
    <w:rsid w:val="00854F71"/>
    <w:rsid w:val="008655A0"/>
    <w:rsid w:val="00874AE8"/>
    <w:rsid w:val="0089305E"/>
    <w:rsid w:val="008E3E0D"/>
    <w:rsid w:val="00A51C07"/>
    <w:rsid w:val="00A710D9"/>
    <w:rsid w:val="00A922D4"/>
    <w:rsid w:val="00AE3CB5"/>
    <w:rsid w:val="00B223F2"/>
    <w:rsid w:val="00B226E4"/>
    <w:rsid w:val="00B24BDA"/>
    <w:rsid w:val="00B5465C"/>
    <w:rsid w:val="00B93E5B"/>
    <w:rsid w:val="00BD0DB2"/>
    <w:rsid w:val="00C4486F"/>
    <w:rsid w:val="00C52A59"/>
    <w:rsid w:val="00C977FF"/>
    <w:rsid w:val="00CA1CE9"/>
    <w:rsid w:val="00CB53B7"/>
    <w:rsid w:val="00CD7230"/>
    <w:rsid w:val="00CF2044"/>
    <w:rsid w:val="00CF2974"/>
    <w:rsid w:val="00D020A0"/>
    <w:rsid w:val="00D21B2D"/>
    <w:rsid w:val="00D36482"/>
    <w:rsid w:val="00D621DC"/>
    <w:rsid w:val="00D90C75"/>
    <w:rsid w:val="00DB30B2"/>
    <w:rsid w:val="00DC2243"/>
    <w:rsid w:val="00DC2F88"/>
    <w:rsid w:val="00DD1A3B"/>
    <w:rsid w:val="00E17E13"/>
    <w:rsid w:val="00E2672F"/>
    <w:rsid w:val="00E40147"/>
    <w:rsid w:val="00E7651E"/>
    <w:rsid w:val="00E77F38"/>
    <w:rsid w:val="00EA106A"/>
    <w:rsid w:val="00EE38F5"/>
    <w:rsid w:val="00F428B7"/>
    <w:rsid w:val="00F66DEC"/>
    <w:rsid w:val="00F75C1C"/>
    <w:rsid w:val="00FB4CE4"/>
    <w:rsid w:val="0890C670"/>
    <w:rsid w:val="11CA62F9"/>
    <w:rsid w:val="129AA3E1"/>
    <w:rsid w:val="13977E81"/>
    <w:rsid w:val="14D31FEB"/>
    <w:rsid w:val="15E26E3D"/>
    <w:rsid w:val="15F9921D"/>
    <w:rsid w:val="163F4501"/>
    <w:rsid w:val="1BFB6727"/>
    <w:rsid w:val="1C6B4BD6"/>
    <w:rsid w:val="2322B0BB"/>
    <w:rsid w:val="2428BD21"/>
    <w:rsid w:val="249BAF4C"/>
    <w:rsid w:val="257530F9"/>
    <w:rsid w:val="2B37A129"/>
    <w:rsid w:val="31A210A6"/>
    <w:rsid w:val="32845A9C"/>
    <w:rsid w:val="33BFBD70"/>
    <w:rsid w:val="34D9A77B"/>
    <w:rsid w:val="352E75CF"/>
    <w:rsid w:val="36FB2AF0"/>
    <w:rsid w:val="3B0795F3"/>
    <w:rsid w:val="3CD947E7"/>
    <w:rsid w:val="4A4A329D"/>
    <w:rsid w:val="5223CBDD"/>
    <w:rsid w:val="54AAF3E0"/>
    <w:rsid w:val="5A2C9B19"/>
    <w:rsid w:val="5B253D10"/>
    <w:rsid w:val="613416B7"/>
    <w:rsid w:val="635D0FDC"/>
    <w:rsid w:val="65D0F1E0"/>
    <w:rsid w:val="6FB4835A"/>
    <w:rsid w:val="716DE4C3"/>
    <w:rsid w:val="7798588E"/>
    <w:rsid w:val="7867161B"/>
    <w:rsid w:val="788FD1F4"/>
    <w:rsid w:val="79CD4C54"/>
    <w:rsid w:val="7A23A0B4"/>
    <w:rsid w:val="7B129B25"/>
    <w:rsid w:val="7B44DCC8"/>
    <w:rsid w:val="7B45278C"/>
    <w:rsid w:val="7B87DC92"/>
    <w:rsid w:val="7BE355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AA3E1"/>
  <w15:chartTrackingRefBased/>
  <w15:docId w15:val="{0F448534-8694-45CD-B851-CFB0566FC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2428BD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uiPriority w:val="9"/>
    <w:unhideWhenUsed/>
    <w:qFormat/>
    <w:rsid w:val="2428BD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7930"/>
    <w:pPr>
      <w:ind w:left="720"/>
      <w:contextualSpacing/>
    </w:pPr>
  </w:style>
  <w:style w:type="character" w:styleId="CommentReference">
    <w:name w:val="annotation reference"/>
    <w:basedOn w:val="DefaultParagraphFont"/>
    <w:uiPriority w:val="99"/>
    <w:semiHidden/>
    <w:unhideWhenUsed/>
    <w:rsid w:val="00CB53B7"/>
    <w:rPr>
      <w:sz w:val="16"/>
      <w:szCs w:val="16"/>
    </w:rPr>
  </w:style>
  <w:style w:type="paragraph" w:styleId="CommentText">
    <w:name w:val="annotation text"/>
    <w:basedOn w:val="Normal"/>
    <w:link w:val="CommentTextChar"/>
    <w:uiPriority w:val="99"/>
    <w:unhideWhenUsed/>
    <w:rsid w:val="00CB53B7"/>
    <w:pPr>
      <w:spacing w:line="240" w:lineRule="auto"/>
    </w:pPr>
    <w:rPr>
      <w:sz w:val="20"/>
      <w:szCs w:val="20"/>
    </w:rPr>
  </w:style>
  <w:style w:type="character" w:customStyle="1" w:styleId="CommentTextChar">
    <w:name w:val="Comment Text Char"/>
    <w:basedOn w:val="DefaultParagraphFont"/>
    <w:link w:val="CommentText"/>
    <w:uiPriority w:val="99"/>
    <w:rsid w:val="00CB53B7"/>
    <w:rPr>
      <w:sz w:val="20"/>
      <w:szCs w:val="20"/>
    </w:rPr>
  </w:style>
  <w:style w:type="paragraph" w:styleId="CommentSubject">
    <w:name w:val="annotation subject"/>
    <w:basedOn w:val="CommentText"/>
    <w:next w:val="CommentText"/>
    <w:link w:val="CommentSubjectChar"/>
    <w:uiPriority w:val="99"/>
    <w:semiHidden/>
    <w:unhideWhenUsed/>
    <w:rsid w:val="00CB53B7"/>
    <w:rPr>
      <w:b/>
      <w:bCs/>
    </w:rPr>
  </w:style>
  <w:style w:type="character" w:customStyle="1" w:styleId="CommentSubjectChar">
    <w:name w:val="Comment Subject Char"/>
    <w:basedOn w:val="CommentTextChar"/>
    <w:link w:val="CommentSubject"/>
    <w:uiPriority w:val="99"/>
    <w:semiHidden/>
    <w:rsid w:val="00CB53B7"/>
    <w:rPr>
      <w:b/>
      <w:bCs/>
      <w:sz w:val="20"/>
      <w:szCs w:val="20"/>
    </w:rPr>
  </w:style>
  <w:style w:type="paragraph" w:styleId="Caption">
    <w:name w:val="caption"/>
    <w:basedOn w:val="Normal"/>
    <w:next w:val="Normal"/>
    <w:uiPriority w:val="35"/>
    <w:unhideWhenUsed/>
    <w:qFormat/>
    <w:rsid w:val="003E50AE"/>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0FFE9-A911-4253-8CBF-92AB0BE0E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1355</Words>
  <Characters>7729</Characters>
  <Application>Microsoft Office Word</Application>
  <DocSecurity>0</DocSecurity>
  <Lines>64</Lines>
  <Paragraphs>18</Paragraphs>
  <ScaleCrop>false</ScaleCrop>
  <Company/>
  <LinksUpToDate>false</LinksUpToDate>
  <CharactersWithSpaces>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Hahn Menacho, Alvaro Jose</dc:creator>
  <cp:keywords/>
  <dc:description/>
  <cp:lastModifiedBy>Hahn Menacho, Alvaro Jose</cp:lastModifiedBy>
  <cp:revision>87</cp:revision>
  <dcterms:created xsi:type="dcterms:W3CDTF">2026-02-15T23:59:00Z</dcterms:created>
  <dcterms:modified xsi:type="dcterms:W3CDTF">2026-04-19T16:55:00Z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50ce57ff-9092-44b2-9d94-dda609137770</vt:lpwstr>
  </property>
</Properties>
</file>