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Times New Roman" w:hAnsi="Times New Roman"/>
        </w:rPr>
        <w:t>Additional file 1. Supplementary tables</w:t>
      </w:r>
    </w:p>
    <w:p>
      <w:r>
        <w:rPr>
          <w:rFonts w:ascii="Times New Roman" w:hAnsi="Times New Roman"/>
          <w:sz w:val="22"/>
        </w:rPr>
        <w:t>Supplementary material for: Admission BNP-dominant biomarker phenotypes and in-hospital heart failure or cardiogenic shock in STEMI: a retrospective research note.</w:t>
      </w:r>
    </w:p>
    <w:p>
      <w:pPr>
        <w:pStyle w:val="Heading2"/>
      </w:pPr>
      <w:r>
        <w:rPr>
          <w:rFonts w:ascii="Times New Roman" w:hAnsi="Times New Roman"/>
        </w:rPr>
        <w:t>Table S1. Selected baseline characteristics according to in-hospital HF/CS.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Variable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Overall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No HF/CS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HF/CS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P value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Age, years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68.5 [55.0, 78.0]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61.5 [49.8, 71.3]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75.0 [64.5, 81.0]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BNP, pg/mL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372 [194.5, 837]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233 [147.3, 396.5]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848 [395.5, 1390.5]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D-dimer, ug/mL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0.56 [0.29, 1.25]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0.35 [0.22, 0.73]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0.97 [0.44, 1.76]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hs-CRP, mg/L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9.15 [2.52, 32.16]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4.55 [1.88, 21.56]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11.49 [4.00, 52.01]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0.008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Creatinine, umol/L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76.4 [62.7, 99.1]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72.4 [59.7, 84.4]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84.2 [70.2, 115.0]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0.002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LVEF, %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52 [46, 56]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54 [50, 58]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50 [42, 54.8]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Male sex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109/140 (77.9%)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66/76 (86.8%)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43/64 (67.2%)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0.010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Anemia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30/140 (21.4%)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11/76 (14.5%)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19/64 (29.7%)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0.048</w:t>
            </w:r>
          </w:p>
        </w:tc>
      </w:tr>
    </w:tbl>
    <w:p>
      <w:pPr>
        <w:pStyle w:val="Heading2"/>
      </w:pPr>
      <w:r>
        <w:rPr>
          <w:rFonts w:ascii="Times New Roman" w:hAnsi="Times New Roman"/>
        </w:rPr>
        <w:t>Table S2. Primary multivariable models for in-hospital HF/CS.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Model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Exposure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Adjusted OR (95% CI)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P value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AUC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Brier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Clinical base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None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0.807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0.176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Clinical + ln(BNP)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BNP per 1 SD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3.75 (1.86-7.60)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0.859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0.147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Clinical + ln(D-dimer)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D-dimer per 1 SD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1.57 (0.90-2.73)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0.111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0.822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0.172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Clinical + burden score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Burden score per 1 SD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4.04 (1.84-8.92)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0.849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0.154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Clinical + ln(BNP) + ln(D-dimer)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BNP; D-dimer per 1 SD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3.76 (1.85-7.65); 1.51 (0.82-2.76)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&lt;0.001; 0.185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0.862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0.146</w:t>
            </w:r>
          </w:p>
        </w:tc>
      </w:tr>
    </w:tbl>
    <w:p>
      <w:pPr>
        <w:pStyle w:val="Heading2"/>
      </w:pPr>
      <w:r>
        <w:rPr>
          <w:rFonts w:ascii="Times New Roman" w:hAnsi="Times New Roman"/>
        </w:rPr>
        <w:t>Table S3. Phenotype analysis based on admission BNP and D-dimer.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Phenotype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N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Events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Event rate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Adjusted OR (95% CI)</w:t>
            </w:r>
          </w:p>
        </w:tc>
        <w:tc>
          <w:tcPr>
            <w:tcW w:type="dxa" w:w="144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P value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Low BNP / low D-dimer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46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21.7%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Reference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High BNP / low D-dimer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21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42.9%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2.01 (0.56-7.20)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0.281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Low BNP / high D-dimer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22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22.7%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0.54 (0.12-2.50)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0.435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High BNP / high D-dimer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47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38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80.9%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6.75 (1.75-26.10)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0.006</w:t>
            </w:r>
          </w:p>
        </w:tc>
      </w:tr>
    </w:tbl>
    <w:p>
      <w:pPr>
        <w:pStyle w:val="Heading2"/>
      </w:pPr>
      <w:r>
        <w:rPr>
          <w:rFonts w:ascii="Times New Roman" w:hAnsi="Times New Roman"/>
        </w:rPr>
        <w:t>Table S4. Testing-pattern comparison cohort.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Variable</w:t>
            </w:r>
          </w:p>
        </w:tc>
        <w:tc>
          <w:tcPr>
            <w:tcW w:type="dxa" w:w="216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BNP unavailable</w:t>
            </w:r>
          </w:p>
        </w:tc>
        <w:tc>
          <w:tcPr>
            <w:tcW w:type="dxa" w:w="216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BNP available</w:t>
            </w:r>
          </w:p>
        </w:tc>
        <w:tc>
          <w:tcPr>
            <w:tcW w:type="dxa" w:w="2160"/>
            <w:vAlign w:val="center"/>
            <w:shd w:fill="D9EAF7"/>
          </w:tcPr>
          <w:p>
            <w:r/>
            <w:r>
              <w:rPr>
                <w:rFonts w:ascii="Times New Roman" w:hAnsi="Times New Roman"/>
                <w:b/>
                <w:sz w:val="18"/>
              </w:rPr>
              <w:t>P value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Age, years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61.0 [52.3, 72.0]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68.0 [55.0, 78.0]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0.003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Male sex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260/322 (80.7%)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108/139 (77.7%)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0.534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LVEF, %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52 [45, 58]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52 [46.5, 56]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0.858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Creatinine, umol/L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74.6 [61.2, 94.2]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76.3 [62.5, 99.6]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0.442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HF/CS composite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145/322 (45.0%)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63/139 (45.3%)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1.000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In-hospital death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19/322 (5.9%)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6/139 (4.3%)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0.642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Cardiogenic shock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54/322 (16.8%)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13/139 (9.4%)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0.054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Heart failure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142/322 (44.1%)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62/139 (44.6%)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18"/>
              </w:rPr>
              <w:t>1.000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Times New Roman" w:hAnsi="Times New Roman"/>
      <w:b/>
      <w:bCs/>
      <w:i/>
      <w:iCs/>
      <w:color w:val="4F81BD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Times New Roman" w:hAnsi="Times New Roman"/>
      <w:color w:val="243F60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Times New Roman" w:hAnsi="Times New Roman"/>
      <w:i/>
      <w:iCs/>
      <w:color w:val="243F60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Times New Roman" w:hAnsi="Times New Roman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Times New Roman" w:hAnsi="Times New Roman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Times New Roman" w:hAnsi="Times New Roman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hAnsi="Times New Roman"/>
      <w:sz w:val="20"/>
    </w:rPr>
  </w:style>
  <w:style w:type="table" w:default="1" w:styleId="TableNormal">
    <w:name w:val="Normal Table"/>
    <w:uiPriority w:val="99"/>
    <w:semiHidden/>
    <w:unhideWhenUsed/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Times New Roman" w:hAnsi="Times New Roman"/>
      <w:color w:val="17365D" w:themeColor="text2" w:themeShade="BF"/>
      <w:spacing w:val="5"/>
      <w:kern w:val="28"/>
      <w:sz w:val="2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/>
      <w:i/>
      <w:iCs/>
      <w:color w:val="4F81BD" w:themeColor="accent1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Times New Roman" w:hAnsi="Times New Roman"/>
      <w:i/>
      <w:iCs/>
      <w:color w:val="4F81BD" w:themeColor="accent1"/>
      <w:spacing w:val="15"/>
      <w:sz w:val="20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Times New Roman" w:hAnsi="Times New Roman"/>
      <w:sz w:val="20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Times New Roman" w:hAnsi="Times New Roman"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Times New Roman" w:hAnsi="Times New Roman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Times New Roman" w:hAnsi="Times New Roman"/>
      <w:sz w:val="20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Times New Roman" w:hAnsi="Times New Roman"/>
      <w:sz w:val="20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Times New Roman" w:hAnsi="Times New Roman"/>
      <w:sz w:val="20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Times New Roman" w:hAnsi="Times New Roman"/>
      <w:sz w:val="20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Times New Roman" w:hAnsi="Times New Roman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Times New Roman" w:hAnsi="Times New Roman"/>
      <w:sz w:val="20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Times New Roman" w:hAnsi="Times New Roman"/>
      <w:sz w:val="20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Times New Roman" w:hAnsi="Times New Roman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Times New Roman" w:hAnsi="Times New Roman"/>
      <w:sz w:val="20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Times New Roman" w:hAnsi="Times New Roman"/>
      <w:sz w:val="20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Times New Roman" w:hAnsi="Times New Roman"/>
      <w:sz w:val="20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Times New Roman" w:hAnsi="Times New Roman"/>
      <w:sz w:val="20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Times New Roman" w:hAnsi="Times New Roman"/>
      <w:sz w:val="20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hAnsi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Times New Roman" w:hAnsi="Times New Roman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Times New Roman" w:hAnsi="Times New Roman"/>
      <w:i/>
      <w:iCs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Times New Roman" w:hAnsi="Times New Roman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Times New Roman" w:hAnsi="Times New Roman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Times New Roman" w:hAnsi="Times New Roman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Times New Roman" w:hAnsi="Times New Roman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Times New Roman" w:hAnsi="Times New Roman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Times New Roman" w:hAnsi="Times New Roman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Times New Roman" w:hAnsi="Times New Roman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FC693F"/>
    <w:rPr>
      <w:rFonts w:ascii="Times New Roman" w:hAnsi="Times New Roman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Times New Roman" w:hAnsi="Times New Roman"/>
      <w:b/>
      <w:bCs/>
      <w:i/>
      <w:iCs/>
      <w:color w:val="4F81BD" w:themeColor="accent1"/>
      <w:sz w:val="20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Times New Roman" w:hAnsi="Times New Roman"/>
      <w:i/>
      <w:iCs/>
      <w:color w:val="808080" w:themeColor="text1" w:themeTint="7F"/>
      <w:sz w:val="20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Times New Roman" w:hAnsi="Times New Roman"/>
      <w:b/>
      <w:bCs/>
      <w:i/>
      <w:iCs/>
      <w:color w:val="4F81BD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Times New Roman" w:hAnsi="Times New Roman"/>
      <w:smallCaps/>
      <w:color w:val="C0504D" w:themeColor="accent2"/>
      <w:sz w:val="20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Times New Roman" w:hAnsi="Times New Roman"/>
      <w:b/>
      <w:bCs/>
      <w:smallCaps/>
      <w:color w:val="C0504D" w:themeColor="accent2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Times New Roman" w:hAnsi="Times New Roman"/>
      <w:b/>
      <w:bCs/>
      <w:smallCaps/>
      <w:spacing w:val="5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Times New Roman" w:hAnsi="Times New Roman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Times New Roman" w:hAnsi="Times New Roman"/>
      <w:color w:val="365F91" w:themeColor="accent1" w:themeShade="BF"/>
      <w:sz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Times New Roman" w:hAnsi="Times New Roman"/>
      <w:color w:val="943634" w:themeColor="accent2" w:themeShade="BF"/>
      <w:sz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Times New Roman" w:hAnsi="Times New Roman"/>
      <w:color w:val="76923C" w:themeColor="accent3" w:themeShade="BF"/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Times New Roman" w:hAnsi="Times New Roman"/>
      <w:color w:val="5F497A" w:themeColor="accent4" w:themeShade="BF"/>
      <w:sz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Times New Roman" w:hAnsi="Times New Roman"/>
      <w:color w:val="31849B" w:themeColor="accent5" w:themeShade="BF"/>
      <w:sz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Times New Roman" w:hAnsi="Times New Roman"/>
      <w:color w:val="E36C0A" w:themeColor="accent6" w:themeShade="BF"/>
      <w:sz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Times New Roman" w:hAnsi="Times New Roman"/>
      <w:color w:val="FFFFFF" w:themeColor="background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Times New Roman" w:hAnsi="Times New Roman"/>
      <w:color w:val="FFFFFF" w:themeColor="background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Times New Roman" w:hAnsi="Times New Roman"/>
      <w:color w:val="FFFFFF" w:themeColor="background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Times New Roman" w:hAnsi="Times New Roman"/>
      <w:color w:val="FFFFFF" w:themeColor="background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Times New Roman" w:hAnsi="Times New Roman"/>
      <w:color w:val="FFFFFF" w:themeColor="background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Times New Roman" w:hAnsi="Times New Roman"/>
      <w:color w:val="FFFFFF" w:themeColor="background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Times New Roman" w:hAnsi="Times New Roman"/>
      <w:color w:val="FFFFFF" w:themeColor="background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Times New Roman" w:hAnsi="Times New Roman"/>
      <w:color w:val="000000" w:themeColor="text1"/>
      <w:sz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