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6CF0" w14:textId="77777777" w:rsidR="008D0BC6" w:rsidRDefault="008D0BC6" w:rsidP="008D0BC6">
      <w:pPr>
        <w:spacing w:line="480" w:lineRule="auto"/>
        <w:rPr>
          <w:rFonts w:ascii="Times New Roman" w:hAnsi="Times New Roman" w:cs="Times New Roman"/>
          <w:b/>
          <w:bCs/>
          <w:color w:val="000000"/>
          <w:sz w:val="20"/>
          <w:szCs w:val="20"/>
        </w:rPr>
      </w:pPr>
      <w:r>
        <w:rPr>
          <w:rFonts w:ascii="Times New Roman" w:hAnsi="Times New Roman" w:cs="Times New Roman" w:hint="eastAsia"/>
          <w:b/>
          <w:bCs/>
          <w:color w:val="000000"/>
          <w:sz w:val="20"/>
          <w:szCs w:val="20"/>
        </w:rPr>
        <w:t>Supplymentary</w:t>
      </w:r>
      <w:r>
        <w:rPr>
          <w:rFonts w:ascii="Times New Roman" w:hAnsi="Times New Roman" w:cs="Times New Roman"/>
          <w:b/>
          <w:bCs/>
          <w:color w:val="000000"/>
          <w:sz w:val="20"/>
          <w:szCs w:val="20"/>
        </w:rPr>
        <w:t xml:space="preserve"> information</w:t>
      </w:r>
    </w:p>
    <w:p w14:paraId="139B0EE7" w14:textId="77777777" w:rsidR="008D0BC6" w:rsidRDefault="008D0BC6" w:rsidP="008D0BC6">
      <w:pPr>
        <w:spacing w:line="480" w:lineRule="auto"/>
        <w:rPr>
          <w:rFonts w:ascii="Times New Roman" w:hAnsi="Times New Roman" w:cs="Times New Roman"/>
          <w:color w:val="000000" w:themeColor="text1"/>
          <w:sz w:val="20"/>
          <w:szCs w:val="20"/>
        </w:rPr>
      </w:pPr>
      <w:r>
        <w:rPr>
          <w:rFonts w:ascii="Times New Roman" w:hAnsi="Times New Roman" w:cs="Times New Roman"/>
          <w:sz w:val="20"/>
          <w:szCs w:val="20"/>
        </w:rPr>
        <w:t>Supplementary Figure</w:t>
      </w:r>
      <w:r>
        <w:rPr>
          <w:rFonts w:ascii="Times New Roman" w:hAnsi="Times New Roman" w:cs="Times New Roman"/>
          <w:b/>
          <w:bCs/>
          <w:sz w:val="20"/>
          <w:szCs w:val="20"/>
        </w:rPr>
        <w:t xml:space="preserve"> </w:t>
      </w:r>
      <w:r>
        <w:rPr>
          <w:rFonts w:ascii="Times New Roman" w:hAnsi="Times New Roman" w:cs="Times New Roman"/>
          <w:color w:val="000000" w:themeColor="text1"/>
          <w:sz w:val="20"/>
          <w:szCs w:val="20"/>
        </w:rPr>
        <w:t>1–</w:t>
      </w:r>
      <w:r>
        <w:rPr>
          <w:rFonts w:ascii="Times New Roman" w:hAnsi="Times New Roman" w:cs="Times New Roman" w:hint="eastAsia"/>
          <w:color w:val="000000" w:themeColor="text1"/>
          <w:sz w:val="20"/>
          <w:szCs w:val="20"/>
        </w:rPr>
        <w:t>8</w:t>
      </w:r>
      <w:r>
        <w:rPr>
          <w:rFonts w:ascii="Times New Roman" w:hAnsi="Times New Roman" w:cs="Times New Roman"/>
          <w:color w:val="000000" w:themeColor="text1"/>
          <w:sz w:val="20"/>
          <w:szCs w:val="20"/>
        </w:rPr>
        <w:t xml:space="preserve"> and </w:t>
      </w:r>
      <w:r>
        <w:rPr>
          <w:rFonts w:ascii="Times New Roman" w:hAnsi="Times New Roman" w:cs="Times New Roman"/>
          <w:sz w:val="20"/>
          <w:szCs w:val="20"/>
        </w:rPr>
        <w:t>Supplementary</w:t>
      </w:r>
      <w:r>
        <w:rPr>
          <w:rFonts w:ascii="Times New Roman" w:hAnsi="Times New Roman" w:cs="Times New Roman" w:hint="eastAsia"/>
          <w:sz w:val="20"/>
          <w:szCs w:val="20"/>
        </w:rPr>
        <w:t xml:space="preserve"> </w:t>
      </w:r>
      <w:r>
        <w:rPr>
          <w:rFonts w:ascii="Times New Roman" w:hAnsi="Times New Roman" w:cs="Times New Roman"/>
          <w:color w:val="000000" w:themeColor="text1"/>
          <w:sz w:val="20"/>
          <w:szCs w:val="20"/>
        </w:rPr>
        <w:t>Table S1</w:t>
      </w:r>
      <w:r>
        <w:rPr>
          <w:rFonts w:ascii="Times New Roman" w:hAnsi="Times New Roman" w:cs="Times New Roman" w:hint="eastAsia"/>
          <w:color w:val="000000" w:themeColor="text1"/>
          <w:sz w:val="20"/>
          <w:szCs w:val="20"/>
        </w:rPr>
        <w:t>-S2</w:t>
      </w:r>
    </w:p>
    <w:p w14:paraId="1CEB212B" w14:textId="77777777" w:rsidR="006B57F9" w:rsidRDefault="006B57F9" w:rsidP="008D0BC6">
      <w:pPr>
        <w:spacing w:line="480" w:lineRule="auto"/>
        <w:rPr>
          <w:rFonts w:ascii="Times New Roman" w:hAnsi="Times New Roman" w:cs="Times New Roman"/>
          <w:color w:val="000000" w:themeColor="text1"/>
          <w:sz w:val="20"/>
          <w:szCs w:val="20"/>
        </w:rPr>
      </w:pPr>
    </w:p>
    <w:p w14:paraId="3822F537" w14:textId="77777777" w:rsidR="006B57F9" w:rsidRDefault="006B57F9" w:rsidP="008D0BC6">
      <w:pPr>
        <w:spacing w:line="480" w:lineRule="auto"/>
        <w:rPr>
          <w:rFonts w:ascii="Times New Roman" w:hAnsi="Times New Roman" w:cs="Times New Roman"/>
          <w:color w:val="000000" w:themeColor="text1"/>
          <w:sz w:val="20"/>
          <w:szCs w:val="20"/>
        </w:rPr>
      </w:pPr>
    </w:p>
    <w:p w14:paraId="0E887EE0" w14:textId="77777777" w:rsidR="006B57F9" w:rsidRDefault="006B57F9" w:rsidP="006B57F9">
      <w:pPr>
        <w:autoSpaceDE w:val="0"/>
        <w:autoSpaceDN w:val="0"/>
        <w:adjustRightInd w:val="0"/>
        <w:rPr>
          <w:sz w:val="20"/>
          <w:szCs w:val="20"/>
        </w:rPr>
      </w:pPr>
      <w:r>
        <w:rPr>
          <w:rFonts w:ascii="Times New Roman" w:hAnsi="Times New Roman" w:cs="Times New Roman" w:hint="eastAsia"/>
          <w:b/>
          <w:bCs/>
          <w:color w:val="000000" w:themeColor="text1"/>
          <w:sz w:val="20"/>
          <w:szCs w:val="20"/>
        </w:rPr>
        <w:t xml:space="preserve">Supplementary Figure 1. PGCCs showed an enhanced capacity to form tumorspheres compared with their parental glioma counterparts. </w:t>
      </w:r>
      <w:r>
        <w:rPr>
          <w:rFonts w:ascii="Times New Roman" w:hAnsi="Times New Roman" w:cs="Times New Roman"/>
          <w:szCs w:val="21"/>
        </w:rPr>
        <w:t>(A) Representative light micrographs of tumorsphere formation of U87</w:t>
      </w:r>
      <w:r>
        <w:rPr>
          <w:rFonts w:ascii="Times New Roman" w:hAnsi="Times New Roman" w:cs="Times New Roman" w:hint="eastAsia"/>
          <w:szCs w:val="21"/>
        </w:rPr>
        <w:t>, U251 and their derived PGCC</w:t>
      </w:r>
      <w:r>
        <w:rPr>
          <w:rFonts w:ascii="Times New Roman" w:hAnsi="Times New Roman" w:cs="Times New Roman"/>
          <w:szCs w:val="21"/>
        </w:rPr>
        <w:t>s</w:t>
      </w:r>
      <w:r>
        <w:rPr>
          <w:rFonts w:ascii="Times New Roman" w:hAnsi="Times New Roman" w:cs="Times New Roman" w:hint="eastAsia"/>
          <w:szCs w:val="21"/>
        </w:rPr>
        <w:t xml:space="preserve"> at </w:t>
      </w:r>
      <w:r>
        <w:rPr>
          <w:rFonts w:ascii="Times New Roman" w:hAnsi="Times New Roman" w:cs="Times New Roman"/>
          <w:szCs w:val="21"/>
        </w:rPr>
        <w:t>7th day after cell placement.</w:t>
      </w:r>
      <w:r>
        <w:rPr>
          <w:rFonts w:ascii="Times New Roman" w:hAnsi="Times New Roman" w:cs="Times New Roman" w:hint="eastAsia"/>
          <w:szCs w:val="21"/>
        </w:rPr>
        <w:t xml:space="preserve"> (B, C)</w:t>
      </w:r>
      <w:r>
        <w:rPr>
          <w:rFonts w:ascii="Times New Roman" w:hAnsi="Times New Roman" w:cs="Times New Roman"/>
          <w:szCs w:val="21"/>
        </w:rPr>
        <w:t xml:space="preserve"> Quantitative analysis of </w:t>
      </w:r>
      <w:r>
        <w:rPr>
          <w:rFonts w:ascii="Times New Roman" w:hAnsi="Times New Roman" w:cs="Times New Roman" w:hint="eastAsia"/>
          <w:szCs w:val="21"/>
        </w:rPr>
        <w:t>r</w:t>
      </w:r>
      <w:r>
        <w:rPr>
          <w:rFonts w:ascii="Times New Roman" w:hAnsi="Times New Roman" w:cs="Times New Roman"/>
          <w:szCs w:val="21"/>
        </w:rPr>
        <w:t xml:space="preserve">elative sphere numbers and </w:t>
      </w:r>
      <w:r>
        <w:rPr>
          <w:rFonts w:ascii="Times New Roman" w:hAnsi="Times New Roman" w:cs="Times New Roman" w:hint="eastAsia"/>
          <w:szCs w:val="21"/>
        </w:rPr>
        <w:t>r</w:t>
      </w:r>
      <w:r>
        <w:rPr>
          <w:rFonts w:ascii="Times New Roman" w:hAnsi="Times New Roman" w:cs="Times New Roman"/>
          <w:szCs w:val="21"/>
        </w:rPr>
        <w:t>elative sphere diameters of the indicated groups</w:t>
      </w:r>
      <w:r>
        <w:rPr>
          <w:rFonts w:ascii="Times New Roman" w:hAnsi="Times New Roman" w:cs="Times New Roman" w:hint="eastAsia"/>
          <w:szCs w:val="21"/>
        </w:rPr>
        <w:t>. D</w:t>
      </w:r>
      <w:r>
        <w:rPr>
          <w:rFonts w:ascii="Times New Roman" w:hAnsi="Times New Roman" w:cs="Times New Roman"/>
          <w:szCs w:val="21"/>
        </w:rPr>
        <w:t>ata represent the mean ±</w:t>
      </w:r>
      <w:r>
        <w:rPr>
          <w:rFonts w:ascii="Times New Roman" w:hAnsi="Times New Roman" w:cs="Times New Roman" w:hint="eastAsia"/>
          <w:szCs w:val="21"/>
        </w:rPr>
        <w:t xml:space="preserve"> SD</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 P &lt; 0.0</w:t>
      </w:r>
      <w:r>
        <w:rPr>
          <w:rFonts w:ascii="Times New Roman" w:hAnsi="Times New Roman" w:cs="Times New Roman" w:hint="eastAsia"/>
          <w:szCs w:val="21"/>
        </w:rPr>
        <w:t xml:space="preserve">5,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P &lt; 0.001</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P &lt; 0.0001</w:t>
      </w:r>
      <w:r>
        <w:rPr>
          <w:rFonts w:ascii="Times New Roman" w:hAnsi="Times New Roman" w:cs="Times New Roman" w:hint="eastAsia"/>
          <w:szCs w:val="21"/>
        </w:rPr>
        <w:t>.</w:t>
      </w:r>
    </w:p>
    <w:p w14:paraId="2578156B" w14:textId="77777777" w:rsidR="006B57F9" w:rsidRDefault="006B57F9" w:rsidP="006B57F9">
      <w:pPr>
        <w:autoSpaceDE w:val="0"/>
        <w:autoSpaceDN w:val="0"/>
        <w:adjustRightInd w:val="0"/>
        <w:rPr>
          <w:rFonts w:ascii="Times New Roman" w:eastAsia="SimSun" w:hAnsi="Times New Roman" w:cs="Times New Roman"/>
          <w:sz w:val="20"/>
          <w:szCs w:val="20"/>
        </w:rPr>
      </w:pPr>
    </w:p>
    <w:p w14:paraId="0ADA6CA3" w14:textId="77777777" w:rsidR="006B57F9" w:rsidRDefault="006B57F9" w:rsidP="006B57F9">
      <w:pPr>
        <w:autoSpaceDE w:val="0"/>
        <w:autoSpaceDN w:val="0"/>
        <w:adjustRightInd w:val="0"/>
        <w:rPr>
          <w:sz w:val="20"/>
          <w:szCs w:val="20"/>
        </w:rPr>
      </w:pPr>
      <w:r>
        <w:rPr>
          <w:rFonts w:ascii="Times New Roman" w:hAnsi="Times New Roman" w:cs="Times New Roman" w:hint="eastAsia"/>
          <w:b/>
          <w:bCs/>
          <w:color w:val="000000" w:themeColor="text1"/>
          <w:sz w:val="20"/>
          <w:szCs w:val="20"/>
        </w:rPr>
        <w:t>Supplementary Figure 2. PGCCs showed increased migrative and invasive capacities compared with their parental glioma counterparts.</w:t>
      </w:r>
      <w:r>
        <w:rPr>
          <w:rFonts w:hint="eastAsia"/>
          <w:b/>
          <w:bCs/>
          <w:color w:val="000000"/>
          <w:sz w:val="20"/>
          <w:szCs w:val="20"/>
        </w:rPr>
        <w:t xml:space="preserve"> </w:t>
      </w:r>
      <w:r>
        <w:rPr>
          <w:rFonts w:ascii="Times New Roman" w:hAnsi="Times New Roman" w:cs="Times New Roman" w:hint="eastAsia"/>
          <w:szCs w:val="21"/>
        </w:rPr>
        <w:t>(A)</w:t>
      </w:r>
      <w:r>
        <w:rPr>
          <w:rFonts w:ascii="Times New Roman" w:hAnsi="Times New Roman" w:cs="Times New Roman"/>
          <w:szCs w:val="21"/>
        </w:rPr>
        <w:t xml:space="preserve"> </w:t>
      </w:r>
      <w:r>
        <w:rPr>
          <w:rFonts w:ascii="Times New Roman" w:hAnsi="Times New Roman" w:cs="Times New Roman" w:hint="eastAsia"/>
          <w:szCs w:val="21"/>
        </w:rPr>
        <w:t>T</w:t>
      </w:r>
      <w:r>
        <w:rPr>
          <w:rFonts w:ascii="Times New Roman" w:hAnsi="Times New Roman" w:cs="Times New Roman"/>
          <w:szCs w:val="21"/>
        </w:rPr>
        <w:t>ranswell assay</w:t>
      </w:r>
      <w:r>
        <w:rPr>
          <w:rFonts w:ascii="Times New Roman" w:hAnsi="Times New Roman" w:cs="Times New Roman" w:hint="eastAsia"/>
          <w:szCs w:val="21"/>
        </w:rPr>
        <w:t xml:space="preserve"> </w:t>
      </w:r>
      <w:r>
        <w:rPr>
          <w:rFonts w:ascii="Times New Roman" w:hAnsi="Times New Roman" w:cs="Times New Roman"/>
          <w:szCs w:val="21"/>
        </w:rPr>
        <w:t>assessment of</w:t>
      </w:r>
      <w:r>
        <w:rPr>
          <w:rFonts w:ascii="Times New Roman" w:hAnsi="Times New Roman" w:cs="Times New Roman" w:hint="eastAsia"/>
          <w:szCs w:val="21"/>
        </w:rPr>
        <w:t xml:space="preserve"> </w:t>
      </w:r>
      <w:r>
        <w:rPr>
          <w:rFonts w:ascii="Times New Roman" w:hAnsi="Times New Roman" w:cs="Times New Roman"/>
          <w:szCs w:val="21"/>
        </w:rPr>
        <w:t xml:space="preserve">the migration and invasion of </w:t>
      </w:r>
      <w:r>
        <w:rPr>
          <w:rFonts w:ascii="Times New Roman" w:hAnsi="Times New Roman" w:cs="Times New Roman" w:hint="eastAsia"/>
          <w:szCs w:val="21"/>
        </w:rPr>
        <w:t>U87, U87-PGCCs, U251 and U251-PGCCs. (B, C)</w:t>
      </w:r>
      <w:r>
        <w:rPr>
          <w:rFonts w:ascii="Times New Roman" w:hAnsi="Times New Roman" w:cs="Times New Roman"/>
          <w:szCs w:val="21"/>
        </w:rPr>
        <w:t xml:space="preserve"> Quantitative analysis of </w:t>
      </w:r>
      <w:r>
        <w:rPr>
          <w:rFonts w:ascii="Times New Roman" w:hAnsi="Times New Roman" w:cs="Times New Roman" w:hint="eastAsia"/>
          <w:szCs w:val="21"/>
        </w:rPr>
        <w:t xml:space="preserve">cell migration and invasion </w:t>
      </w:r>
      <w:r>
        <w:rPr>
          <w:rFonts w:ascii="Times New Roman" w:hAnsi="Times New Roman" w:cs="Times New Roman"/>
          <w:szCs w:val="21"/>
        </w:rPr>
        <w:t>of</w:t>
      </w:r>
      <w:r>
        <w:rPr>
          <w:rFonts w:ascii="Times New Roman" w:hAnsi="Times New Roman" w:cs="Times New Roman" w:hint="eastAsia"/>
          <w:szCs w:val="21"/>
        </w:rPr>
        <w:t xml:space="preserve"> the indicated group</w:t>
      </w:r>
      <w:r>
        <w:rPr>
          <w:rFonts w:ascii="Times New Roman" w:hAnsi="Times New Roman" w:cs="Times New Roman"/>
          <w:szCs w:val="21"/>
        </w:rPr>
        <w:t>s</w:t>
      </w:r>
      <w:r>
        <w:rPr>
          <w:rFonts w:ascii="Times New Roman" w:hAnsi="Times New Roman" w:cs="Times New Roman" w:hint="eastAsia"/>
          <w:szCs w:val="21"/>
        </w:rPr>
        <w:t>. D</w:t>
      </w:r>
      <w:r>
        <w:rPr>
          <w:rFonts w:ascii="Times New Roman" w:hAnsi="Times New Roman" w:cs="Times New Roman"/>
          <w:szCs w:val="21"/>
        </w:rPr>
        <w:t>ata represent the mean ±</w:t>
      </w:r>
      <w:r>
        <w:rPr>
          <w:rFonts w:ascii="Times New Roman" w:hAnsi="Times New Roman" w:cs="Times New Roman" w:hint="eastAsia"/>
          <w:szCs w:val="21"/>
        </w:rPr>
        <w:t xml:space="preserve"> SD, *</w:t>
      </w:r>
      <w:r>
        <w:rPr>
          <w:rFonts w:ascii="Times New Roman" w:hAnsi="Times New Roman" w:cs="Times New Roman"/>
          <w:szCs w:val="21"/>
        </w:rPr>
        <w:t xml:space="preserve"> P &lt; 0.0</w:t>
      </w:r>
      <w:r>
        <w:rPr>
          <w:rFonts w:ascii="Times New Roman" w:hAnsi="Times New Roman" w:cs="Times New Roman" w:hint="eastAsia"/>
          <w:szCs w:val="21"/>
        </w:rPr>
        <w:t>5.</w:t>
      </w:r>
    </w:p>
    <w:p w14:paraId="7886569E" w14:textId="77777777" w:rsidR="006B57F9" w:rsidRDefault="006B57F9" w:rsidP="006B57F9">
      <w:pPr>
        <w:autoSpaceDE w:val="0"/>
        <w:autoSpaceDN w:val="0"/>
        <w:adjustRightInd w:val="0"/>
        <w:rPr>
          <w:rFonts w:ascii="Times New Roman" w:hAnsi="Times New Roman" w:cs="Times New Roman"/>
          <w:szCs w:val="21"/>
        </w:rPr>
      </w:pPr>
      <w:r>
        <w:rPr>
          <w:rFonts w:ascii="Times New Roman" w:hAnsi="Times New Roman" w:cs="Times New Roman" w:hint="eastAsia"/>
          <w:b/>
          <w:bCs/>
          <w:color w:val="000000" w:themeColor="text1"/>
          <w:sz w:val="20"/>
          <w:szCs w:val="20"/>
        </w:rPr>
        <w:t>Supplementary Figure 3. PGCCs demonstrated heightened resistance to TMZ, Irinotecan, Carmustine, and Cisplatin.</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A</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Trypan blue assessment of cell viability of </w:t>
      </w:r>
      <w:r>
        <w:rPr>
          <w:rFonts w:ascii="Times New Roman" w:hAnsi="Times New Roman" w:cs="Times New Roman" w:hint="eastAsia"/>
          <w:szCs w:val="21"/>
        </w:rPr>
        <w:t xml:space="preserve">U87, U87-PGCCs, U251 and U251-PGCCs cells under drug-free conditions. </w:t>
      </w:r>
      <w:r>
        <w:rPr>
          <w:rFonts w:ascii="Times New Roman" w:hAnsi="Times New Roman" w:cs="Times New Roman"/>
          <w:szCs w:val="21"/>
        </w:rPr>
        <w:t>(</w:t>
      </w:r>
      <w:r>
        <w:rPr>
          <w:rFonts w:ascii="Times New Roman" w:hAnsi="Times New Roman" w:cs="Times New Roman" w:hint="eastAsia"/>
          <w:szCs w:val="21"/>
        </w:rPr>
        <w:t>B</w:t>
      </w:r>
      <w:r>
        <w:rPr>
          <w:rFonts w:ascii="Times New Roman" w:hAnsi="Times New Roman" w:cs="Times New Roman"/>
          <w:szCs w:val="21"/>
        </w:rPr>
        <w:t xml:space="preserve">) Cell viability </w:t>
      </w:r>
      <w:r>
        <w:rPr>
          <w:rFonts w:ascii="Times New Roman" w:hAnsi="Times New Roman" w:cs="Times New Roman" w:hint="eastAsia"/>
          <w:szCs w:val="21"/>
        </w:rPr>
        <w:t xml:space="preserve">of the cells </w:t>
      </w:r>
      <w:r>
        <w:rPr>
          <w:rFonts w:ascii="Times New Roman" w:hAnsi="Times New Roman" w:cs="Times New Roman"/>
          <w:szCs w:val="21"/>
        </w:rPr>
        <w:t xml:space="preserve">after treatment with </w:t>
      </w:r>
      <w:r>
        <w:rPr>
          <w:rFonts w:ascii="Times New Roman" w:hAnsi="Times New Roman" w:cs="Times New Roman" w:hint="eastAsia"/>
          <w:szCs w:val="21"/>
        </w:rPr>
        <w:t>TMZ</w:t>
      </w:r>
      <w:r>
        <w:rPr>
          <w:rFonts w:ascii="Times New Roman" w:hAnsi="Times New Roman" w:cs="Times New Roman"/>
          <w:szCs w:val="21"/>
        </w:rPr>
        <w:t xml:space="preserve"> </w:t>
      </w:r>
      <w:r>
        <w:rPr>
          <w:rFonts w:ascii="Times New Roman" w:hAnsi="Times New Roman" w:cs="Times New Roman" w:hint="eastAsia"/>
          <w:szCs w:val="21"/>
        </w:rPr>
        <w:t xml:space="preserve">for 24h </w:t>
      </w:r>
      <w:r>
        <w:rPr>
          <w:rFonts w:ascii="Times New Roman" w:hAnsi="Times New Roman" w:cs="Times New Roman"/>
          <w:szCs w:val="21"/>
        </w:rPr>
        <w:t>at the indicated concentrations detected by CCK8</w:t>
      </w:r>
      <w:r>
        <w:rPr>
          <w:rFonts w:ascii="Times New Roman" w:hAnsi="Times New Roman" w:cs="Times New Roman" w:hint="eastAsia"/>
          <w:szCs w:val="21"/>
        </w:rPr>
        <w:t>. (C)</w:t>
      </w:r>
      <w:r>
        <w:rPr>
          <w:rFonts w:ascii="Times New Roman" w:hAnsi="Times New Roman" w:cs="Times New Roman"/>
          <w:szCs w:val="21"/>
        </w:rPr>
        <w:t xml:space="preserve"> Cell viability </w:t>
      </w:r>
      <w:r>
        <w:rPr>
          <w:rFonts w:ascii="Times New Roman" w:hAnsi="Times New Roman" w:cs="Times New Roman" w:hint="eastAsia"/>
          <w:szCs w:val="21"/>
        </w:rPr>
        <w:t xml:space="preserve">of the cells </w:t>
      </w:r>
      <w:r>
        <w:rPr>
          <w:rFonts w:ascii="Times New Roman" w:hAnsi="Times New Roman" w:cs="Times New Roman"/>
          <w:szCs w:val="21"/>
        </w:rPr>
        <w:t xml:space="preserve">after treatment with Irinotecan </w:t>
      </w:r>
      <w:r>
        <w:rPr>
          <w:rFonts w:ascii="Times New Roman" w:hAnsi="Times New Roman" w:cs="Times New Roman" w:hint="eastAsia"/>
          <w:szCs w:val="21"/>
        </w:rPr>
        <w:t xml:space="preserve">for 24h </w:t>
      </w:r>
      <w:r>
        <w:rPr>
          <w:rFonts w:ascii="Times New Roman" w:hAnsi="Times New Roman" w:cs="Times New Roman"/>
          <w:szCs w:val="21"/>
        </w:rPr>
        <w:t>at the indicated concentrations detected by CCK8</w:t>
      </w:r>
      <w:r>
        <w:rPr>
          <w:rFonts w:ascii="Times New Roman" w:hAnsi="Times New Roman" w:cs="Times New Roman" w:hint="eastAsia"/>
          <w:szCs w:val="21"/>
        </w:rPr>
        <w:t>. (D)</w:t>
      </w:r>
      <w:r>
        <w:rPr>
          <w:rFonts w:ascii="Times New Roman" w:hAnsi="Times New Roman" w:cs="Times New Roman"/>
          <w:szCs w:val="21"/>
        </w:rPr>
        <w:t xml:space="preserve"> Cell viability </w:t>
      </w:r>
      <w:r>
        <w:rPr>
          <w:rFonts w:ascii="Times New Roman" w:hAnsi="Times New Roman" w:cs="Times New Roman" w:hint="eastAsia"/>
          <w:szCs w:val="21"/>
        </w:rPr>
        <w:t xml:space="preserve">of the cells </w:t>
      </w:r>
      <w:r>
        <w:rPr>
          <w:rFonts w:ascii="Times New Roman" w:hAnsi="Times New Roman" w:cs="Times New Roman"/>
          <w:szCs w:val="21"/>
        </w:rPr>
        <w:t xml:space="preserve">after treatment with Carmustine </w:t>
      </w:r>
      <w:r>
        <w:rPr>
          <w:rFonts w:ascii="Times New Roman" w:hAnsi="Times New Roman" w:cs="Times New Roman" w:hint="eastAsia"/>
          <w:szCs w:val="21"/>
        </w:rPr>
        <w:t xml:space="preserve">for 24h </w:t>
      </w:r>
      <w:r>
        <w:rPr>
          <w:rFonts w:ascii="Times New Roman" w:hAnsi="Times New Roman" w:cs="Times New Roman"/>
          <w:szCs w:val="21"/>
        </w:rPr>
        <w:t>at the indicated concentrations detected by CCK</w:t>
      </w:r>
      <w:r>
        <w:rPr>
          <w:rFonts w:ascii="Times New Roman" w:hAnsi="Times New Roman" w:cs="Times New Roman" w:hint="eastAsia"/>
          <w:szCs w:val="21"/>
        </w:rPr>
        <w:t>8. (E)</w:t>
      </w:r>
      <w:r>
        <w:rPr>
          <w:rFonts w:ascii="Times New Roman" w:hAnsi="Times New Roman" w:cs="Times New Roman"/>
          <w:szCs w:val="21"/>
        </w:rPr>
        <w:t xml:space="preserve"> Cell viability </w:t>
      </w:r>
      <w:r>
        <w:rPr>
          <w:rFonts w:ascii="Times New Roman" w:hAnsi="Times New Roman" w:cs="Times New Roman" w:hint="eastAsia"/>
          <w:szCs w:val="21"/>
        </w:rPr>
        <w:t xml:space="preserve">of the cells </w:t>
      </w:r>
      <w:r>
        <w:rPr>
          <w:rFonts w:ascii="Times New Roman" w:hAnsi="Times New Roman" w:cs="Times New Roman"/>
          <w:szCs w:val="21"/>
        </w:rPr>
        <w:t xml:space="preserve">after treatment with Cisplatin </w:t>
      </w:r>
      <w:r>
        <w:rPr>
          <w:rFonts w:ascii="Times New Roman" w:hAnsi="Times New Roman" w:cs="Times New Roman" w:hint="eastAsia"/>
          <w:szCs w:val="21"/>
        </w:rPr>
        <w:t xml:space="preserve">for 24h </w:t>
      </w:r>
      <w:r>
        <w:rPr>
          <w:rFonts w:ascii="Times New Roman" w:hAnsi="Times New Roman" w:cs="Times New Roman"/>
          <w:szCs w:val="21"/>
        </w:rPr>
        <w:t>at the indicated concentrations detected by CCK</w:t>
      </w:r>
      <w:r>
        <w:rPr>
          <w:rFonts w:ascii="Times New Roman" w:hAnsi="Times New Roman" w:cs="Times New Roman" w:hint="eastAsia"/>
          <w:szCs w:val="21"/>
        </w:rPr>
        <w:t>8. D</w:t>
      </w:r>
      <w:r>
        <w:rPr>
          <w:rFonts w:ascii="Times New Roman" w:hAnsi="Times New Roman" w:cs="Times New Roman"/>
          <w:szCs w:val="21"/>
        </w:rPr>
        <w:t>ata represent the mean ±</w:t>
      </w:r>
      <w:r>
        <w:rPr>
          <w:rFonts w:ascii="Times New Roman" w:hAnsi="Times New Roman" w:cs="Times New Roman" w:hint="eastAsia"/>
          <w:szCs w:val="21"/>
        </w:rPr>
        <w:t xml:space="preserve"> SD, ns: </w:t>
      </w:r>
      <w:r>
        <w:rPr>
          <w:rFonts w:ascii="Times New Roman" w:hAnsi="Times New Roman" w:cs="Times New Roman"/>
          <w:szCs w:val="21"/>
        </w:rPr>
        <w:t>no significance</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P &lt; 0.001</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P &lt; 0.0001</w:t>
      </w:r>
      <w:r>
        <w:rPr>
          <w:rFonts w:ascii="Times New Roman" w:hAnsi="Times New Roman" w:cs="Times New Roman" w:hint="eastAsia"/>
          <w:szCs w:val="21"/>
        </w:rPr>
        <w:t>.</w:t>
      </w:r>
    </w:p>
    <w:p w14:paraId="54B5EE72" w14:textId="77777777" w:rsidR="006B57F9" w:rsidRDefault="006B57F9" w:rsidP="006B57F9">
      <w:pPr>
        <w:autoSpaceDE w:val="0"/>
        <w:autoSpaceDN w:val="0"/>
        <w:adjustRightInd w:val="0"/>
        <w:rPr>
          <w:sz w:val="20"/>
          <w:szCs w:val="20"/>
        </w:rPr>
      </w:pPr>
    </w:p>
    <w:p w14:paraId="62897FC7" w14:textId="77777777" w:rsidR="006B57F9" w:rsidRDefault="006B57F9" w:rsidP="006B57F9">
      <w:pPr>
        <w:autoSpaceDE w:val="0"/>
        <w:autoSpaceDN w:val="0"/>
        <w:adjustRightInd w:val="0"/>
        <w:rPr>
          <w:sz w:val="20"/>
          <w:szCs w:val="20"/>
        </w:rPr>
      </w:pPr>
      <w:r>
        <w:rPr>
          <w:rFonts w:ascii="Times New Roman" w:hAnsi="Times New Roman" w:cs="Times New Roman" w:hint="eastAsia"/>
          <w:b/>
          <w:bCs/>
          <w:color w:val="000000" w:themeColor="text1"/>
          <w:sz w:val="20"/>
          <w:szCs w:val="20"/>
        </w:rPr>
        <w:t xml:space="preserve">Supplementary Figure 4. PGCC-derived xenograft tumors exhibited markedly enhanced aggressiveness. </w:t>
      </w:r>
      <w:r>
        <w:rPr>
          <w:rFonts w:ascii="Times New Roman" w:hAnsi="Times New Roman" w:cs="Times New Roman" w:hint="eastAsia"/>
          <w:szCs w:val="21"/>
        </w:rPr>
        <w:t>(A) Kaplan-Meier survival curves of nude mice harboring U87 and U87-PGCCs (n=5). (B) H&amp;E staining and immunohistochemical analysis of Ki-67 and SOX2 in U87 and U87-PGCC xenografts. (C) Quantification of Ki-67 and SOX2 IHC scores in the indicated groups. Data represent the mean ± SD, *** P &lt; 0.001, **** P &lt; 0.0001.</w:t>
      </w:r>
    </w:p>
    <w:p w14:paraId="4FF7D281" w14:textId="77777777" w:rsidR="006B57F9" w:rsidRDefault="006B57F9" w:rsidP="006B57F9">
      <w:pPr>
        <w:autoSpaceDE w:val="0"/>
        <w:autoSpaceDN w:val="0"/>
        <w:adjustRightInd w:val="0"/>
        <w:rPr>
          <w:sz w:val="20"/>
          <w:szCs w:val="20"/>
        </w:rPr>
      </w:pPr>
    </w:p>
    <w:p w14:paraId="71537733" w14:textId="77777777" w:rsidR="006B57F9" w:rsidRDefault="006B57F9" w:rsidP="006B57F9">
      <w:pPr>
        <w:autoSpaceDE w:val="0"/>
        <w:autoSpaceDN w:val="0"/>
        <w:adjustRightInd w:val="0"/>
        <w:rPr>
          <w:sz w:val="20"/>
          <w:szCs w:val="20"/>
        </w:rPr>
      </w:pPr>
      <w:r>
        <w:rPr>
          <w:rFonts w:ascii="Times New Roman" w:hAnsi="Times New Roman" w:cs="Times New Roman" w:hint="eastAsia"/>
          <w:b/>
          <w:bCs/>
          <w:color w:val="000000" w:themeColor="text1"/>
          <w:sz w:val="20"/>
          <w:szCs w:val="20"/>
        </w:rPr>
        <w:t>Supplementary Figure 5. Heatmap and GSEA of RNA-seq data of control U87 glioma cells and PGCCs.</w:t>
      </w:r>
      <w:r>
        <w:rPr>
          <w:rFonts w:hint="eastAsia"/>
          <w:b/>
          <w:bCs/>
          <w:sz w:val="20"/>
          <w:szCs w:val="20"/>
        </w:rPr>
        <w:t xml:space="preserve"> </w:t>
      </w:r>
      <w:r>
        <w:rPr>
          <w:rFonts w:ascii="Times New Roman" w:hAnsi="Times New Roman" w:cs="Times New Roman" w:hint="eastAsia"/>
          <w:szCs w:val="21"/>
        </w:rPr>
        <w:t xml:space="preserve">(A) Heatmap showing clustered RNA expression profiles of U87 parental cells and U87-PGCCs (n=5). (B) GSEA of G2M, p53 and apoptosis pathways in PGCCs versus parental cells. (C) Normalized Cut&amp;tag tracks of BRD4 and H3K27Ac at Myc gene loci. </w:t>
      </w:r>
    </w:p>
    <w:p w14:paraId="2A10E5A7" w14:textId="77777777" w:rsidR="006B57F9" w:rsidRDefault="006B57F9" w:rsidP="006B57F9">
      <w:pPr>
        <w:autoSpaceDE w:val="0"/>
        <w:autoSpaceDN w:val="0"/>
        <w:adjustRightInd w:val="0"/>
        <w:rPr>
          <w:sz w:val="20"/>
          <w:szCs w:val="20"/>
        </w:rPr>
      </w:pPr>
    </w:p>
    <w:p w14:paraId="6546F089" w14:textId="77777777" w:rsidR="006B57F9" w:rsidRDefault="006B57F9" w:rsidP="006B57F9">
      <w:pPr>
        <w:autoSpaceDE w:val="0"/>
        <w:autoSpaceDN w:val="0"/>
        <w:adjustRightInd w:val="0"/>
        <w:rPr>
          <w:rFonts w:ascii="Times New Roman" w:hAnsi="Times New Roman" w:cs="Times New Roman"/>
          <w:szCs w:val="21"/>
        </w:rPr>
      </w:pPr>
      <w:r>
        <w:rPr>
          <w:rFonts w:ascii="Times New Roman" w:hAnsi="Times New Roman" w:cs="Times New Roman" w:hint="eastAsia"/>
          <w:b/>
          <w:bCs/>
          <w:color w:val="000000" w:themeColor="text1"/>
          <w:sz w:val="20"/>
          <w:szCs w:val="20"/>
        </w:rPr>
        <w:t>Supplementary Figure 6. TMZ treatment enhances the expression of BRD4 and H3K27Ac in glioma tumors.</w:t>
      </w:r>
      <w:r>
        <w:rPr>
          <w:rFonts w:hint="eastAsia"/>
          <w:b/>
          <w:bCs/>
          <w:sz w:val="20"/>
          <w:szCs w:val="20"/>
        </w:rPr>
        <w:t xml:space="preserve"> </w:t>
      </w:r>
      <w:r>
        <w:rPr>
          <w:rFonts w:ascii="Times New Roman" w:hAnsi="Times New Roman" w:cs="Times New Roman" w:hint="eastAsia"/>
          <w:szCs w:val="21"/>
        </w:rPr>
        <w:t>(A) Immunohistochemical analysis of BRD4 and H3K27Ac in xenograft tumors with or without TMZ exposure. Arrow indicates representative staining patterns of BRD4 and H3K27Ac in PGCCs. (B) Quantification of BRD4 and H3K27Ac IHC scores in the indicated groups. Data represent the mean ± SD, ** P &lt; 0.01, *** P &lt; 0.001.</w:t>
      </w:r>
    </w:p>
    <w:p w14:paraId="6D86B2CD" w14:textId="77777777" w:rsidR="006B57F9" w:rsidRDefault="006B57F9" w:rsidP="006B57F9">
      <w:pPr>
        <w:autoSpaceDE w:val="0"/>
        <w:autoSpaceDN w:val="0"/>
        <w:adjustRightInd w:val="0"/>
        <w:rPr>
          <w:sz w:val="20"/>
          <w:szCs w:val="20"/>
        </w:rPr>
      </w:pPr>
    </w:p>
    <w:p w14:paraId="6386460D" w14:textId="77777777" w:rsidR="006B57F9" w:rsidRDefault="006B57F9" w:rsidP="006B57F9">
      <w:pPr>
        <w:autoSpaceDE w:val="0"/>
        <w:autoSpaceDN w:val="0"/>
        <w:adjustRightInd w:val="0"/>
        <w:rPr>
          <w:rFonts w:ascii="Times New Roman" w:hAnsi="Times New Roman" w:cs="Times New Roman"/>
          <w:szCs w:val="21"/>
        </w:rPr>
      </w:pPr>
      <w:r>
        <w:rPr>
          <w:rFonts w:ascii="Times New Roman" w:hAnsi="Times New Roman" w:cs="Times New Roman" w:hint="eastAsia"/>
          <w:b/>
          <w:bCs/>
          <w:color w:val="000000" w:themeColor="text1"/>
          <w:sz w:val="20"/>
          <w:szCs w:val="20"/>
        </w:rPr>
        <w:t xml:space="preserve">Supplementary Figure 7. TIE1 expression was markedly elevated in cisplatin-induced PGCCs. </w:t>
      </w:r>
      <w:r>
        <w:rPr>
          <w:rFonts w:ascii="Times New Roman" w:hAnsi="Times New Roman" w:cs="Times New Roman" w:hint="eastAsia"/>
          <w:szCs w:val="21"/>
        </w:rPr>
        <w:t>(A) PI flow cytometry quantification of polyploidy in U87 and U251 cells between control and cisplatin-induced PGCCs. (B) RT-qPCR assessment of TIE1 mRNA levels in PGCCs versus parental glioma cells (control). (C) Western blot analysis of TIE1 protein expression in parental glioma cells (control) and PGCCs. Data represent the mean ± SD, *** P &lt; 0.001, **** P &lt; 0.0001.</w:t>
      </w:r>
    </w:p>
    <w:p w14:paraId="313A4A00" w14:textId="77777777" w:rsidR="006B57F9" w:rsidRDefault="006B57F9" w:rsidP="006B57F9">
      <w:pPr>
        <w:autoSpaceDE w:val="0"/>
        <w:autoSpaceDN w:val="0"/>
        <w:adjustRightInd w:val="0"/>
        <w:rPr>
          <w:sz w:val="20"/>
          <w:szCs w:val="20"/>
        </w:rPr>
      </w:pPr>
    </w:p>
    <w:p w14:paraId="24359D58" w14:textId="77777777" w:rsidR="006B57F9" w:rsidRDefault="006B57F9" w:rsidP="006B57F9">
      <w:pPr>
        <w:autoSpaceDE w:val="0"/>
        <w:autoSpaceDN w:val="0"/>
        <w:adjustRightInd w:val="0"/>
        <w:rPr>
          <w:sz w:val="20"/>
          <w:szCs w:val="20"/>
        </w:rPr>
      </w:pPr>
      <w:r>
        <w:rPr>
          <w:rFonts w:ascii="Times New Roman" w:hAnsi="Times New Roman" w:cs="Times New Roman" w:hint="eastAsia"/>
          <w:b/>
          <w:bCs/>
          <w:color w:val="000000" w:themeColor="text1"/>
          <w:sz w:val="20"/>
          <w:szCs w:val="20"/>
        </w:rPr>
        <w:t>Supplementary Figure 8. Depletion of TIE1 diminishes PGCC-associated tumorsphere formation, invasiveness and chemoresistance.</w:t>
      </w:r>
      <w:r>
        <w:rPr>
          <w:rFonts w:hint="eastAsia"/>
          <w:b/>
          <w:sz w:val="20"/>
          <w:szCs w:val="20"/>
        </w:rPr>
        <w:t xml:space="preserve"> </w:t>
      </w:r>
      <w:r>
        <w:rPr>
          <w:rFonts w:ascii="Times New Roman" w:hAnsi="Times New Roman" w:cs="Times New Roman" w:hint="eastAsia"/>
          <w:szCs w:val="21"/>
        </w:rPr>
        <w:t xml:space="preserve">(A) Representative light micrographs of tumorsphere formation of U87-PGCCs and U251-PGCCs stably expressing shNTC or shTIE1 with or without exposure to PI3K/AKT inhibitor MK2206. scale bar=100μm. (B) Quantitative analysis of relative sphere numbers and relative sphere diameters of U87-PGCCs of the indicated groups. (C) Quantitative analysis of relative sphere numbers and relative sphere diameters of U251-PGCCs of the indicated groups. (D) Transwell assay assessment of the invasion of U87-PGCCs and U251-PGCCs expressing shNTC or shTIE1 with or without </w:t>
      </w:r>
      <w:r>
        <w:rPr>
          <w:rFonts w:ascii="Times New Roman" w:hAnsi="Times New Roman" w:cs="Times New Roman" w:hint="eastAsia"/>
          <w:szCs w:val="21"/>
        </w:rPr>
        <w:lastRenderedPageBreak/>
        <w:t>exposure to MK2206. scale bar=200μm. (E, F) Quantitative analysis of cell invasion in the indicated groups. (G) CCK-8 assay evaluating the effect of MK2206 on TMZ of U87-PGCCs and U251-PGCCs expressing shNTC or shTIE1. (H) CCK-8 assay of the effect of MK2206 on carmustine sensitivity in U87-PGCCs and U251-PGCCs expressing shNTC or shTIE1. Data represent the mean ± SD, ns: no significance, * P &lt; 0.05, ** P &lt; 0.01.</w:t>
      </w:r>
    </w:p>
    <w:p w14:paraId="3DCA2209" w14:textId="77777777" w:rsidR="006B57F9" w:rsidRDefault="006B57F9" w:rsidP="008D0BC6">
      <w:pPr>
        <w:spacing w:line="480" w:lineRule="auto"/>
        <w:rPr>
          <w:rFonts w:ascii="Times New Roman" w:hAnsi="Times New Roman" w:cs="Times New Roman"/>
          <w:color w:val="000000" w:themeColor="text1"/>
          <w:sz w:val="20"/>
          <w:szCs w:val="20"/>
        </w:rPr>
      </w:pPr>
    </w:p>
    <w:p w14:paraId="0D5C3FFE"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C6"/>
    <w:rsid w:val="000C4033"/>
    <w:rsid w:val="00173ED8"/>
    <w:rsid w:val="0035709F"/>
    <w:rsid w:val="004B42CB"/>
    <w:rsid w:val="005F2B46"/>
    <w:rsid w:val="006B57F9"/>
    <w:rsid w:val="006E1731"/>
    <w:rsid w:val="00866D74"/>
    <w:rsid w:val="00882A73"/>
    <w:rsid w:val="008D0BC6"/>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69F6"/>
  <w15:chartTrackingRefBased/>
  <w15:docId w15:val="{A770036A-4874-49CE-B40B-6C55A73E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C6"/>
    <w:pPr>
      <w:widowControl w:val="0"/>
      <w:spacing w:after="0" w:line="240" w:lineRule="auto"/>
      <w:jc w:val="both"/>
    </w:pPr>
    <w:rPr>
      <w:rFonts w:eastAsiaTheme="minorEastAsia"/>
      <w:sz w:val="21"/>
      <w:szCs w:val="22"/>
      <w:lang w:val="en-US" w:eastAsia="zh-CN"/>
      <w14:ligatures w14:val="none"/>
    </w:rPr>
  </w:style>
  <w:style w:type="paragraph" w:styleId="Heading1">
    <w:name w:val="heading 1"/>
    <w:basedOn w:val="Normal"/>
    <w:next w:val="Normal"/>
    <w:link w:val="Heading1Char"/>
    <w:uiPriority w:val="9"/>
    <w:qFormat/>
    <w:rsid w:val="008D0BC6"/>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8D0BC6"/>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8D0BC6"/>
    <w:pPr>
      <w:keepNext/>
      <w:keepLines/>
      <w:widowControl/>
      <w:spacing w:before="160" w:after="80" w:line="278" w:lineRule="auto"/>
      <w:jc w:val="left"/>
      <w:outlineLvl w:val="2"/>
    </w:pPr>
    <w:rPr>
      <w:rFonts w:eastAsiaTheme="majorEastAsia" w:cstheme="majorBidi"/>
      <w:color w:val="0F4761" w:themeColor="accent1" w:themeShade="BF"/>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8D0BC6"/>
    <w:pPr>
      <w:keepNext/>
      <w:keepLines/>
      <w:widowControl/>
      <w:spacing w:before="80" w:after="40" w:line="278" w:lineRule="auto"/>
      <w:jc w:val="left"/>
      <w:outlineLvl w:val="3"/>
    </w:pPr>
    <w:rPr>
      <w:rFonts w:eastAsiaTheme="majorEastAsia" w:cstheme="majorBidi"/>
      <w:i/>
      <w:iCs/>
      <w:color w:val="0F4761" w:themeColor="accent1" w:themeShade="BF"/>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8D0BC6"/>
    <w:pPr>
      <w:keepNext/>
      <w:keepLines/>
      <w:widowControl/>
      <w:spacing w:before="80" w:after="40" w:line="278" w:lineRule="auto"/>
      <w:jc w:val="left"/>
      <w:outlineLvl w:val="4"/>
    </w:pPr>
    <w:rPr>
      <w:rFonts w:eastAsiaTheme="majorEastAsia" w:cstheme="majorBidi"/>
      <w:color w:val="0F4761" w:themeColor="accent1" w:themeShade="BF"/>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8D0BC6"/>
    <w:pPr>
      <w:keepNext/>
      <w:keepLines/>
      <w:widowControl/>
      <w:spacing w:before="40" w:line="278" w:lineRule="auto"/>
      <w:jc w:val="left"/>
      <w:outlineLvl w:val="5"/>
    </w:pPr>
    <w:rPr>
      <w:rFonts w:eastAsiaTheme="majorEastAsia" w:cstheme="majorBidi"/>
      <w:i/>
      <w:iCs/>
      <w:color w:val="595959" w:themeColor="text1" w:themeTint="A6"/>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8D0BC6"/>
    <w:pPr>
      <w:keepNext/>
      <w:keepLines/>
      <w:widowControl/>
      <w:spacing w:before="40" w:line="278" w:lineRule="auto"/>
      <w:jc w:val="left"/>
      <w:outlineLvl w:val="6"/>
    </w:pPr>
    <w:rPr>
      <w:rFonts w:eastAsiaTheme="majorEastAsia" w:cstheme="majorBidi"/>
      <w:color w:val="595959" w:themeColor="text1" w:themeTint="A6"/>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8D0BC6"/>
    <w:pPr>
      <w:keepNext/>
      <w:keepLines/>
      <w:widowControl/>
      <w:spacing w:line="278" w:lineRule="auto"/>
      <w:jc w:val="left"/>
      <w:outlineLvl w:val="7"/>
    </w:pPr>
    <w:rPr>
      <w:rFonts w:eastAsiaTheme="majorEastAsia" w:cstheme="majorBidi"/>
      <w:i/>
      <w:iCs/>
      <w:color w:val="272727" w:themeColor="text1" w:themeTint="D8"/>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8D0BC6"/>
    <w:pPr>
      <w:keepNext/>
      <w:keepLines/>
      <w:widowControl/>
      <w:spacing w:line="278" w:lineRule="auto"/>
      <w:jc w:val="left"/>
      <w:outlineLvl w:val="8"/>
    </w:pPr>
    <w:rPr>
      <w:rFonts w:eastAsiaTheme="majorEastAsia" w:cstheme="majorBidi"/>
      <w:color w:val="272727" w:themeColor="text1" w:themeTint="D8"/>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BC6"/>
    <w:rPr>
      <w:rFonts w:eastAsiaTheme="majorEastAsia" w:cstheme="majorBidi"/>
      <w:color w:val="272727" w:themeColor="text1" w:themeTint="D8"/>
    </w:rPr>
  </w:style>
  <w:style w:type="paragraph" w:styleId="Title">
    <w:name w:val="Title"/>
    <w:basedOn w:val="Normal"/>
    <w:next w:val="Normal"/>
    <w:link w:val="TitleChar"/>
    <w:uiPriority w:val="10"/>
    <w:qFormat/>
    <w:rsid w:val="008D0BC6"/>
    <w:pPr>
      <w:widowControl/>
      <w:spacing w:after="80"/>
      <w:contextualSpacing/>
      <w:jc w:val="left"/>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8D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BC6"/>
    <w:pPr>
      <w:widowControl/>
      <w:numPr>
        <w:ilvl w:val="1"/>
      </w:numPr>
      <w:spacing w:after="160" w:line="278" w:lineRule="auto"/>
      <w:jc w:val="left"/>
    </w:pPr>
    <w:rPr>
      <w:rFonts w:eastAsiaTheme="majorEastAsia" w:cstheme="majorBidi"/>
      <w:color w:val="595959" w:themeColor="text1" w:themeTint="A6"/>
      <w:spacing w:val="15"/>
      <w:sz w:val="28"/>
      <w:szCs w:val="28"/>
      <w:lang w:val="en-IN" w:eastAsia="en-US"/>
      <w14:ligatures w14:val="standardContextual"/>
    </w:rPr>
  </w:style>
  <w:style w:type="character" w:customStyle="1" w:styleId="SubtitleChar">
    <w:name w:val="Subtitle Char"/>
    <w:basedOn w:val="DefaultParagraphFont"/>
    <w:link w:val="Subtitle"/>
    <w:uiPriority w:val="11"/>
    <w:rsid w:val="008D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BC6"/>
    <w:pPr>
      <w:widowControl/>
      <w:spacing w:before="160" w:after="160" w:line="278" w:lineRule="auto"/>
      <w:jc w:val="center"/>
    </w:pPr>
    <w:rPr>
      <w:rFonts w:eastAsiaTheme="minorHAnsi"/>
      <w:i/>
      <w:iCs/>
      <w:color w:val="404040" w:themeColor="text1" w:themeTint="BF"/>
      <w:sz w:val="24"/>
      <w:szCs w:val="24"/>
      <w:lang w:val="en-IN" w:eastAsia="en-US"/>
      <w14:ligatures w14:val="standardContextual"/>
    </w:rPr>
  </w:style>
  <w:style w:type="character" w:customStyle="1" w:styleId="QuoteChar">
    <w:name w:val="Quote Char"/>
    <w:basedOn w:val="DefaultParagraphFont"/>
    <w:link w:val="Quote"/>
    <w:uiPriority w:val="29"/>
    <w:rsid w:val="008D0BC6"/>
    <w:rPr>
      <w:i/>
      <w:iCs/>
      <w:color w:val="404040" w:themeColor="text1" w:themeTint="BF"/>
    </w:rPr>
  </w:style>
  <w:style w:type="paragraph" w:styleId="ListParagraph">
    <w:name w:val="List Paragraph"/>
    <w:basedOn w:val="Normal"/>
    <w:uiPriority w:val="34"/>
    <w:qFormat/>
    <w:rsid w:val="008D0BC6"/>
    <w:pPr>
      <w:widowControl/>
      <w:spacing w:after="160" w:line="278" w:lineRule="auto"/>
      <w:ind w:left="720"/>
      <w:contextualSpacing/>
      <w:jc w:val="left"/>
    </w:pPr>
    <w:rPr>
      <w:rFonts w:eastAsiaTheme="minorHAnsi"/>
      <w:sz w:val="24"/>
      <w:szCs w:val="24"/>
      <w:lang w:val="en-IN" w:eastAsia="en-US"/>
      <w14:ligatures w14:val="standardContextual"/>
    </w:rPr>
  </w:style>
  <w:style w:type="character" w:styleId="IntenseEmphasis">
    <w:name w:val="Intense Emphasis"/>
    <w:basedOn w:val="DefaultParagraphFont"/>
    <w:uiPriority w:val="21"/>
    <w:qFormat/>
    <w:rsid w:val="008D0BC6"/>
    <w:rPr>
      <w:i/>
      <w:iCs/>
      <w:color w:val="0F4761" w:themeColor="accent1" w:themeShade="BF"/>
    </w:rPr>
  </w:style>
  <w:style w:type="paragraph" w:styleId="IntenseQuote">
    <w:name w:val="Intense Quote"/>
    <w:basedOn w:val="Normal"/>
    <w:next w:val="Normal"/>
    <w:link w:val="IntenseQuoteChar"/>
    <w:uiPriority w:val="30"/>
    <w:qFormat/>
    <w:rsid w:val="008D0BC6"/>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8D0BC6"/>
    <w:rPr>
      <w:i/>
      <w:iCs/>
      <w:color w:val="0F4761" w:themeColor="accent1" w:themeShade="BF"/>
    </w:rPr>
  </w:style>
  <w:style w:type="character" w:styleId="IntenseReference">
    <w:name w:val="Intense Reference"/>
    <w:basedOn w:val="DefaultParagraphFont"/>
    <w:uiPriority w:val="32"/>
    <w:qFormat/>
    <w:rsid w:val="008D0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2</cp:revision>
  <dcterms:created xsi:type="dcterms:W3CDTF">2026-05-18T21:25:00Z</dcterms:created>
  <dcterms:modified xsi:type="dcterms:W3CDTF">2026-05-18T21:26:00Z</dcterms:modified>
</cp:coreProperties>
</file>