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1A3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Supplementary Materials</w:t>
      </w:r>
    </w:p>
    <w:p w14:paraId="40566025">
      <w:pPr>
        <w:spacing w:line="360" w:lineRule="auto"/>
        <w:rPr>
          <w:rFonts w:ascii="Times New Roman" w:hAnsi="Times New Roman" w:cs="Times New Roman"/>
          <w:sz w:val="28"/>
          <w:szCs w:val="36"/>
        </w:rPr>
      </w:pPr>
    </w:p>
    <w:p w14:paraId="7761EE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Prediction of Neoadjuvant Therapy Response in Locally Advanced Gastric Cancer Based on ctSLEP Score and Spectral CT</w:t>
      </w:r>
    </w:p>
    <w:p w14:paraId="37238582">
      <w:pPr>
        <w:spacing w:line="360" w:lineRule="auto"/>
        <w:rPr>
          <w:rFonts w:ascii="Times New Roman" w:hAnsi="Times New Roman" w:cs="Times New Roman"/>
          <w:sz w:val="28"/>
          <w:szCs w:val="36"/>
        </w:rPr>
      </w:pPr>
    </w:p>
    <w:p w14:paraId="2882881E">
      <w:pPr>
        <w:spacing w:line="360" w:lineRule="auto"/>
        <w:rPr>
          <w:rFonts w:ascii="Times New Roman" w:hAnsi="Times New Roman" w:cs="Times New Roman"/>
          <w:sz w:val="28"/>
          <w:szCs w:val="36"/>
        </w:rPr>
      </w:pPr>
    </w:p>
    <w:p w14:paraId="0490B5E5">
      <w:pPr>
        <w:spacing w:line="360" w:lineRule="auto"/>
        <w:rPr>
          <w:rFonts w:ascii="Times New Roman" w:hAnsi="Times New Roman" w:cs="Times New Roman"/>
          <w:sz w:val="28"/>
          <w:szCs w:val="36"/>
        </w:rPr>
      </w:pPr>
    </w:p>
    <w:p w14:paraId="3A3CAD5A">
      <w:pPr>
        <w:numPr>
          <w:ilvl w:val="0"/>
          <w:numId w:val="1"/>
        </w:numPr>
        <w:spacing w:line="360" w:lineRule="auto"/>
        <w:jc w:val="left"/>
        <w:rPr>
          <w:rFonts w:ascii="Times New Roman" w:hAnsi="Times New Roman" w:cs="Times New Roman"/>
          <w:sz w:val="28"/>
          <w:szCs w:val="36"/>
        </w:rPr>
      </w:pPr>
      <w:r>
        <w:rPr>
          <w:rFonts w:ascii="Times New Roman" w:hAnsi="Times New Roman" w:cs="Times New Roman"/>
          <w:sz w:val="28"/>
          <w:szCs w:val="36"/>
        </w:rPr>
        <w:t>Supplementary Information</w:t>
      </w:r>
    </w:p>
    <w:p w14:paraId="44D33B5F">
      <w:pPr>
        <w:numPr>
          <w:ilvl w:val="0"/>
          <w:numId w:val="1"/>
        </w:numPr>
        <w:spacing w:line="360" w:lineRule="auto"/>
        <w:jc w:val="left"/>
        <w:rPr>
          <w:rFonts w:ascii="Times New Roman" w:hAnsi="Times New Roman" w:cs="Times New Roman"/>
          <w:sz w:val="28"/>
          <w:szCs w:val="36"/>
        </w:rPr>
      </w:pPr>
      <w:r>
        <w:rPr>
          <w:rFonts w:ascii="Times New Roman" w:hAnsi="Times New Roman" w:cs="Times New Roman"/>
          <w:sz w:val="28"/>
          <w:szCs w:val="36"/>
        </w:rPr>
        <w:t>Supplementary Figures</w:t>
      </w:r>
    </w:p>
    <w:p w14:paraId="76999801">
      <w:pPr>
        <w:numPr>
          <w:ilvl w:val="0"/>
          <w:numId w:val="1"/>
        </w:numPr>
        <w:spacing w:line="360" w:lineRule="auto"/>
        <w:jc w:val="left"/>
        <w:rPr>
          <w:rFonts w:ascii="Times New Roman" w:hAnsi="Times New Roman" w:cs="Times New Roman"/>
          <w:sz w:val="28"/>
          <w:szCs w:val="36"/>
        </w:rPr>
      </w:pPr>
      <w:r>
        <w:rPr>
          <w:rFonts w:ascii="Times New Roman" w:hAnsi="Times New Roman" w:cs="Times New Roman"/>
          <w:sz w:val="28"/>
          <w:szCs w:val="36"/>
        </w:rPr>
        <w:t>Supplementary Tables</w:t>
      </w:r>
    </w:p>
    <w:p w14:paraId="7D695F29">
      <w:pPr>
        <w:numPr>
          <w:ilvl w:val="0"/>
          <w:numId w:val="1"/>
        </w:numPr>
        <w:spacing w:line="360" w:lineRule="auto"/>
        <w:jc w:val="left"/>
        <w:rPr>
          <w:rFonts w:ascii="Times New Roman" w:hAnsi="Times New Roman" w:cs="Times New Roman"/>
          <w:sz w:val="28"/>
          <w:szCs w:val="36"/>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cs="Times New Roman"/>
          <w:sz w:val="28"/>
          <w:szCs w:val="36"/>
        </w:rPr>
        <w:t>Supplementary Reference</w:t>
      </w:r>
    </w:p>
    <w:p w14:paraId="4E74B163">
      <w:pPr>
        <w:spacing w:line="360" w:lineRule="auto"/>
        <w:jc w:val="center"/>
        <w:rPr>
          <w:rFonts w:ascii="Times New Roman" w:hAnsi="Times New Roman" w:cs="Times New Roman"/>
          <w:b/>
          <w:bCs/>
          <w:sz w:val="28"/>
          <w:szCs w:val="36"/>
        </w:rPr>
      </w:pPr>
      <w:r>
        <w:rPr>
          <w:rFonts w:ascii="Times New Roman" w:hAnsi="Times New Roman" w:cs="Times New Roman"/>
          <w:b/>
          <w:bCs/>
          <w:sz w:val="28"/>
          <w:szCs w:val="36"/>
        </w:rPr>
        <w:t>Supplementary Information</w:t>
      </w:r>
    </w:p>
    <w:p w14:paraId="6DC608CA">
      <w:pPr>
        <w:widowControl/>
        <w:spacing w:before="480" w:after="156" w:afterLines="50" w:line="276" w:lineRule="auto"/>
        <w:jc w:val="left"/>
        <w:rPr>
          <w:rFonts w:ascii="Times New Roman" w:hAnsi="Times New Roman" w:cs="Times New Roman"/>
          <w:b/>
          <w:bCs/>
          <w:sz w:val="24"/>
        </w:rPr>
      </w:pPr>
      <w:r>
        <w:rPr>
          <w:rFonts w:ascii="Times New Roman" w:hAnsi="Times New Roman" w:cs="Times New Roman"/>
          <w:b/>
          <w:bCs/>
          <w:sz w:val="24"/>
        </w:rPr>
        <w:t xml:space="preserve">Supplementary Appendix 1: Clinicopathological Characteristics </w:t>
      </w:r>
    </w:p>
    <w:p w14:paraId="614C27D0">
      <w:pPr>
        <w:widowControl/>
        <w:spacing w:after="200" w:line="276" w:lineRule="auto"/>
        <w:jc w:val="left"/>
        <w:rPr>
          <w:rFonts w:ascii="Times New Roman" w:hAnsi="Times New Roman" w:cs="Times New Roman"/>
          <w:sz w:val="24"/>
        </w:rPr>
      </w:pPr>
      <w:r>
        <w:rPr>
          <w:rFonts w:ascii="Times New Roman" w:hAnsi="Times New Roman" w:cs="Times New Roman"/>
          <w:sz w:val="24"/>
        </w:rPr>
        <w:t>Clinical Data: Patient information collected included gender, age, body mass index (BMI), preoperative Clinical T (cT) and N (cN), tumor location (cardia/fundus, body, antrum/pylorus, or involving ≥2/3 of the stomach), Borrmann classification under gastroscopy, histological differentiation (well/moderately vs. poorly/undifferentiated), and NAT regimen type (NAC alone or combination therapy).</w:t>
      </w:r>
      <w:r>
        <w:rPr>
          <w:rFonts w:ascii="Times New Roman" w:hAnsi="Times New Roman" w:cs="Times New Roman"/>
          <w:sz w:val="24"/>
        </w:rPr>
        <w:br w:type="textWrapping"/>
      </w:r>
      <w:r>
        <w:rPr>
          <w:rFonts w:ascii="Times New Roman" w:hAnsi="Times New Roman" w:cs="Times New Roman"/>
          <w:sz w:val="24"/>
        </w:rPr>
        <w:t xml:space="preserve">   Pre-NAT peripheral blood parameters—neutrophil, lymphocyte, monocyte counts, and hematocrit (HCT)—were recorded to calculate the neutrophil-to-lymphocyte ratio (NLR), lymphocyte-to-monocyte ratio (LMR), and extracellular volume (ECV). Serum carcinoembryonic antigen (CEA) and carbohydrate antigen 19-9 (CA19-9) levels were also measured, with positive thresholds defined as CEA &gt; 5 ng/mL and CA19-9 &gt; 27 U/mL.</w:t>
      </w:r>
    </w:p>
    <w:p w14:paraId="41A04F46">
      <w:pPr>
        <w:widowControl/>
        <w:spacing w:before="480" w:after="156" w:afterLines="50" w:line="276" w:lineRule="auto"/>
        <w:jc w:val="left"/>
        <w:rPr>
          <w:rFonts w:ascii="Times New Roman" w:hAnsi="Times New Roman" w:cs="Times New Roman"/>
          <w:b/>
          <w:bCs/>
          <w:sz w:val="24"/>
        </w:rPr>
      </w:pPr>
      <w:r>
        <w:rPr>
          <w:rFonts w:ascii="Times New Roman" w:hAnsi="Times New Roman" w:cs="Times New Roman"/>
          <w:b/>
          <w:bCs/>
          <w:sz w:val="24"/>
        </w:rPr>
        <w:t>Supplementary Appendix 2: Neoadjuvant Therapy (NAT) Regimens</w:t>
      </w:r>
    </w:p>
    <w:p w14:paraId="3E0DFBCF">
      <w:pPr>
        <w:widowControl/>
        <w:spacing w:after="200" w:line="276" w:lineRule="auto"/>
        <w:jc w:val="left"/>
        <w:rPr>
          <w:rFonts w:ascii="Times New Roman" w:hAnsi="Times New Roman" w:cs="Times New Roman"/>
          <w:sz w:val="24"/>
        </w:rPr>
      </w:pPr>
      <w:r>
        <w:rPr>
          <w:rFonts w:ascii="Times New Roman" w:hAnsi="Times New Roman" w:cs="Times New Roman"/>
          <w:sz w:val="24"/>
        </w:rPr>
        <w:t>Patients received neoadjuvant chemotherapy (NAC) alone or NAC combined with immunotherapy and/or targeted therapy(median 4 cycles, range 2–8). After NAT completion, all patients underwent radical gastrectomy (total, distal, or proximal) with D2 lymphadenectomy.</w:t>
      </w:r>
    </w:p>
    <w:p w14:paraId="398203B3">
      <w:pPr>
        <w:widowControl/>
        <w:spacing w:after="200" w:line="276" w:lineRule="auto"/>
        <w:jc w:val="left"/>
        <w:rPr>
          <w:rFonts w:ascii="Times New Roman" w:hAnsi="Times New Roman" w:cs="Times New Roman"/>
          <w:sz w:val="24"/>
        </w:rPr>
      </w:pPr>
      <w:r>
        <w:rPr>
          <w:rFonts w:ascii="Times New Roman" w:hAnsi="Times New Roman" w:cs="Times New Roman"/>
          <w:sz w:val="24"/>
        </w:rPr>
        <w:t>1. NAC Regimens (2–4 cycles):</w:t>
      </w:r>
    </w:p>
    <w:p w14:paraId="4BD4B927">
      <w:pPr>
        <w:widowControl/>
        <w:numPr>
          <w:ilvl w:val="0"/>
          <w:numId w:val="2"/>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SOX regimen: Oxaliplatin 130 mg/m² IV infusion; S-1 60 mg/m² orally, twice daily for 14 days.</w:t>
      </w:r>
    </w:p>
    <w:p w14:paraId="3ACFDFD1">
      <w:pPr>
        <w:widowControl/>
        <w:numPr>
          <w:ilvl w:val="0"/>
          <w:numId w:val="2"/>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FLOT regimen: Docetaxel 50 mg/m², Oxaliplatin 85 mg/m², Leucovorin 200 mg/m², and 5-FU 2,600 mg/m² IV every 2 weeks.</w:t>
      </w:r>
    </w:p>
    <w:p w14:paraId="53CA15D0">
      <w:pPr>
        <w:widowControl/>
        <w:numPr>
          <w:ilvl w:val="0"/>
          <w:numId w:val="2"/>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Paclitaxel-based regimen: Paclitaxel 100 mg/m², Oxaliplatin 130 mg/m² IV infusion; S-1 60 mg/m² orally, twice daily for 14 days.</w:t>
      </w:r>
    </w:p>
    <w:p w14:paraId="0AB3B1F2">
      <w:pPr>
        <w:widowControl/>
        <w:numPr>
          <w:ilvl w:val="0"/>
          <w:numId w:val="2"/>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XELOX regimen: Oxaliplatin 130 mg/m² IV infusion; Capecitabine 1,000 mg/m² orally, twice daily for 14 days.</w:t>
      </w:r>
    </w:p>
    <w:p w14:paraId="2ABE3B2D">
      <w:pPr>
        <w:widowControl/>
        <w:numPr>
          <w:ilvl w:val="0"/>
          <w:numId w:val="3"/>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Immunotherapy: PD-L1 inhibitors—Sintilimab or Atezolizumab.</w:t>
      </w:r>
    </w:p>
    <w:p w14:paraId="5EF0F1E8">
      <w:pPr>
        <w:widowControl/>
        <w:numPr>
          <w:ilvl w:val="0"/>
          <w:numId w:val="3"/>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Targeted Therapy:</w:t>
      </w:r>
    </w:p>
    <w:p w14:paraId="5C7D32D6">
      <w:pPr>
        <w:widowControl/>
        <w:numPr>
          <w:ilvl w:val="0"/>
          <w:numId w:val="4"/>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HER2-targeted therapy: Trastuzumab.</w:t>
      </w:r>
    </w:p>
    <w:p w14:paraId="4A14289D">
      <w:pPr>
        <w:widowControl/>
        <w:numPr>
          <w:ilvl w:val="0"/>
          <w:numId w:val="4"/>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VEGF inhibitor: Bevacizumab.</w:t>
      </w:r>
    </w:p>
    <w:p w14:paraId="0266E5F5">
      <w:pPr>
        <w:widowControl/>
        <w:numPr>
          <w:ilvl w:val="0"/>
          <w:numId w:val="4"/>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VEGFR inhibitor: Apatinib.</w:t>
      </w:r>
    </w:p>
    <w:p w14:paraId="40909017">
      <w:pPr>
        <w:widowControl/>
        <w:numPr>
          <w:ilvl w:val="0"/>
          <w:numId w:val="4"/>
        </w:numPr>
        <w:spacing w:after="200" w:line="276" w:lineRule="auto"/>
        <w:jc w:val="left"/>
        <w:rPr>
          <w:rFonts w:ascii="Times New Roman" w:hAnsi="Times New Roman" w:eastAsia="宋体" w:cs="Times New Roman"/>
          <w:kern w:val="0"/>
          <w:sz w:val="24"/>
          <w:lang w:eastAsia="en-US"/>
        </w:rPr>
      </w:pPr>
      <w:r>
        <w:rPr>
          <w:rFonts w:ascii="Times New Roman" w:hAnsi="Times New Roman" w:cs="Times New Roman"/>
          <w:sz w:val="24"/>
        </w:rPr>
        <w:t>EGFR inhibitor: Cetuximab.</w:t>
      </w:r>
    </w:p>
    <w:p w14:paraId="04F4A305">
      <w:pPr>
        <w:keepNext/>
        <w:keepLines/>
        <w:spacing w:before="480" w:after="156" w:afterLines="50" w:line="360" w:lineRule="auto"/>
        <w:outlineLvl w:val="0"/>
        <w:rPr>
          <w:rFonts w:ascii="Times New Roman" w:hAnsi="Times New Roman" w:eastAsia="宋体" w:cs="Times New Roman"/>
          <w:b/>
          <w:bCs/>
          <w:sz w:val="24"/>
          <w:lang w:eastAsia="en-US"/>
        </w:rPr>
      </w:pPr>
      <w:r>
        <w:rPr>
          <w:rFonts w:ascii="Times New Roman" w:hAnsi="Times New Roman" w:eastAsia="宋体" w:cs="Times New Roman"/>
          <w:b/>
          <w:bCs/>
          <w:sz w:val="24"/>
          <w:lang w:eastAsia="en-US"/>
        </w:rPr>
        <w:t xml:space="preserve">Supplementary Appendix </w:t>
      </w:r>
      <w:r>
        <w:rPr>
          <w:rFonts w:ascii="Times New Roman" w:hAnsi="Times New Roman" w:eastAsia="宋体" w:cs="Times New Roman"/>
          <w:b/>
          <w:bCs/>
          <w:sz w:val="24"/>
        </w:rPr>
        <w:t>3</w:t>
      </w:r>
      <w:r>
        <w:rPr>
          <w:rFonts w:ascii="Times New Roman" w:hAnsi="Times New Roman" w:eastAsia="宋体" w:cs="Times New Roman"/>
          <w:b/>
          <w:bCs/>
          <w:sz w:val="24"/>
          <w:lang w:eastAsia="en-US"/>
        </w:rPr>
        <w:t>: Key imaging features for differentiating ctSI, ctEMVI, ctLVI, and ctOPM at cT4a stage</w:t>
      </w:r>
      <w:r>
        <w:rPr>
          <w:rFonts w:ascii="Times New Roman" w:hAnsi="Times New Roman" w:eastAsia="宋体" w:cs="Times New Roman"/>
          <w:b/>
          <w:bCs/>
          <w:sz w:val="24"/>
          <w:vertAlign w:val="superscript"/>
          <w:lang w:eastAsia="en-US"/>
        </w:rPr>
        <w:fldChar w:fldCharType="begin">
          <w:fldData xml:space="preserve">PEVuZE5vdGU+PENpdGU+PEF1dGhvcj5MaTwvQXV0aG9yPjxZZWFyPjIwMjU8L1llYXI+PFJlY051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</w:fldData>
        </w:fldChar>
      </w:r>
      <w:r>
        <w:rPr>
          <w:rFonts w:hint="eastAsia" w:ascii="Times New Roman" w:hAnsi="Times New Roman" w:eastAsia="宋体" w:cs="Times New Roman"/>
          <w:b/>
          <w:bCs/>
          <w:sz w:val="24"/>
          <w:vertAlign w:val="superscript"/>
          <w:lang w:eastAsia="zh-CN"/>
        </w:rPr>
        <w:instrText xml:space="preserve"> ADDIN EN.CITE </w:instrText>
      </w:r>
      <w:r>
        <w:rPr>
          <w:rFonts w:hint="eastAsia" w:ascii="Times New Roman" w:hAnsi="Times New Roman" w:eastAsia="宋体" w:cs="Times New Roman"/>
          <w:b/>
          <w:bCs/>
          <w:sz w:val="24"/>
          <w:vertAlign w:val="superscript"/>
          <w:lang w:eastAsia="zh-CN"/>
        </w:rPr>
        <w:fldChar w:fldCharType="begin">
          <w:fldData xml:space="preserve">PEVuZE5vdGU+PENpdGU+PEF1dGhvcj5MaTwvQXV0aG9yPjxZZWFyPjIwMjU8L1llYXI+PFJlY051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</w:fldData>
        </w:fldChar>
      </w:r>
      <w:r>
        <w:rPr>
          <w:rFonts w:hint="eastAsia" w:ascii="Times New Roman" w:hAnsi="Times New Roman" w:eastAsia="宋体" w:cs="Times New Roman"/>
          <w:b/>
          <w:bCs/>
          <w:sz w:val="24"/>
          <w:vertAlign w:val="superscript"/>
          <w:lang w:eastAsia="zh-CN"/>
        </w:rPr>
        <w:instrText xml:space="preserve"> ADDIN EN.CITE.DATA </w:instrText>
      </w:r>
      <w:r>
        <w:rPr>
          <w:rFonts w:hint="eastAsia" w:ascii="Times New Roman" w:hAnsi="Times New Roman" w:eastAsia="宋体" w:cs="Times New Roman"/>
          <w:b/>
          <w:bCs/>
          <w:sz w:val="24"/>
          <w:vertAlign w:val="superscript"/>
          <w:lang w:eastAsia="zh-CN"/>
        </w:rPr>
        <w:fldChar w:fldCharType="separate"/>
      </w:r>
      <w:r>
        <w:rPr>
          <w:rFonts w:hint="eastAsia" w:ascii="Times New Roman" w:hAnsi="Times New Roman" w:eastAsia="宋体" w:cs="Times New Roman"/>
          <w:b/>
          <w:bCs/>
          <w:sz w:val="24"/>
          <w:vertAlign w:val="superscript"/>
          <w:lang w:eastAsia="zh-CN"/>
        </w:rPr>
        <w:fldChar w:fldCharType="end"/>
      </w:r>
      <w:r>
        <w:rPr>
          <w:rFonts w:ascii="Times New Roman" w:hAnsi="Times New Roman" w:eastAsia="宋体" w:cs="Times New Roman"/>
          <w:b/>
          <w:bCs/>
          <w:sz w:val="24"/>
          <w:vertAlign w:val="superscript"/>
          <w:lang w:eastAsia="en-US"/>
        </w:rPr>
        <w:fldChar w:fldCharType="separate"/>
      </w:r>
      <w:r>
        <w:rPr>
          <w:rFonts w:ascii="Times New Roman" w:hAnsi="Times New Roman" w:eastAsia="宋体" w:cs="Times New Roman"/>
          <w:b/>
          <w:bCs/>
          <w:sz w:val="24"/>
          <w:vertAlign w:val="superscript"/>
          <w:lang w:eastAsia="en-US"/>
        </w:rPr>
        <w:t>[1]</w:t>
      </w:r>
      <w:r>
        <w:rPr>
          <w:rFonts w:ascii="Times New Roman" w:hAnsi="Times New Roman" w:eastAsia="宋体" w:cs="Times New Roman"/>
          <w:b/>
          <w:bCs/>
          <w:sz w:val="24"/>
          <w:vertAlign w:val="superscript"/>
          <w:lang w:eastAsia="en-US"/>
        </w:rPr>
        <w:fldChar w:fldCharType="end"/>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9"/>
        <w:gridCol w:w="3607"/>
        <w:gridCol w:w="2886"/>
      </w:tblGrid>
      <w:tr w14:paraId="35D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29" w:type="dxa"/>
            <w:tcBorders>
              <w:top w:val="single" w:color="000000" w:sz="12" w:space="0"/>
              <w:left w:val="nil"/>
              <w:bottom w:val="single" w:color="000000" w:sz="4" w:space="0"/>
              <w:right w:val="nil"/>
              <w:tl2br w:val="nil"/>
            </w:tcBorders>
            <w:shd w:val="clear" w:color="auto" w:fill="FFFFFF"/>
            <w:vAlign w:val="center"/>
          </w:tcPr>
          <w:p w14:paraId="381EA712">
            <w:pPr>
              <w:widowControl/>
              <w:snapToGrid w:val="0"/>
              <w:jc w:val="center"/>
              <w:rPr>
                <w:rFonts w:ascii="Times New Roman" w:hAnsi="Times New Roman" w:eastAsia="宋体" w:cs="Times New Roman"/>
                <w:b/>
                <w:color w:val="000000"/>
                <w:kern w:val="0"/>
                <w:sz w:val="22"/>
                <w:szCs w:val="22"/>
                <w:lang w:eastAsia="en-US"/>
              </w:rPr>
            </w:pPr>
            <w:r>
              <w:rPr>
                <w:rFonts w:ascii="Times New Roman" w:hAnsi="Times New Roman" w:eastAsia="宋体" w:cs="Times New Roman"/>
                <w:b/>
                <w:color w:val="000000"/>
                <w:kern w:val="0"/>
                <w:sz w:val="22"/>
                <w:szCs w:val="22"/>
                <w:lang w:eastAsia="en-US"/>
              </w:rPr>
              <w:t>Imaging Feature</w:t>
            </w:r>
          </w:p>
        </w:tc>
        <w:tc>
          <w:tcPr>
            <w:tcW w:w="3607" w:type="dxa"/>
            <w:tcBorders>
              <w:top w:val="single" w:color="000000" w:sz="12" w:space="0"/>
              <w:left w:val="nil"/>
              <w:bottom w:val="single" w:color="000000" w:sz="4" w:space="0"/>
              <w:right w:val="nil"/>
            </w:tcBorders>
            <w:shd w:val="clear" w:color="auto" w:fill="FFFFFF"/>
            <w:vAlign w:val="center"/>
          </w:tcPr>
          <w:p w14:paraId="0AFC367C">
            <w:pPr>
              <w:widowControl/>
              <w:snapToGrid w:val="0"/>
              <w:jc w:val="center"/>
              <w:rPr>
                <w:rFonts w:ascii="Times New Roman" w:hAnsi="Times New Roman" w:eastAsia="宋体" w:cs="Times New Roman"/>
                <w:b/>
                <w:color w:val="000000"/>
                <w:kern w:val="0"/>
                <w:sz w:val="22"/>
                <w:szCs w:val="22"/>
                <w:lang w:eastAsia="en-US"/>
              </w:rPr>
            </w:pPr>
            <w:r>
              <w:rPr>
                <w:rFonts w:ascii="Times New Roman" w:hAnsi="Times New Roman" w:eastAsia="宋体" w:cs="Times New Roman"/>
                <w:b/>
                <w:color w:val="000000"/>
                <w:kern w:val="0"/>
                <w:sz w:val="22"/>
                <w:szCs w:val="22"/>
                <w:lang w:eastAsia="en-US"/>
              </w:rPr>
              <w:t>Key Imaging Findings</w:t>
            </w:r>
          </w:p>
        </w:tc>
        <w:tc>
          <w:tcPr>
            <w:tcW w:w="2886" w:type="dxa"/>
            <w:tcBorders>
              <w:top w:val="single" w:color="000000" w:sz="12" w:space="0"/>
              <w:left w:val="nil"/>
              <w:bottom w:val="single" w:color="000000" w:sz="4" w:space="0"/>
              <w:right w:val="nil"/>
            </w:tcBorders>
            <w:shd w:val="clear" w:color="auto" w:fill="FFFFFF"/>
            <w:vAlign w:val="center"/>
          </w:tcPr>
          <w:p w14:paraId="08C2D777">
            <w:pPr>
              <w:widowControl/>
              <w:snapToGrid w:val="0"/>
              <w:jc w:val="center"/>
              <w:rPr>
                <w:rFonts w:ascii="Times New Roman" w:hAnsi="Times New Roman" w:eastAsia="宋体" w:cs="Times New Roman"/>
                <w:b/>
                <w:color w:val="000000"/>
                <w:kern w:val="0"/>
                <w:sz w:val="22"/>
                <w:szCs w:val="22"/>
                <w:lang w:eastAsia="en-US"/>
              </w:rPr>
            </w:pPr>
            <w:r>
              <w:rPr>
                <w:rFonts w:ascii="Times New Roman" w:hAnsi="Times New Roman" w:eastAsia="宋体" w:cs="Times New Roman"/>
                <w:b/>
                <w:color w:val="000000"/>
                <w:kern w:val="0"/>
                <w:sz w:val="22"/>
                <w:szCs w:val="22"/>
                <w:lang w:eastAsia="en-US"/>
              </w:rPr>
              <w:t>Primary Interpretation</w:t>
            </w:r>
          </w:p>
        </w:tc>
      </w:tr>
      <w:tr w14:paraId="77DF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2029" w:type="dxa"/>
            <w:tcBorders>
              <w:top w:val="single" w:color="000000" w:sz="4" w:space="0"/>
              <w:left w:val="nil"/>
              <w:bottom w:val="nil"/>
              <w:right w:val="nil"/>
            </w:tcBorders>
            <w:shd w:val="clear" w:color="auto" w:fill="FFFFFF"/>
            <w:vAlign w:val="center"/>
          </w:tcPr>
          <w:p w14:paraId="21BD5610">
            <w:pPr>
              <w:widowControl/>
              <w:snapToGrid w:val="0"/>
              <w:jc w:val="center"/>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ctSI</w:t>
            </w:r>
          </w:p>
        </w:tc>
        <w:tc>
          <w:tcPr>
            <w:tcW w:w="3607" w:type="dxa"/>
            <w:tcBorders>
              <w:top w:val="single" w:color="000000" w:sz="4" w:space="0"/>
              <w:left w:val="nil"/>
              <w:bottom w:val="nil"/>
              <w:right w:val="nil"/>
            </w:tcBorders>
            <w:shd w:val="clear" w:color="auto" w:fill="FFFFFF"/>
            <w:vAlign w:val="center"/>
          </w:tcPr>
          <w:p w14:paraId="779B7375">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Irregular or nodular serosal changes with blurring/obliteration of the perigastric fat plane, without continuity into extramural vessels or lymphatic structures.</w:t>
            </w:r>
          </w:p>
        </w:tc>
        <w:tc>
          <w:tcPr>
            <w:tcW w:w="2886" w:type="dxa"/>
            <w:tcBorders>
              <w:top w:val="single" w:color="000000" w:sz="4" w:space="0"/>
              <w:left w:val="nil"/>
              <w:bottom w:val="nil"/>
              <w:right w:val="nil"/>
            </w:tcBorders>
            <w:shd w:val="clear" w:color="auto" w:fill="FFFFFF"/>
            <w:vAlign w:val="center"/>
          </w:tcPr>
          <w:p w14:paraId="21A952EE">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Serosal invasion</w:t>
            </w:r>
          </w:p>
        </w:tc>
      </w:tr>
      <w:tr w14:paraId="12A5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2029" w:type="dxa"/>
            <w:tcBorders>
              <w:top w:val="nil"/>
              <w:left w:val="nil"/>
              <w:bottom w:val="nil"/>
              <w:right w:val="nil"/>
            </w:tcBorders>
            <w:shd w:val="clear" w:color="auto" w:fill="FFFFFF"/>
            <w:vAlign w:val="center"/>
          </w:tcPr>
          <w:p w14:paraId="4A814C07">
            <w:pPr>
              <w:widowControl/>
              <w:snapToGrid w:val="0"/>
              <w:jc w:val="center"/>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ctEMVI</w:t>
            </w:r>
          </w:p>
        </w:tc>
        <w:tc>
          <w:tcPr>
            <w:tcW w:w="3607" w:type="dxa"/>
            <w:tcBorders>
              <w:top w:val="nil"/>
              <w:left w:val="nil"/>
              <w:bottom w:val="nil"/>
              <w:right w:val="nil"/>
            </w:tcBorders>
            <w:shd w:val="clear" w:color="auto" w:fill="FFFFFF"/>
            <w:vAlign w:val="center"/>
          </w:tcPr>
          <w:p w14:paraId="5D4E7EC9">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Intraluminal soft-tissue density within extramural veins, often with venous dilatation and/or irregular venous margins.</w:t>
            </w:r>
          </w:p>
        </w:tc>
        <w:tc>
          <w:tcPr>
            <w:tcW w:w="2886" w:type="dxa"/>
            <w:tcBorders>
              <w:top w:val="nil"/>
              <w:left w:val="nil"/>
              <w:bottom w:val="nil"/>
              <w:right w:val="nil"/>
            </w:tcBorders>
            <w:shd w:val="clear" w:color="auto" w:fill="FFFFFF"/>
            <w:vAlign w:val="center"/>
          </w:tcPr>
          <w:p w14:paraId="2762C17C">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Extramural venous invasion</w:t>
            </w:r>
          </w:p>
        </w:tc>
      </w:tr>
      <w:tr w14:paraId="5376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2029" w:type="dxa"/>
            <w:tcBorders>
              <w:top w:val="nil"/>
              <w:left w:val="nil"/>
              <w:bottom w:val="nil"/>
              <w:right w:val="nil"/>
            </w:tcBorders>
            <w:shd w:val="clear" w:color="auto" w:fill="FFFFFF"/>
            <w:vAlign w:val="center"/>
          </w:tcPr>
          <w:p w14:paraId="6F094DC7">
            <w:pPr>
              <w:widowControl/>
              <w:snapToGrid w:val="0"/>
              <w:jc w:val="center"/>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ctLVI</w:t>
            </w:r>
          </w:p>
        </w:tc>
        <w:tc>
          <w:tcPr>
            <w:tcW w:w="3607" w:type="dxa"/>
            <w:tcBorders>
              <w:top w:val="nil"/>
              <w:left w:val="nil"/>
              <w:bottom w:val="nil"/>
              <w:right w:val="nil"/>
            </w:tcBorders>
            <w:shd w:val="clear" w:color="auto" w:fill="FFFFFF"/>
            <w:vAlign w:val="center"/>
          </w:tcPr>
          <w:p w14:paraId="52F9CCFE">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Flocculent or strand-like soft-tissue extensions directed toward adjacent lymph nodes.</w:t>
            </w:r>
          </w:p>
        </w:tc>
        <w:tc>
          <w:tcPr>
            <w:tcW w:w="2886" w:type="dxa"/>
            <w:tcBorders>
              <w:top w:val="nil"/>
              <w:left w:val="nil"/>
              <w:bottom w:val="nil"/>
              <w:right w:val="nil"/>
            </w:tcBorders>
            <w:shd w:val="clear" w:color="auto" w:fill="FFFFFF"/>
            <w:vAlign w:val="center"/>
          </w:tcPr>
          <w:p w14:paraId="543A164C">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Extramural lymphatic/lymph node involvement</w:t>
            </w:r>
          </w:p>
        </w:tc>
      </w:tr>
      <w:tr w14:paraId="0E8F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2029" w:type="dxa"/>
            <w:tcBorders>
              <w:top w:val="nil"/>
              <w:left w:val="nil"/>
              <w:bottom w:val="single" w:color="000000" w:sz="12" w:space="0"/>
              <w:right w:val="nil"/>
            </w:tcBorders>
            <w:shd w:val="clear" w:color="auto" w:fill="FFFFFF"/>
            <w:vAlign w:val="center"/>
          </w:tcPr>
          <w:p w14:paraId="79F31B06">
            <w:pPr>
              <w:widowControl/>
              <w:snapToGrid w:val="0"/>
              <w:jc w:val="center"/>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ctOPM</w:t>
            </w:r>
          </w:p>
        </w:tc>
        <w:tc>
          <w:tcPr>
            <w:tcW w:w="3607" w:type="dxa"/>
            <w:tcBorders>
              <w:top w:val="nil"/>
              <w:left w:val="nil"/>
              <w:bottom w:val="single" w:color="000000" w:sz="12" w:space="0"/>
              <w:right w:val="nil"/>
            </w:tcBorders>
            <w:shd w:val="clear" w:color="auto" w:fill="FFFFFF"/>
            <w:vAlign w:val="center"/>
          </w:tcPr>
          <w:p w14:paraId="7E60ADF6">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Peritoneal/omental involvement manifested as increased fat attenuation, stranding, nodularity, and/or ascites.</w:t>
            </w:r>
          </w:p>
        </w:tc>
        <w:tc>
          <w:tcPr>
            <w:tcW w:w="2886" w:type="dxa"/>
            <w:tcBorders>
              <w:top w:val="nil"/>
              <w:left w:val="nil"/>
              <w:bottom w:val="single" w:color="000000" w:sz="12" w:space="0"/>
              <w:right w:val="nil"/>
            </w:tcBorders>
            <w:shd w:val="clear" w:color="auto" w:fill="FFFFFF"/>
            <w:vAlign w:val="center"/>
          </w:tcPr>
          <w:p w14:paraId="5DFEAF13">
            <w:pPr>
              <w:widowControl/>
              <w:snapToGrid w:val="0"/>
              <w:jc w:val="left"/>
              <w:rPr>
                <w:rFonts w:ascii="Times New Roman" w:hAnsi="Times New Roman" w:eastAsia="宋体" w:cs="Times New Roman"/>
                <w:color w:val="000000"/>
                <w:kern w:val="0"/>
                <w:sz w:val="22"/>
                <w:szCs w:val="22"/>
                <w:lang w:eastAsia="en-US"/>
              </w:rPr>
            </w:pPr>
            <w:r>
              <w:rPr>
                <w:rFonts w:ascii="Times New Roman" w:hAnsi="Times New Roman" w:eastAsia="宋体" w:cs="Times New Roman"/>
                <w:color w:val="000000"/>
                <w:kern w:val="0"/>
                <w:sz w:val="22"/>
                <w:szCs w:val="22"/>
                <w:lang w:eastAsia="en-US"/>
              </w:rPr>
              <w:t>Peritoneal/omental metastasis/involvement</w:t>
            </w:r>
          </w:p>
        </w:tc>
      </w:tr>
    </w:tbl>
    <w:p w14:paraId="2D0B3250">
      <w:pPr>
        <w:widowControl/>
        <w:spacing w:before="480" w:after="156" w:afterLines="50" w:line="360" w:lineRule="auto"/>
        <w:jc w:val="left"/>
        <w:rPr>
          <w:rFonts w:ascii="Times New Roman" w:hAnsi="Times New Roman" w:eastAsia="宋体" w:cs="Times New Roman"/>
          <w:b/>
          <w:bCs/>
          <w:kern w:val="0"/>
          <w:sz w:val="24"/>
          <w:lang w:eastAsia="en-US"/>
        </w:rPr>
      </w:pPr>
      <w:r>
        <w:rPr>
          <w:rFonts w:ascii="Times New Roman" w:hAnsi="Times New Roman" w:eastAsia="宋体" w:cs="Times New Roman"/>
          <w:b/>
          <w:bCs/>
          <w:kern w:val="0"/>
          <w:sz w:val="24"/>
          <w:lang w:eastAsia="en-US"/>
        </w:rPr>
        <w:t xml:space="preserve">Supplementary Appendix </w:t>
      </w:r>
      <w:r>
        <w:rPr>
          <w:rFonts w:ascii="Times New Roman" w:hAnsi="Times New Roman" w:eastAsia="宋体" w:cs="Times New Roman"/>
          <w:b/>
          <w:bCs/>
          <w:kern w:val="0"/>
          <w:sz w:val="24"/>
        </w:rPr>
        <w:t>4</w:t>
      </w:r>
      <w:r>
        <w:rPr>
          <w:rFonts w:ascii="Times New Roman" w:hAnsi="Times New Roman" w:eastAsia="宋体" w:cs="Times New Roman"/>
          <w:b/>
          <w:bCs/>
          <w:kern w:val="0"/>
          <w:sz w:val="24"/>
          <w:lang w:eastAsia="en-US"/>
        </w:rPr>
        <w:t>: Endpoints</w:t>
      </w:r>
    </w:p>
    <w:p w14:paraId="2195F211">
      <w:pPr>
        <w:widowControl/>
        <w:numPr>
          <w:ilvl w:val="0"/>
          <w:numId w:val="5"/>
        </w:numPr>
        <w:spacing w:after="156" w:afterLines="50" w:line="360" w:lineRule="auto"/>
        <w:jc w:val="left"/>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Primary Endpoint – Tumor Regression Grade (TRG) Response</w:t>
      </w:r>
      <w:r>
        <w:rPr>
          <w:rFonts w:ascii="Times New Roman" w:hAnsi="Times New Roman" w:eastAsia="宋体" w:cs="Times New Roman"/>
          <w:kern w:val="0"/>
          <w:sz w:val="24"/>
        </w:rPr>
        <w:t>.</w:t>
      </w:r>
      <w:r>
        <w:rPr>
          <w:rFonts w:ascii="Times New Roman" w:hAnsi="Times New Roman" w:eastAsia="宋体" w:cs="Times New Roman"/>
          <w:kern w:val="0"/>
          <w:sz w:val="24"/>
          <w:lang w:eastAsia="en-US"/>
        </w:rPr>
        <w:t xml:space="preserve"> </w:t>
      </w:r>
    </w:p>
    <w:p w14:paraId="10744933">
      <w:pPr>
        <w:widowControl/>
        <w:spacing w:after="200" w:line="360" w:lineRule="auto"/>
        <w:jc w:val="left"/>
        <w:rPr>
          <w:rFonts w:ascii="Times New Roman" w:hAnsi="Times New Roman" w:eastAsia="宋体" w:cs="Times New Roman"/>
          <w:kern w:val="0"/>
          <w:sz w:val="24"/>
          <w:lang w:eastAsia="en-US"/>
        </w:rPr>
      </w:pPr>
      <w:r>
        <w:rPr>
          <w:rFonts w:ascii="Times New Roman" w:hAnsi="Times New Roman" w:eastAsia="宋体" w:cs="Times New Roman"/>
          <w:kern w:val="0"/>
          <w:sz w:val="24"/>
          <w:lang w:eastAsia="en-US"/>
        </w:rPr>
        <w:t xml:space="preserve">Tumor response following neoadjuvant therapy (NAT) was evaluated using the Becker Tumor Regression Grade (TRG) classification system. TRG 1b was defined as residual tumor cells accounting for less than 10% of the tumor area; TRG 2 as 10%–50% residual tumor cells; and TRG 3 as more than 50% residual tumor cells.Patients with TRG 1a or TRG 1b were classified as responders, whereas those with TRG 2 or TRG 3 were classified as non-responders.  </w:t>
      </w:r>
      <w:r>
        <w:rPr>
          <w:rFonts w:ascii="Times New Roman" w:hAnsi="Times New Roman" w:eastAsia="宋体" w:cs="Times New Roman"/>
          <w:kern w:val="0"/>
          <w:sz w:val="24"/>
          <w:lang w:eastAsia="en-US"/>
        </w:rPr>
        <w:br w:type="textWrapping"/>
      </w:r>
      <w:r>
        <w:rPr>
          <w:rFonts w:ascii="Times New Roman" w:hAnsi="Times New Roman" w:eastAsia="宋体" w:cs="Times New Roman"/>
          <w:kern w:val="0"/>
          <w:sz w:val="24"/>
          <w:lang w:eastAsia="en-US"/>
        </w:rPr>
        <w:t>All pathological assessments were independently performed by two experienced pathologists, and any discrepancies were resolved by consensus.</w:t>
      </w:r>
    </w:p>
    <w:p w14:paraId="5828E6E4">
      <w:pPr>
        <w:widowControl/>
        <w:spacing w:after="200" w:line="360" w:lineRule="auto"/>
        <w:jc w:val="left"/>
        <w:rPr>
          <w:rFonts w:ascii="Times New Roman" w:hAnsi="Times New Roman" w:eastAsia="宋体" w:cs="Times New Roman"/>
          <w:sz w:val="24"/>
        </w:rPr>
      </w:pPr>
      <w:r>
        <w:rPr>
          <w:rFonts w:ascii="Times New Roman" w:hAnsi="Times New Roman" w:eastAsia="宋体" w:cs="Times New Roman"/>
          <w:kern w:val="0"/>
          <w:sz w:val="24"/>
        </w:rPr>
        <w:t xml:space="preserve">2. </w:t>
      </w:r>
      <w:r>
        <w:rPr>
          <w:rFonts w:ascii="Times New Roman" w:hAnsi="Times New Roman" w:eastAsia="宋体" w:cs="Times New Roman"/>
          <w:kern w:val="0"/>
          <w:sz w:val="24"/>
          <w:lang w:eastAsia="en-US"/>
        </w:rPr>
        <w:t xml:space="preserve">Secondary Endpoint – Relapse-Free Survival (RFS)  </w:t>
      </w:r>
      <w:r>
        <w:rPr>
          <w:rFonts w:ascii="Times New Roman" w:hAnsi="Times New Roman" w:eastAsia="宋体" w:cs="Times New Roman"/>
          <w:kern w:val="0"/>
          <w:sz w:val="24"/>
          <w:lang w:eastAsia="en-US"/>
        </w:rPr>
        <w:br w:type="textWrapping"/>
      </w:r>
      <w:r>
        <w:rPr>
          <w:rFonts w:ascii="Times New Roman" w:hAnsi="Times New Roman" w:eastAsia="宋体" w:cs="Times New Roman"/>
          <w:kern w:val="0"/>
          <w:sz w:val="24"/>
          <w:lang w:eastAsia="en-US"/>
        </w:rPr>
        <w:t>Relapse-free survival (RFS) was defined as the interval from the date of baseline CT examination to the occurrence of tumor recurrence or metastasis. Recurrence or metastasis was confirmed by imaging modalities (CT, MRI, PET-CT, or ultrasonography), laboratory examinations, and/or endoscopic evaluation. All patients were followed for a minimum of 3 months, and the study endpoint was set at February 9, 2026.</w:t>
      </w:r>
    </w:p>
    <w:p w14:paraId="342EAFF7">
      <w:pPr>
        <w:keepNext/>
        <w:keepLines/>
        <w:widowControl/>
        <w:spacing w:before="480" w:after="156" w:afterLines="50" w:line="276" w:lineRule="auto"/>
        <w:outlineLvl w:val="0"/>
        <w:rPr>
          <w:rFonts w:ascii="Times New Roman" w:hAnsi="Times New Roman" w:eastAsia="宋体" w:cs="Times New Roman"/>
          <w:b/>
          <w:bCs/>
          <w:sz w:val="24"/>
          <w:lang w:eastAsia="en-US"/>
        </w:rPr>
      </w:pPr>
      <w:r>
        <w:rPr>
          <w:rFonts w:ascii="Times New Roman" w:hAnsi="Times New Roman" w:eastAsia="宋体" w:cs="Times New Roman"/>
          <w:b/>
          <w:bCs/>
          <w:sz w:val="24"/>
          <w:lang w:eastAsia="en-US"/>
        </w:rPr>
        <w:t xml:space="preserve">Supplementary Appendix </w:t>
      </w:r>
      <w:r>
        <w:rPr>
          <w:rFonts w:ascii="Times New Roman" w:hAnsi="Times New Roman" w:eastAsia="宋体" w:cs="Times New Roman"/>
          <w:b/>
          <w:bCs/>
          <w:sz w:val="24"/>
        </w:rPr>
        <w:t>5</w:t>
      </w:r>
      <w:r>
        <w:rPr>
          <w:rFonts w:ascii="Times New Roman" w:hAnsi="Times New Roman" w:eastAsia="宋体" w:cs="Times New Roman"/>
          <w:b/>
          <w:bCs/>
          <w:sz w:val="24"/>
          <w:lang w:eastAsia="en-US"/>
        </w:rPr>
        <w:t>: Consistency Analysis</w:t>
      </w:r>
    </w:p>
    <w:p w14:paraId="7E216939">
      <w:pPr>
        <w:widowControl/>
        <w:spacing w:after="200" w:line="276" w:lineRule="auto"/>
        <w:jc w:val="left"/>
        <w:rPr>
          <w:rFonts w:ascii="Times New Roman" w:hAnsi="Times New Roman" w:eastAsia="宋体" w:cs="Times New Roman"/>
          <w:kern w:val="0"/>
          <w:sz w:val="24"/>
        </w:rPr>
      </w:pPr>
      <w:r>
        <w:rPr>
          <w:rFonts w:ascii="Times New Roman" w:hAnsi="Times New Roman" w:eastAsia="宋体" w:cs="Times New Roman"/>
          <w:kern w:val="0"/>
          <w:sz w:val="24"/>
        </w:rPr>
        <w:t>Kappa values were employed to assess agreement between the two readers’ qualitative diagnoses, while the intraclass correlation coefficient (ICC) was employed to evaluate intra-reader reliability for quantitative measurements. Kappa or ICC values of 0.00–0.20, 0.21–0.40, 0.41–0.60, 0.61–0.80, and 0.81–1.00 were interpreted as low, fair, moderate, good, and near-perfect correlations, respectively.</w:t>
      </w:r>
      <w:r>
        <w:rPr>
          <w:rFonts w:ascii="Times New Roman" w:hAnsi="Times New Roman" w:eastAsia="宋体" w:cs="Times New Roman"/>
          <w:kern w:val="0"/>
          <w:sz w:val="24"/>
          <w:lang w:eastAsia="en-US"/>
        </w:rPr>
        <w:t>The same cutoffs were applied to both κ and ICC values.</w:t>
      </w:r>
      <w:r>
        <w:rPr>
          <w:rFonts w:ascii="Times New Roman" w:hAnsi="Times New Roman" w:eastAsia="宋体" w:cs="Times New Roman"/>
          <w:kern w:val="0"/>
          <w:sz w:val="24"/>
        </w:rPr>
        <w:t xml:space="preserve"> </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4"/>
        <w:gridCol w:w="3843"/>
        <w:gridCol w:w="2195"/>
      </w:tblGrid>
      <w:tr w14:paraId="0F99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blHeader/>
          <w:jc w:val="center"/>
        </w:trPr>
        <w:tc>
          <w:tcPr>
            <w:tcW w:w="2484" w:type="dxa"/>
            <w:tcBorders>
              <w:top w:val="single" w:color="000000" w:sz="12" w:space="0"/>
              <w:left w:val="nil"/>
              <w:bottom w:val="single" w:color="000000" w:sz="4" w:space="0"/>
              <w:right w:val="nil"/>
              <w:tl2br w:val="nil"/>
            </w:tcBorders>
            <w:shd w:val="clear" w:color="auto" w:fill="FFFFFF"/>
            <w:vAlign w:val="center"/>
          </w:tcPr>
          <w:p w14:paraId="62CEAF62">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Metric</w:t>
            </w:r>
          </w:p>
        </w:tc>
        <w:tc>
          <w:tcPr>
            <w:tcW w:w="3843" w:type="dxa"/>
            <w:tcBorders>
              <w:top w:val="single" w:color="000000" w:sz="12" w:space="0"/>
              <w:left w:val="nil"/>
              <w:bottom w:val="single" w:color="000000" w:sz="4" w:space="0"/>
              <w:right w:val="nil"/>
            </w:tcBorders>
            <w:shd w:val="clear" w:color="auto" w:fill="FFFFFF"/>
            <w:vAlign w:val="center"/>
          </w:tcPr>
          <w:p w14:paraId="2E2B3039">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Purpose</w:t>
            </w:r>
          </w:p>
        </w:tc>
        <w:tc>
          <w:tcPr>
            <w:tcW w:w="2195" w:type="dxa"/>
            <w:tcBorders>
              <w:top w:val="single" w:color="000000" w:sz="12" w:space="0"/>
              <w:left w:val="nil"/>
              <w:bottom w:val="single" w:color="000000" w:sz="4" w:space="0"/>
              <w:right w:val="nil"/>
            </w:tcBorders>
            <w:shd w:val="clear" w:color="auto" w:fill="FFFFFF"/>
            <w:vAlign w:val="center"/>
          </w:tcPr>
          <w:p w14:paraId="49E5CA95">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Interpretation (Value Range)</w:t>
            </w:r>
          </w:p>
        </w:tc>
      </w:tr>
      <w:tr w14:paraId="40EF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Borders>
              <w:top w:val="single" w:color="000000" w:sz="4" w:space="0"/>
              <w:left w:val="nil"/>
              <w:bottom w:val="nil"/>
              <w:right w:val="nil"/>
            </w:tcBorders>
            <w:shd w:val="clear" w:color="auto" w:fill="FFFFFF"/>
            <w:vAlign w:val="center"/>
          </w:tcPr>
          <w:p w14:paraId="0F12C757">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Cohen’s kappa (κ)</w:t>
            </w:r>
          </w:p>
        </w:tc>
        <w:tc>
          <w:tcPr>
            <w:tcW w:w="3843" w:type="dxa"/>
            <w:tcBorders>
              <w:top w:val="single" w:color="000000" w:sz="4" w:space="0"/>
              <w:left w:val="nil"/>
              <w:bottom w:val="nil"/>
              <w:right w:val="nil"/>
            </w:tcBorders>
            <w:shd w:val="clear" w:color="auto" w:fill="FFFFFF"/>
            <w:vAlign w:val="center"/>
          </w:tcPr>
          <w:p w14:paraId="5E76175D">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Assess agreement between two readers for qualitative diagnoses.</w:t>
            </w:r>
          </w:p>
        </w:tc>
        <w:tc>
          <w:tcPr>
            <w:tcW w:w="2195" w:type="dxa"/>
            <w:vMerge w:val="restart"/>
            <w:tcBorders>
              <w:top w:val="single" w:color="000000" w:sz="4" w:space="0"/>
              <w:left w:val="nil"/>
              <w:bottom w:val="nil"/>
              <w:right w:val="nil"/>
            </w:tcBorders>
            <w:shd w:val="clear" w:color="auto" w:fill="FFFFFF"/>
            <w:vAlign w:val="center"/>
          </w:tcPr>
          <w:p w14:paraId="736B44EA">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0.00–0.20: low;</w:t>
            </w:r>
          </w:p>
          <w:p w14:paraId="753FC80E">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0.21–0.40: fair;</w:t>
            </w:r>
          </w:p>
          <w:p w14:paraId="2AEAB574">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0.41–0.60: moderate;</w:t>
            </w:r>
          </w:p>
          <w:p w14:paraId="093FDA11">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0.61–0.80: good;</w:t>
            </w:r>
          </w:p>
          <w:p w14:paraId="719D771E">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0.81–1.00: near-perfect</w:t>
            </w:r>
          </w:p>
        </w:tc>
      </w:tr>
      <w:tr w14:paraId="7A8C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4" w:type="dxa"/>
            <w:tcBorders>
              <w:top w:val="nil"/>
              <w:left w:val="nil"/>
              <w:bottom w:val="single" w:color="000000" w:sz="12" w:space="0"/>
              <w:right w:val="nil"/>
            </w:tcBorders>
            <w:shd w:val="clear" w:color="auto" w:fill="FFFFFF"/>
            <w:vAlign w:val="center"/>
          </w:tcPr>
          <w:p w14:paraId="48084617">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Intraclass correlation coefficient (ICC)</w:t>
            </w:r>
          </w:p>
        </w:tc>
        <w:tc>
          <w:tcPr>
            <w:tcW w:w="3843" w:type="dxa"/>
            <w:tcBorders>
              <w:top w:val="nil"/>
              <w:left w:val="nil"/>
              <w:bottom w:val="single" w:color="000000" w:sz="12" w:space="0"/>
              <w:right w:val="nil"/>
            </w:tcBorders>
            <w:shd w:val="clear" w:color="auto" w:fill="FFFFFF"/>
            <w:vAlign w:val="center"/>
          </w:tcPr>
          <w:p w14:paraId="0075AA8A">
            <w:pPr>
              <w:widowControl/>
              <w:snapToGrid w:val="0"/>
              <w:spacing w:after="20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Evaluate intra-reader reliability for quantitative measurements.</w:t>
            </w:r>
          </w:p>
        </w:tc>
        <w:tc>
          <w:tcPr>
            <w:tcW w:w="2195" w:type="dxa"/>
            <w:vMerge w:val="continue"/>
            <w:tcBorders>
              <w:top w:val="nil"/>
              <w:left w:val="nil"/>
              <w:bottom w:val="single" w:color="000000" w:sz="12" w:space="0"/>
              <w:right w:val="nil"/>
            </w:tcBorders>
            <w:shd w:val="clear" w:color="auto" w:fill="FFFFFF"/>
            <w:vAlign w:val="center"/>
          </w:tcPr>
          <w:p w14:paraId="3D1C1CDE">
            <w:pPr>
              <w:widowControl/>
              <w:snapToGrid w:val="0"/>
              <w:spacing w:after="200"/>
              <w:jc w:val="left"/>
              <w:rPr>
                <w:rFonts w:ascii="Times New Roman" w:hAnsi="Times New Roman" w:eastAsia="宋体" w:cs="Times New Roman"/>
                <w:color w:val="000000"/>
                <w:kern w:val="0"/>
                <w:sz w:val="24"/>
                <w:lang w:eastAsia="en-US"/>
              </w:rPr>
            </w:pPr>
          </w:p>
        </w:tc>
      </w:tr>
    </w:tbl>
    <w:p w14:paraId="6FD97FA9">
      <w:pPr>
        <w:widowControl/>
        <w:spacing w:after="200" w:line="276" w:lineRule="auto"/>
        <w:jc w:val="left"/>
        <w:rPr>
          <w:rFonts w:ascii="Times New Roman" w:hAnsi="Times New Roman" w:eastAsia="宋体" w:cs="Times New Roman"/>
          <w:kern w:val="0"/>
          <w:sz w:val="24"/>
        </w:rPr>
      </w:pPr>
    </w:p>
    <w:p w14:paraId="0603679D">
      <w:pPr>
        <w:widowControl/>
        <w:spacing w:after="200" w:line="276" w:lineRule="auto"/>
        <w:jc w:val="left"/>
        <w:rPr>
          <w:rFonts w:ascii="Times New Roman" w:hAnsi="Times New Roman" w:cs="Times New Roman"/>
          <w:b/>
          <w:bCs/>
          <w:sz w:val="28"/>
          <w:szCs w:val="36"/>
        </w:rPr>
      </w:pPr>
    </w:p>
    <w:p w14:paraId="4BAAB732">
      <w:pPr>
        <w:widowControl/>
        <w:spacing w:after="200" w:line="276" w:lineRule="auto"/>
        <w:jc w:val="left"/>
        <w:rPr>
          <w:rFonts w:ascii="Times New Roman" w:hAnsi="Times New Roman" w:cs="Times New Roman"/>
          <w:b/>
          <w:bCs/>
          <w:sz w:val="28"/>
          <w:szCs w:val="36"/>
        </w:rPr>
      </w:pPr>
    </w:p>
    <w:p w14:paraId="6F42C5BD">
      <w:pPr>
        <w:widowControl/>
        <w:spacing w:after="200" w:line="276" w:lineRule="auto"/>
        <w:jc w:val="left"/>
        <w:rPr>
          <w:rFonts w:ascii="Times New Roman" w:hAnsi="Times New Roman" w:cs="Times New Roman"/>
          <w:b/>
          <w:bCs/>
          <w:sz w:val="28"/>
          <w:szCs w:val="36"/>
        </w:rPr>
      </w:pPr>
    </w:p>
    <w:p w14:paraId="6FA8D5EC">
      <w:pPr>
        <w:spacing w:line="360" w:lineRule="auto"/>
        <w:jc w:val="center"/>
        <w:rPr>
          <w:rFonts w:ascii="Times New Roman" w:hAnsi="Times New Roman" w:cs="Times New Roman"/>
          <w:b/>
          <w:bCs/>
          <w:sz w:val="28"/>
          <w:szCs w:val="36"/>
        </w:rPr>
      </w:pPr>
    </w:p>
    <w:p w14:paraId="30E3BF94">
      <w:pPr>
        <w:spacing w:line="360" w:lineRule="auto"/>
        <w:jc w:val="center"/>
        <w:rPr>
          <w:rFonts w:ascii="Times New Roman" w:hAnsi="Times New Roman" w:cs="Times New Roman"/>
          <w:b/>
          <w:bCs/>
          <w:sz w:val="28"/>
          <w:szCs w:val="36"/>
        </w:rPr>
      </w:pPr>
      <w:r>
        <w:rPr>
          <w:rFonts w:ascii="Times New Roman" w:hAnsi="Times New Roman" w:cs="Times New Roman"/>
          <w:b/>
          <w:bCs/>
          <w:sz w:val="28"/>
          <w:szCs w:val="36"/>
        </w:rPr>
        <w:t>Supplementary Figures</w:t>
      </w:r>
    </w:p>
    <w:p w14:paraId="2FC9D3B7">
      <w:pPr>
        <w:spacing w:line="360" w:lineRule="auto"/>
        <w:jc w:val="center"/>
        <w:rPr>
          <w:rFonts w:ascii="Times New Roman" w:hAnsi="Times New Roman" w:cs="Times New Roman"/>
          <w:b/>
          <w:bCs/>
          <w:sz w:val="28"/>
          <w:szCs w:val="36"/>
        </w:rPr>
      </w:pPr>
    </w:p>
    <w:p w14:paraId="2C395687">
      <w:pPr>
        <w:spacing w:line="360" w:lineRule="auto"/>
        <w:rPr>
          <w:rFonts w:ascii="Times New Roman" w:hAnsi="Times New Roman" w:cs="Times New Roman"/>
        </w:rPr>
      </w:pPr>
      <w:r>
        <w:rPr>
          <w:rFonts w:ascii="Times New Roman" w:hAnsi="Times New Roman" w:cs="Times New Roman"/>
          <w:b/>
          <w:bCs/>
          <w:sz w:val="28"/>
          <w:szCs w:val="36"/>
        </w:rPr>
        <w:t xml:space="preserve">Supplementary Figure </w:t>
      </w:r>
      <w:r>
        <w:rPr>
          <w:rFonts w:hint="eastAsia" w:ascii="Times New Roman" w:hAnsi="Times New Roman" w:cs="Times New Roman"/>
          <w:b/>
          <w:bCs/>
          <w:sz w:val="28"/>
          <w:szCs w:val="36"/>
          <w:lang w:val="en-US" w:eastAsia="zh-CN"/>
        </w:rPr>
        <w:t>S1</w:t>
      </w:r>
      <w:r>
        <w:rPr>
          <w:rFonts w:ascii="Times New Roman" w:hAnsi="Times New Roman" w:cs="Times New Roman"/>
          <w:b/>
          <w:bCs/>
          <w:sz w:val="28"/>
          <w:szCs w:val="36"/>
        </w:rPr>
        <w:t xml:space="preserve">: </w:t>
      </w:r>
      <w:r>
        <w:rPr>
          <w:rFonts w:ascii="Times New Roman" w:hAnsi="Times New Roman" w:cs="Times New Roman"/>
          <w:sz w:val="28"/>
          <w:szCs w:val="36"/>
        </w:rPr>
        <w:t>Multi-parameter images of energy spectrum CT in LAGC patients</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3C72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8" w:hRule="atLeast"/>
        </w:trPr>
        <w:tc>
          <w:tcPr>
            <w:tcW w:w="4261" w:type="dxa"/>
          </w:tcPr>
          <w:p w14:paraId="2EB930A4">
            <w:pPr>
              <w:spacing w:line="360" w:lineRule="auto"/>
              <w:rPr>
                <w:rFonts w:ascii="Times New Roman" w:hAnsi="Times New Roman" w:eastAsia="宋体" w:cs="Times New Roman"/>
                <w:sz w:val="24"/>
              </w:rPr>
            </w:pPr>
            <w:r>
              <w:rPr>
                <w:rFonts w:ascii="Times New Roman" w:hAnsi="Times New Roman" w:cs="Times New Roman"/>
                <w:sz w:val="24"/>
              </w:rPr>
              <mc:AlternateContent>
                <mc:Choice Requires="wps">
                  <w:drawing>
                    <wp:anchor distT="0" distB="0" distL="114300" distR="114300" simplePos="0" relativeHeight="251660288" behindDoc="0" locked="0" layoutInCell="1" allowOverlap="1">
                      <wp:simplePos x="0" y="0"/>
                      <wp:positionH relativeFrom="column">
                        <wp:posOffset>1052195</wp:posOffset>
                      </wp:positionH>
                      <wp:positionV relativeFrom="paragraph">
                        <wp:posOffset>1983105</wp:posOffset>
                      </wp:positionV>
                      <wp:extent cx="479425" cy="337185"/>
                      <wp:effectExtent l="0" t="0" r="3175" b="5715"/>
                      <wp:wrapNone/>
                      <wp:docPr id="30" name="文本框 30"/>
                      <wp:cNvGraphicFramePr/>
                      <a:graphic xmlns:a="http://schemas.openxmlformats.org/drawingml/2006/main">
                        <a:graphicData uri="http://schemas.microsoft.com/office/word/2010/wordprocessingShape">
                          <wps:wsp>
                            <wps:cNvSpPr txBox="1"/>
                            <wps:spPr>
                              <a:xfrm>
                                <a:off x="2293620" y="3930015"/>
                                <a:ext cx="479425" cy="337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24212">
                                  <w:pPr>
                                    <w:rPr>
                                      <w:rFonts w:ascii="Times New Roman" w:hAnsi="Times New Roman" w:cs="Times New Roman"/>
                                      <w:sz w:val="24"/>
                                      <w:szCs w:val="32"/>
                                    </w:rPr>
                                  </w:pPr>
                                  <w:r>
                                    <w:rPr>
                                      <w:rFonts w:ascii="Times New Roman" w:hAnsi="Times New Roman" w:cs="Times New Roman"/>
                                      <w:sz w:val="24"/>
                                      <w:szCs w:val="32"/>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85pt;margin-top:156.15pt;height:26.55pt;width:37.75pt;z-index:251660288;mso-width-relative:page;mso-height-relative:page;" fillcolor="#FFFFFF [3201]" filled="t" stroked="f" coordsize="21600,21600" o:gfxdata="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EJ4sNYAAAALAQAADwAAAAAAAAABACAAAAAiAAAAZHJzL2Rvd25yZXYueG1sUEsBAhQAFAAA&#10;AAgAh07iQCJxjbtjAgAAqgQAAA4AAAAAAAAAAQAgAAAAJQEAAGRycy9lMm9Eb2MueG1sUEsFBgAA&#10;AAAGAAYAWQEAAPoFAAAAAA==&#10;">
                      <v:fill on="t" focussize="0,0"/>
                      <v:stroke on="f" weight="0.5pt"/>
                      <v:imagedata o:title=""/>
                      <o:lock v:ext="edit" aspectratio="f"/>
                      <v:textbox>
                        <w:txbxContent>
                          <w:p w14:paraId="23224212">
                            <w:pPr>
                              <w:rPr>
                                <w:rFonts w:ascii="Times New Roman" w:hAnsi="Times New Roman" w:cs="Times New Roman"/>
                                <w:sz w:val="24"/>
                                <w:szCs w:val="32"/>
                              </w:rPr>
                            </w:pPr>
                            <w:r>
                              <w:rPr>
                                <w:rFonts w:ascii="Times New Roman" w:hAnsi="Times New Roman" w:cs="Times New Roman"/>
                                <w:sz w:val="24"/>
                                <w:szCs w:val="32"/>
                              </w:rPr>
                              <w:t>(a)</w:t>
                            </w:r>
                          </w:p>
                        </w:txbxContent>
                      </v:textbox>
                    </v:shape>
                  </w:pict>
                </mc:Fallback>
              </mc:AlternateContent>
            </w:r>
            <w:r>
              <w:rPr>
                <w:rFonts w:ascii="Times New Roman" w:hAnsi="Times New Roman" w:eastAsia="宋体" w:cs="Times New Roman"/>
                <w:sz w:val="24"/>
              </w:rPr>
              <w:drawing>
                <wp:inline distT="0" distB="0" distL="114300" distR="114300">
                  <wp:extent cx="2434590" cy="1968500"/>
                  <wp:effectExtent l="0" t="0" r="3810" b="0"/>
                  <wp:docPr id="31" name="图片 3"/>
                  <wp:cNvGraphicFramePr/>
                  <a:graphic xmlns:a="http://schemas.openxmlformats.org/drawingml/2006/main">
                    <a:graphicData uri="http://schemas.openxmlformats.org/drawingml/2006/picture">
                      <pic:pic xmlns:pic="http://schemas.openxmlformats.org/drawingml/2006/picture">
                        <pic:nvPicPr>
                          <pic:cNvPr id="31" name="图片 3"/>
                          <pic:cNvPicPr/>
                        </pic:nvPicPr>
                        <pic:blipFill>
                          <a:blip r:embed="rId5" cstate="print">
                            <a:extLst>
                              <a:ext uri="{28A0092B-C50C-407E-A947-70E740481C1C}">
                                <a14:useLocalDpi xmlns:a14="http://schemas.microsoft.com/office/drawing/2010/main" val="0"/>
                              </a:ext>
                            </a:extLst>
                          </a:blip>
                          <a:srcRect l="37840" t="19668" r="26602" b="35827"/>
                          <a:stretch>
                            <a:fillRect/>
                          </a:stretch>
                        </pic:blipFill>
                        <pic:spPr>
                          <a:xfrm>
                            <a:off x="0" y="0"/>
                            <a:ext cx="2434590" cy="1968500"/>
                          </a:xfrm>
                          <a:prstGeom prst="rect">
                            <a:avLst/>
                          </a:prstGeom>
                          <a:noFill/>
                          <a:ln>
                            <a:noFill/>
                          </a:ln>
                        </pic:spPr>
                      </pic:pic>
                    </a:graphicData>
                  </a:graphic>
                </wp:inline>
              </w:drawing>
            </w:r>
          </w:p>
        </w:tc>
        <w:tc>
          <w:tcPr>
            <w:tcW w:w="4261" w:type="dxa"/>
          </w:tcPr>
          <w:p w14:paraId="118BD4E1">
            <w:pPr>
              <w:spacing w:line="360" w:lineRule="auto"/>
              <w:rPr>
                <w:rFonts w:ascii="Times New Roman" w:hAnsi="Times New Roman" w:eastAsia="宋体" w:cs="Times New Roman"/>
                <w:sz w:val="24"/>
              </w:rPr>
            </w:pPr>
            <w:r>
              <w:rPr>
                <w:rFonts w:ascii="Times New Roman" w:hAnsi="Times New Roman" w:cs="Times New Roman"/>
                <w:sz w:val="24"/>
              </w:rPr>
              <mc:AlternateContent>
                <mc:Choice Requires="wps">
                  <w:drawing>
                    <wp:anchor distT="0" distB="0" distL="114300" distR="114300" simplePos="0" relativeHeight="251661312" behindDoc="0" locked="0" layoutInCell="1" allowOverlap="1">
                      <wp:simplePos x="0" y="0"/>
                      <wp:positionH relativeFrom="column">
                        <wp:posOffset>929005</wp:posOffset>
                      </wp:positionH>
                      <wp:positionV relativeFrom="paragraph">
                        <wp:posOffset>1948180</wp:posOffset>
                      </wp:positionV>
                      <wp:extent cx="479425" cy="337185"/>
                      <wp:effectExtent l="0" t="0" r="3175" b="5715"/>
                      <wp:wrapNone/>
                      <wp:docPr id="32" name="文本框 32"/>
                      <wp:cNvGraphicFramePr/>
                      <a:graphic xmlns:a="http://schemas.openxmlformats.org/drawingml/2006/main">
                        <a:graphicData uri="http://schemas.microsoft.com/office/word/2010/wordprocessingShape">
                          <wps:wsp>
                            <wps:cNvSpPr txBox="1"/>
                            <wps:spPr>
                              <a:xfrm>
                                <a:off x="0" y="0"/>
                                <a:ext cx="479425" cy="337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1E496">
                                  <w:pPr>
                                    <w:rPr>
                                      <w:rFonts w:ascii="Times New Roman" w:hAnsi="Times New Roman" w:cs="Times New Roman"/>
                                      <w:sz w:val="24"/>
                                      <w:szCs w:val="32"/>
                                    </w:rPr>
                                  </w:pPr>
                                  <w:r>
                                    <w:rPr>
                                      <w:rFonts w:ascii="Times New Roman" w:hAnsi="Times New Roman" w:cs="Times New Roman"/>
                                      <w:sz w:val="24"/>
                                      <w:szCs w:val="32"/>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15pt;margin-top:153.4pt;height:26.55pt;width:37.75pt;z-index:251661312;mso-width-relative:page;mso-height-relative:page;" fillcolor="#FFFFFF [3201]" filled="t" stroked="f" coordsize="21600,21600" o:gfxdata="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e/2839UAAAALAQAA&#10;DwAAAAAAAAABACAAAAAiAAAAZHJzL2Rvd25yZXYueG1sUEsBAhQAFAAAAAgAh07iQOJvgJJVAgAA&#10;ngQAAA4AAAAAAAAAAQAgAAAAJAEAAGRycy9lMm9Eb2MueG1sUEsFBgAAAAAGAAYAWQEAAOsFAAAA&#10;AA==&#10;">
                      <v:fill on="t" focussize="0,0"/>
                      <v:stroke on="f" weight="0.5pt"/>
                      <v:imagedata o:title=""/>
                      <o:lock v:ext="edit" aspectratio="f"/>
                      <v:textbox>
                        <w:txbxContent>
                          <w:p w14:paraId="5AC1E496">
                            <w:pPr>
                              <w:rPr>
                                <w:rFonts w:ascii="Times New Roman" w:hAnsi="Times New Roman" w:cs="Times New Roman"/>
                                <w:sz w:val="24"/>
                                <w:szCs w:val="32"/>
                              </w:rPr>
                            </w:pPr>
                            <w:r>
                              <w:rPr>
                                <w:rFonts w:ascii="Times New Roman" w:hAnsi="Times New Roman" w:cs="Times New Roman"/>
                                <w:sz w:val="24"/>
                                <w:szCs w:val="32"/>
                              </w:rPr>
                              <w:t>(b)</w:t>
                            </w:r>
                          </w:p>
                        </w:txbxContent>
                      </v:textbox>
                    </v:shape>
                  </w:pict>
                </mc:Fallback>
              </mc:AlternateContent>
            </w:r>
            <w:r>
              <w:rPr>
                <w:rFonts w:ascii="Times New Roman" w:hAnsi="Times New Roman" w:eastAsia="宋体" w:cs="Times New Roman"/>
                <w:sz w:val="24"/>
              </w:rPr>
              <w:drawing>
                <wp:inline distT="0" distB="0" distL="114300" distR="114300">
                  <wp:extent cx="2456815" cy="1901825"/>
                  <wp:effectExtent l="0" t="0" r="6985" b="3175"/>
                  <wp:docPr id="33" name="图片 5"/>
                  <wp:cNvGraphicFramePr/>
                  <a:graphic xmlns:a="http://schemas.openxmlformats.org/drawingml/2006/main">
                    <a:graphicData uri="http://schemas.openxmlformats.org/drawingml/2006/picture">
                      <pic:pic xmlns:pic="http://schemas.openxmlformats.org/drawingml/2006/picture">
                        <pic:nvPicPr>
                          <pic:cNvPr id="33" name="图片 5"/>
                          <pic:cNvPicPr/>
                        </pic:nvPicPr>
                        <pic:blipFill>
                          <a:blip r:embed="rId6" cstate="print">
                            <a:extLst>
                              <a:ext uri="{28A0092B-C50C-407E-A947-70E740481C1C}">
                                <a14:useLocalDpi xmlns:a14="http://schemas.microsoft.com/office/drawing/2010/main" val="0"/>
                              </a:ext>
                            </a:extLst>
                          </a:blip>
                          <a:srcRect l="37529" t="20377" r="26742" b="36062"/>
                          <a:stretch>
                            <a:fillRect/>
                          </a:stretch>
                        </pic:blipFill>
                        <pic:spPr>
                          <a:xfrm>
                            <a:off x="0" y="0"/>
                            <a:ext cx="2456815" cy="1901825"/>
                          </a:xfrm>
                          <a:prstGeom prst="rect">
                            <a:avLst/>
                          </a:prstGeom>
                          <a:noFill/>
                          <a:ln>
                            <a:noFill/>
                          </a:ln>
                        </pic:spPr>
                      </pic:pic>
                    </a:graphicData>
                  </a:graphic>
                </wp:inline>
              </w:drawing>
            </w:r>
          </w:p>
        </w:tc>
      </w:tr>
      <w:tr w14:paraId="30DA3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2" w:hRule="atLeast"/>
        </w:trPr>
        <w:tc>
          <w:tcPr>
            <w:tcW w:w="4261" w:type="dxa"/>
          </w:tcPr>
          <w:p w14:paraId="0D973D5A">
            <w:pPr>
              <w:spacing w:line="360" w:lineRule="auto"/>
              <w:rPr>
                <w:rFonts w:ascii="Times New Roman" w:hAnsi="Times New Roman" w:eastAsia="宋体" w:cs="Times New Roman"/>
                <w:sz w:val="24"/>
              </w:rPr>
            </w:pPr>
            <w:r>
              <w:rPr>
                <w:rFonts w:ascii="Times New Roman" w:hAnsi="Times New Roman" w:cs="Times New Roman"/>
                <w:sz w:val="24"/>
              </w:rPr>
              <mc:AlternateContent>
                <mc:Choice Requires="wps">
                  <w:drawing>
                    <wp:anchor distT="0" distB="0" distL="114300" distR="114300" simplePos="0" relativeHeight="251662336" behindDoc="0" locked="0" layoutInCell="1" allowOverlap="1">
                      <wp:simplePos x="0" y="0"/>
                      <wp:positionH relativeFrom="column">
                        <wp:posOffset>1052830</wp:posOffset>
                      </wp:positionH>
                      <wp:positionV relativeFrom="paragraph">
                        <wp:posOffset>1947545</wp:posOffset>
                      </wp:positionV>
                      <wp:extent cx="479425" cy="337185"/>
                      <wp:effectExtent l="0" t="0" r="3175" b="5715"/>
                      <wp:wrapNone/>
                      <wp:docPr id="34" name="文本框 34"/>
                      <wp:cNvGraphicFramePr/>
                      <a:graphic xmlns:a="http://schemas.openxmlformats.org/drawingml/2006/main">
                        <a:graphicData uri="http://schemas.microsoft.com/office/word/2010/wordprocessingShape">
                          <wps:wsp>
                            <wps:cNvSpPr txBox="1"/>
                            <wps:spPr>
                              <a:xfrm>
                                <a:off x="0" y="0"/>
                                <a:ext cx="479425" cy="337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4981A">
                                  <w:pPr>
                                    <w:rPr>
                                      <w:rFonts w:ascii="Times New Roman" w:hAnsi="Times New Roman" w:cs="Times New Roman"/>
                                      <w:sz w:val="24"/>
                                      <w:szCs w:val="32"/>
                                    </w:rPr>
                                  </w:pPr>
                                  <w:r>
                                    <w:rPr>
                                      <w:rFonts w:ascii="Times New Roman" w:hAnsi="Times New Roman" w:cs="Times New Roman"/>
                                      <w:sz w:val="24"/>
                                      <w:szCs w:val="32"/>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9pt;margin-top:153.35pt;height:26.55pt;width:37.75pt;z-index:251662336;mso-width-relative:page;mso-height-relative:page;" fillcolor="#FFFFFF [3201]" filled="t" stroked="f" coordsize="21600,21600" o:gfxdata="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Wk5W7WAAAACwEA&#10;AA8AAAAAAAAAAQAgAAAAIgAAAGRycy9kb3ducmV2LnhtbFBLAQIUABQAAAAIAIdO4kAVZUYiVQIA&#10;AJ4EAAAOAAAAAAAAAAEAIAAAACUBAABkcnMvZTJvRG9jLnhtbFBLBQYAAAAABgAGAFkBAADsBQAA&#10;AAA=&#10;">
                      <v:fill on="t" focussize="0,0"/>
                      <v:stroke on="f" weight="0.5pt"/>
                      <v:imagedata o:title=""/>
                      <o:lock v:ext="edit" aspectratio="f"/>
                      <v:textbox>
                        <w:txbxContent>
                          <w:p w14:paraId="38D4981A">
                            <w:pPr>
                              <w:rPr>
                                <w:rFonts w:ascii="Times New Roman" w:hAnsi="Times New Roman" w:cs="Times New Roman"/>
                                <w:sz w:val="24"/>
                                <w:szCs w:val="32"/>
                              </w:rPr>
                            </w:pPr>
                            <w:r>
                              <w:rPr>
                                <w:rFonts w:ascii="Times New Roman" w:hAnsi="Times New Roman" w:cs="Times New Roman"/>
                                <w:sz w:val="24"/>
                                <w:szCs w:val="32"/>
                              </w:rPr>
                              <w:t>(c)</w:t>
                            </w:r>
                          </w:p>
                        </w:txbxContent>
                      </v:textbox>
                    </v:shape>
                  </w:pict>
                </mc:Fallback>
              </mc:AlternateContent>
            </w:r>
            <w:r>
              <w:rPr>
                <w:rFonts w:ascii="Times New Roman" w:hAnsi="Times New Roman" w:eastAsia="宋体" w:cs="Times New Roman"/>
                <w:sz w:val="24"/>
              </w:rPr>
              <w:drawing>
                <wp:inline distT="0" distB="0" distL="114300" distR="114300">
                  <wp:extent cx="2477770" cy="1916430"/>
                  <wp:effectExtent l="0" t="0" r="11430" b="1270"/>
                  <wp:docPr id="35" name="图片 7"/>
                  <wp:cNvGraphicFramePr/>
                  <a:graphic xmlns:a="http://schemas.openxmlformats.org/drawingml/2006/main">
                    <a:graphicData uri="http://schemas.openxmlformats.org/drawingml/2006/picture">
                      <pic:pic xmlns:pic="http://schemas.openxmlformats.org/drawingml/2006/picture">
                        <pic:nvPicPr>
                          <pic:cNvPr id="35" name="图片 7"/>
                          <pic:cNvPicPr/>
                        </pic:nvPicPr>
                        <pic:blipFill>
                          <a:blip r:embed="rId7" cstate="print">
                            <a:extLst>
                              <a:ext uri="{28A0092B-C50C-407E-A947-70E740481C1C}">
                                <a14:useLocalDpi xmlns:a14="http://schemas.microsoft.com/office/drawing/2010/main" val="0"/>
                              </a:ext>
                            </a:extLst>
                          </a:blip>
                          <a:srcRect l="13871" t="14718" r="13552" b="7455"/>
                          <a:stretch>
                            <a:fillRect/>
                          </a:stretch>
                        </pic:blipFill>
                        <pic:spPr>
                          <a:xfrm>
                            <a:off x="0" y="0"/>
                            <a:ext cx="2477770" cy="1916430"/>
                          </a:xfrm>
                          <a:prstGeom prst="rect">
                            <a:avLst/>
                          </a:prstGeom>
                          <a:noFill/>
                          <a:ln>
                            <a:noFill/>
                          </a:ln>
                        </pic:spPr>
                      </pic:pic>
                    </a:graphicData>
                  </a:graphic>
                </wp:inline>
              </w:drawing>
            </w:r>
          </w:p>
        </w:tc>
        <w:tc>
          <w:tcPr>
            <w:tcW w:w="4261" w:type="dxa"/>
          </w:tcPr>
          <w:p w14:paraId="7E196F92">
            <w:pPr>
              <w:spacing w:line="360" w:lineRule="auto"/>
              <w:rPr>
                <w:rFonts w:ascii="Times New Roman" w:hAnsi="Times New Roman" w:eastAsia="宋体" w:cs="Times New Roman"/>
                <w:sz w:val="24"/>
              </w:rPr>
            </w:pPr>
            <w:r>
              <w:rPr>
                <w:rFonts w:ascii="Times New Roman" w:hAnsi="Times New Roman" w:cs="Times New Roman"/>
                <w:sz w:val="24"/>
              </w:rPr>
              <mc:AlternateContent>
                <mc:Choice Requires="wps">
                  <w:drawing>
                    <wp:anchor distT="0" distB="0" distL="114300" distR="114300" simplePos="0" relativeHeight="251663360" behindDoc="0" locked="0" layoutInCell="1" allowOverlap="1">
                      <wp:simplePos x="0" y="0"/>
                      <wp:positionH relativeFrom="column">
                        <wp:posOffset>1006475</wp:posOffset>
                      </wp:positionH>
                      <wp:positionV relativeFrom="paragraph">
                        <wp:posOffset>1939925</wp:posOffset>
                      </wp:positionV>
                      <wp:extent cx="479425" cy="337185"/>
                      <wp:effectExtent l="0" t="0" r="3175" b="5715"/>
                      <wp:wrapNone/>
                      <wp:docPr id="21" name="文本框 21"/>
                      <wp:cNvGraphicFramePr/>
                      <a:graphic xmlns:a="http://schemas.openxmlformats.org/drawingml/2006/main">
                        <a:graphicData uri="http://schemas.microsoft.com/office/word/2010/wordprocessingShape">
                          <wps:wsp>
                            <wps:cNvSpPr txBox="1"/>
                            <wps:spPr>
                              <a:xfrm>
                                <a:off x="0" y="0"/>
                                <a:ext cx="479425" cy="337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2AAD3">
                                  <w:pPr>
                                    <w:rPr>
                                      <w:rFonts w:ascii="Times New Roman" w:hAnsi="Times New Roman" w:cs="Times New Roman"/>
                                      <w:sz w:val="24"/>
                                      <w:szCs w:val="32"/>
                                    </w:rPr>
                                  </w:pPr>
                                  <w:r>
                                    <w:rPr>
                                      <w:rFonts w:ascii="Times New Roman" w:hAnsi="Times New Roman" w:cs="Times New Roman"/>
                                      <w:sz w:val="24"/>
                                      <w:szCs w:val="32"/>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25pt;margin-top:152.75pt;height:26.55pt;width:37.75pt;z-index:251663360;mso-width-relative:page;mso-height-relative:page;" fillcolor="#FFFFFF [3201]" filled="t" stroked="f" coordsize="21600,21600" o:gfxdata="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d1Tc01gAAAAsB&#10;AAAPAAAAAAAAAAEAIAAAACIAAABkcnMvZG93bnJldi54bWxQSwECFAAUAAAACACHTuJA79hfc1YC&#10;AACeBAAADgAAAAAAAAABACAAAAAlAQAAZHJzL2Uyb0RvYy54bWxQSwUGAAAAAAYABgBZAQAA7QUA&#10;AAAA&#10;">
                      <v:fill on="t" focussize="0,0"/>
                      <v:stroke on="f" weight="0.5pt"/>
                      <v:imagedata o:title=""/>
                      <o:lock v:ext="edit" aspectratio="f"/>
                      <v:textbox>
                        <w:txbxContent>
                          <w:p w14:paraId="6942AAD3">
                            <w:pPr>
                              <w:rPr>
                                <w:rFonts w:ascii="Times New Roman" w:hAnsi="Times New Roman" w:cs="Times New Roman"/>
                                <w:sz w:val="24"/>
                                <w:szCs w:val="32"/>
                              </w:rPr>
                            </w:pPr>
                            <w:r>
                              <w:rPr>
                                <w:rFonts w:ascii="Times New Roman" w:hAnsi="Times New Roman" w:cs="Times New Roman"/>
                                <w:sz w:val="24"/>
                                <w:szCs w:val="32"/>
                              </w:rPr>
                              <w:t>(d)</w:t>
                            </w:r>
                          </w:p>
                        </w:txbxContent>
                      </v:textbox>
                    </v:shape>
                  </w:pict>
                </mc:Fallback>
              </mc:AlternateContent>
            </w:r>
            <w:r>
              <w:rPr>
                <w:rFonts w:ascii="Times New Roman" w:hAnsi="Times New Roman" w:eastAsia="宋体" w:cs="Times New Roman"/>
                <w:sz w:val="24"/>
              </w:rPr>
              <w:drawing>
                <wp:inline distT="0" distB="0" distL="114300" distR="114300">
                  <wp:extent cx="2544445" cy="1890395"/>
                  <wp:effectExtent l="0" t="0" r="8255" b="1905"/>
                  <wp:docPr id="36" name="图片 4"/>
                  <wp:cNvGraphicFramePr/>
                  <a:graphic xmlns:a="http://schemas.openxmlformats.org/drawingml/2006/main">
                    <a:graphicData uri="http://schemas.openxmlformats.org/drawingml/2006/picture">
                      <pic:pic xmlns:pic="http://schemas.openxmlformats.org/drawingml/2006/picture">
                        <pic:nvPicPr>
                          <pic:cNvPr id="36" name="图片 4"/>
                          <pic:cNvPicPr/>
                        </pic:nvPicPr>
                        <pic:blipFill>
                          <a:blip r:embed="rId8" cstate="print">
                            <a:extLst>
                              <a:ext uri="{28A0092B-C50C-407E-A947-70E740481C1C}">
                                <a14:useLocalDpi xmlns:a14="http://schemas.microsoft.com/office/drawing/2010/main" val="0"/>
                              </a:ext>
                            </a:extLst>
                          </a:blip>
                          <a:srcRect l="37578" t="19150" r="27730" b="36884"/>
                          <a:stretch>
                            <a:fillRect/>
                          </a:stretch>
                        </pic:blipFill>
                        <pic:spPr>
                          <a:xfrm>
                            <a:off x="0" y="0"/>
                            <a:ext cx="2544445" cy="1890395"/>
                          </a:xfrm>
                          <a:prstGeom prst="rect">
                            <a:avLst/>
                          </a:prstGeom>
                          <a:noFill/>
                          <a:ln>
                            <a:noFill/>
                          </a:ln>
                        </pic:spPr>
                      </pic:pic>
                    </a:graphicData>
                  </a:graphic>
                </wp:inline>
              </w:drawing>
            </w:r>
          </w:p>
        </w:tc>
      </w:tr>
    </w:tbl>
    <w:p w14:paraId="3EA2B9CE">
      <w:pPr>
        <w:spacing w:line="360" w:lineRule="auto"/>
        <w:rPr>
          <w:rFonts w:ascii="Times New Roman" w:hAnsi="Times New Roman" w:eastAsia="宋体" w:cs="Times New Roman"/>
          <w:sz w:val="24"/>
        </w:rPr>
      </w:pPr>
      <w:r>
        <w:rPr>
          <w:rFonts w:ascii="Times New Roman" w:hAnsi="Times New Roman" w:eastAsia="宋体" w:cs="Times New Roman"/>
          <w:sz w:val="24"/>
        </w:rPr>
        <w:t>(a) 70 Kev single-energy image; (b) pseudocolor image; (c) energy spectrum curve; (d) iodine water image.</w:t>
      </w:r>
    </w:p>
    <w:p w14:paraId="03BEE5F6">
      <w:pPr>
        <w:spacing w:after="156" w:afterLines="50" w:line="360" w:lineRule="auto"/>
        <w:rPr>
          <w:rFonts w:ascii="Times New Roman" w:hAnsi="Times New Roman" w:cs="Times New Roman"/>
          <w:b/>
          <w:bCs/>
          <w:sz w:val="28"/>
          <w:szCs w:val="36"/>
        </w:rPr>
      </w:pPr>
    </w:p>
    <w:p w14:paraId="4D88C4D7">
      <w:pPr>
        <w:spacing w:after="156" w:afterLines="50" w:line="360" w:lineRule="auto"/>
        <w:rPr>
          <w:rFonts w:ascii="Times New Roman" w:hAnsi="Times New Roman" w:cs="Times New Roman"/>
          <w:b/>
          <w:bCs/>
          <w:sz w:val="28"/>
          <w:szCs w:val="36"/>
        </w:rPr>
      </w:pPr>
    </w:p>
    <w:p w14:paraId="12F447F8">
      <w:pPr>
        <w:spacing w:after="156" w:afterLines="50" w:line="360" w:lineRule="auto"/>
        <w:rPr>
          <w:rFonts w:ascii="Times New Roman" w:hAnsi="Times New Roman" w:cs="Times New Roman"/>
          <w:b/>
          <w:bCs/>
          <w:sz w:val="28"/>
          <w:szCs w:val="36"/>
        </w:rPr>
      </w:pPr>
    </w:p>
    <w:p w14:paraId="4079C318">
      <w:pPr>
        <w:spacing w:after="156" w:afterLines="50" w:line="360" w:lineRule="auto"/>
        <w:rPr>
          <w:rFonts w:ascii="Times New Roman" w:hAnsi="Times New Roman" w:cs="Times New Roman"/>
          <w:b/>
          <w:bCs/>
          <w:sz w:val="28"/>
          <w:szCs w:val="36"/>
        </w:rPr>
      </w:pPr>
    </w:p>
    <w:p w14:paraId="1A3E4CEF">
      <w:pPr>
        <w:spacing w:after="156" w:afterLines="50" w:line="360" w:lineRule="auto"/>
        <w:rPr>
          <w:rFonts w:ascii="Times New Roman" w:hAnsi="Times New Roman" w:cs="Times New Roman"/>
          <w:b/>
          <w:bCs/>
          <w:sz w:val="28"/>
          <w:szCs w:val="36"/>
        </w:rPr>
      </w:pPr>
    </w:p>
    <w:p w14:paraId="631A1ECD">
      <w:pPr>
        <w:spacing w:after="156" w:afterLines="50" w:line="360" w:lineRule="auto"/>
        <w:rPr>
          <w:rFonts w:ascii="Times New Roman" w:hAnsi="Times New Roman" w:cs="Times New Roman"/>
          <w:b/>
          <w:bCs/>
          <w:sz w:val="28"/>
          <w:szCs w:val="36"/>
        </w:rPr>
      </w:pPr>
    </w:p>
    <w:p w14:paraId="7C1C7E3A">
      <w:pPr>
        <w:spacing w:after="156" w:afterLines="50" w:line="360" w:lineRule="auto"/>
        <w:rPr>
          <w:rFonts w:ascii="Times New Roman" w:hAnsi="Times New Roman" w:cs="Times New Roman"/>
          <w:b/>
          <w:bCs/>
          <w:sz w:val="28"/>
          <w:szCs w:val="36"/>
        </w:rPr>
      </w:pPr>
    </w:p>
    <w:p w14:paraId="6C237C84">
      <w:pPr>
        <w:spacing w:after="156" w:afterLines="50" w:line="360" w:lineRule="auto"/>
        <w:rPr>
          <w:rFonts w:ascii="Times New Roman" w:hAnsi="Times New Roman" w:cs="Times New Roman"/>
          <w:b/>
          <w:bCs/>
          <w:sz w:val="28"/>
          <w:szCs w:val="36"/>
        </w:rPr>
      </w:pPr>
      <w:r>
        <w:rPr>
          <w:rFonts w:ascii="Times New Roman" w:hAnsi="Times New Roman" w:cs="Times New Roman"/>
          <w:b/>
          <w:bCs/>
          <w:sz w:val="28"/>
          <w:szCs w:val="36"/>
        </w:rPr>
        <w:t xml:space="preserve">Supplementary Figure </w:t>
      </w:r>
      <w:r>
        <w:rPr>
          <w:rFonts w:hint="eastAsia" w:ascii="Times New Roman" w:hAnsi="Times New Roman" w:cs="Times New Roman"/>
          <w:b/>
          <w:bCs/>
          <w:sz w:val="28"/>
          <w:szCs w:val="36"/>
          <w:lang w:val="en-US" w:eastAsia="zh-CN"/>
        </w:rPr>
        <w:t>S2</w:t>
      </w:r>
      <w:r>
        <w:rPr>
          <w:rFonts w:ascii="Times New Roman" w:hAnsi="Times New Roman" w:cs="Times New Roman"/>
          <w:b/>
          <w:bCs/>
          <w:sz w:val="28"/>
          <w:szCs w:val="36"/>
        </w:rPr>
        <w:t>: Scree plot of principal components</w:t>
      </w:r>
    </w:p>
    <w:p w14:paraId="286CC120">
      <w:pPr>
        <w:spacing w:line="360" w:lineRule="auto"/>
        <w:rPr>
          <w:rFonts w:ascii="Times New Roman" w:hAnsi="Times New Roman" w:cs="Times New Roman"/>
          <w:b/>
          <w:bCs/>
          <w:sz w:val="28"/>
          <w:szCs w:val="36"/>
        </w:rPr>
      </w:pPr>
      <w:r>
        <w:rPr>
          <w:rFonts w:ascii="Times New Roman" w:hAnsi="Times New Roman" w:cs="Times New Roman"/>
          <w:b/>
          <w:bCs/>
          <w:sz w:val="28"/>
          <w:szCs w:val="36"/>
        </w:rPr>
        <w:drawing>
          <wp:inline distT="0" distB="0" distL="114300" distR="114300">
            <wp:extent cx="5143500" cy="3429635"/>
            <wp:effectExtent l="0" t="0" r="0" b="12065"/>
            <wp:docPr id="4" name="图片 4" descr="02  碎石图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2  碎石图_page-0001"/>
                    <pic:cNvPicPr>
                      <a:picLocks noChangeAspect="1"/>
                    </pic:cNvPicPr>
                  </pic:nvPicPr>
                  <pic:blipFill>
                    <a:blip r:embed="rId9"/>
                    <a:stretch>
                      <a:fillRect/>
                    </a:stretch>
                  </pic:blipFill>
                  <pic:spPr>
                    <a:xfrm>
                      <a:off x="0" y="0"/>
                      <a:ext cx="5143500" cy="3429635"/>
                    </a:xfrm>
                    <a:prstGeom prst="rect">
                      <a:avLst/>
                    </a:prstGeom>
                  </pic:spPr>
                </pic:pic>
              </a:graphicData>
            </a:graphic>
          </wp:inline>
        </w:drawing>
      </w:r>
    </w:p>
    <w:p w14:paraId="6F39B520">
      <w:pPr>
        <w:spacing w:line="360" w:lineRule="auto"/>
        <w:rPr>
          <w:rFonts w:ascii="Times New Roman" w:hAnsi="Times New Roman" w:cs="Times New Roman"/>
          <w:i/>
          <w:iCs/>
          <w:sz w:val="20"/>
          <w:szCs w:val="22"/>
        </w:rPr>
      </w:pPr>
      <w:r>
        <w:rPr>
          <w:rFonts w:ascii="Times New Roman" w:hAnsi="Times New Roman" w:cs="Times New Roman"/>
          <w:i/>
          <w:iCs/>
          <w:sz w:val="20"/>
          <w:szCs w:val="22"/>
        </w:rPr>
        <w:t>Legend: The scree plot displays eigenvalues and the explained variance ratio of each principal component (PC), used to determine the number of PCs retained.</w:t>
      </w:r>
    </w:p>
    <w:p w14:paraId="13E677ED">
      <w:pPr>
        <w:spacing w:line="360" w:lineRule="auto"/>
        <w:rPr>
          <w:rFonts w:ascii="Times New Roman" w:hAnsi="Times New Roman" w:cs="Times New Roman"/>
          <w:b/>
          <w:bCs/>
          <w:sz w:val="28"/>
          <w:szCs w:val="36"/>
        </w:rPr>
      </w:pPr>
    </w:p>
    <w:p w14:paraId="0C03736F">
      <w:pPr>
        <w:spacing w:line="360" w:lineRule="auto"/>
        <w:rPr>
          <w:rFonts w:ascii="Times New Roman" w:hAnsi="Times New Roman" w:cs="Times New Roman"/>
          <w:b/>
          <w:bCs/>
          <w:sz w:val="28"/>
          <w:szCs w:val="36"/>
        </w:rPr>
      </w:pPr>
    </w:p>
    <w:p w14:paraId="064A245B">
      <w:pPr>
        <w:spacing w:line="360" w:lineRule="auto"/>
        <w:rPr>
          <w:rFonts w:ascii="Times New Roman" w:hAnsi="Times New Roman" w:cs="Times New Roman"/>
          <w:b/>
          <w:bCs/>
          <w:sz w:val="28"/>
          <w:szCs w:val="36"/>
        </w:rPr>
      </w:pPr>
    </w:p>
    <w:p w14:paraId="479BF48A">
      <w:pPr>
        <w:spacing w:line="360" w:lineRule="auto"/>
        <w:rPr>
          <w:rFonts w:ascii="Times New Roman" w:hAnsi="Times New Roman" w:cs="Times New Roman"/>
          <w:b/>
          <w:bCs/>
          <w:sz w:val="28"/>
          <w:szCs w:val="36"/>
        </w:rPr>
      </w:pPr>
    </w:p>
    <w:p w14:paraId="296E9184">
      <w:pPr>
        <w:spacing w:line="360" w:lineRule="auto"/>
        <w:rPr>
          <w:rFonts w:ascii="Times New Roman" w:hAnsi="Times New Roman" w:cs="Times New Roman"/>
          <w:b/>
          <w:bCs/>
          <w:sz w:val="28"/>
          <w:szCs w:val="36"/>
        </w:rPr>
      </w:pPr>
    </w:p>
    <w:p w14:paraId="0DB4131A">
      <w:pPr>
        <w:spacing w:line="360" w:lineRule="auto"/>
        <w:rPr>
          <w:rFonts w:ascii="Times New Roman" w:hAnsi="Times New Roman" w:cs="Times New Roman"/>
          <w:b/>
          <w:bCs/>
          <w:sz w:val="28"/>
          <w:szCs w:val="36"/>
        </w:rPr>
      </w:pPr>
    </w:p>
    <w:p w14:paraId="6E706474">
      <w:pPr>
        <w:spacing w:line="360" w:lineRule="auto"/>
        <w:rPr>
          <w:rFonts w:ascii="Times New Roman" w:hAnsi="Times New Roman" w:cs="Times New Roman"/>
          <w:b/>
          <w:bCs/>
          <w:sz w:val="28"/>
          <w:szCs w:val="36"/>
        </w:rPr>
      </w:pPr>
    </w:p>
    <w:p w14:paraId="0B9376C6">
      <w:pPr>
        <w:spacing w:line="360" w:lineRule="auto"/>
        <w:rPr>
          <w:rFonts w:ascii="Times New Roman" w:hAnsi="Times New Roman" w:cs="Times New Roman"/>
          <w:b/>
          <w:bCs/>
          <w:sz w:val="28"/>
          <w:szCs w:val="36"/>
        </w:rPr>
      </w:pPr>
      <w:r>
        <w:rPr>
          <w:rFonts w:ascii="Times New Roman" w:hAnsi="Times New Roman" w:cs="Times New Roman"/>
          <w:b/>
          <w:bCs/>
          <w:sz w:val="28"/>
          <w:szCs w:val="36"/>
        </w:rPr>
        <w:t xml:space="preserve">Supplementary Figure </w:t>
      </w:r>
      <w:r>
        <w:rPr>
          <w:rFonts w:hint="eastAsia" w:ascii="Times New Roman" w:hAnsi="Times New Roman" w:cs="Times New Roman"/>
          <w:b/>
          <w:bCs/>
          <w:sz w:val="28"/>
          <w:szCs w:val="36"/>
          <w:lang w:val="en-US" w:eastAsia="zh-CN"/>
        </w:rPr>
        <w:t>S3</w:t>
      </w:r>
      <w:r>
        <w:rPr>
          <w:rFonts w:ascii="Times New Roman" w:hAnsi="Times New Roman" w:cs="Times New Roman"/>
          <w:b/>
          <w:bCs/>
          <w:sz w:val="28"/>
          <w:szCs w:val="36"/>
        </w:rPr>
        <w:t>: TIME Distribution by RFS Status</w:t>
      </w:r>
    </w:p>
    <w:p w14:paraId="33403BD5">
      <w:pPr>
        <w:spacing w:line="360" w:lineRule="auto"/>
        <w:rPr>
          <w:rFonts w:ascii="Times New Roman" w:hAnsi="Times New Roman" w:cs="Times New Roman"/>
          <w:b/>
          <w:bCs/>
          <w:sz w:val="28"/>
          <w:szCs w:val="36"/>
        </w:rPr>
      </w:pPr>
      <w:r>
        <w:rPr>
          <w:rFonts w:ascii="Times New Roman" w:hAnsi="Times New Roman" w:cs="Times New Roman"/>
          <w:b/>
          <w:bCs/>
          <w:sz w:val="28"/>
          <w:szCs w:val="36"/>
        </w:rPr>
        <w:drawing>
          <wp:inline distT="0" distB="0" distL="114300" distR="114300">
            <wp:extent cx="5266690" cy="3511550"/>
            <wp:effectExtent l="0" t="0" r="3810" b="6350"/>
            <wp:docPr id="1" name="图片 1" descr="TIME Distribution by RF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E Distribution by RFS Status"/>
                    <pic:cNvPicPr>
                      <a:picLocks noChangeAspect="1"/>
                    </pic:cNvPicPr>
                  </pic:nvPicPr>
                  <pic:blipFill>
                    <a:blip r:embed="rId10"/>
                    <a:stretch>
                      <a:fillRect/>
                    </a:stretch>
                  </pic:blipFill>
                  <pic:spPr>
                    <a:xfrm>
                      <a:off x="0" y="0"/>
                      <a:ext cx="5266690" cy="3511550"/>
                    </a:xfrm>
                    <a:prstGeom prst="rect">
                      <a:avLst/>
                    </a:prstGeom>
                  </pic:spPr>
                </pic:pic>
              </a:graphicData>
            </a:graphic>
          </wp:inline>
        </w:drawing>
      </w:r>
    </w:p>
    <w:p w14:paraId="4244332B">
      <w:pPr>
        <w:spacing w:line="360" w:lineRule="auto"/>
        <w:rPr>
          <w:rFonts w:ascii="Times New Roman" w:hAnsi="Times New Roman" w:cs="Times New Roman"/>
          <w:i/>
          <w:iCs/>
          <w:sz w:val="20"/>
          <w:szCs w:val="22"/>
        </w:rPr>
      </w:pPr>
      <w:r>
        <w:rPr>
          <w:rFonts w:ascii="Times New Roman" w:hAnsi="Times New Roman" w:cs="Times New Roman"/>
          <w:i/>
          <w:iCs/>
          <w:sz w:val="20"/>
          <w:szCs w:val="22"/>
        </w:rPr>
        <w:t>Legend: This figure illustrates the distribution of TIME based on RFS status, where 0 represents the negative group with no recurrence or metastasis, and 1 represents the positive group with recurrence or metastasis.</w:t>
      </w:r>
    </w:p>
    <w:p w14:paraId="4D6BDBD3">
      <w:pPr>
        <w:spacing w:line="360" w:lineRule="auto"/>
        <w:rPr>
          <w:rFonts w:ascii="Times New Roman" w:hAnsi="Times New Roman" w:cs="Times New Roman"/>
          <w:sz w:val="24"/>
          <w:szCs w:val="32"/>
        </w:rPr>
      </w:pPr>
    </w:p>
    <w:p w14:paraId="3DDD1A60">
      <w:pPr>
        <w:spacing w:line="360" w:lineRule="auto"/>
        <w:rPr>
          <w:rFonts w:ascii="Times New Roman" w:hAnsi="Times New Roman" w:cs="Times New Roman"/>
          <w:sz w:val="24"/>
          <w:szCs w:val="32"/>
        </w:rPr>
        <w:sectPr>
          <w:pgSz w:w="11906" w:h="16838"/>
          <w:pgMar w:top="1440" w:right="1800" w:bottom="1440" w:left="1800" w:header="851" w:footer="992" w:gutter="0"/>
          <w:cols w:space="425" w:num="1"/>
          <w:docGrid w:type="lines" w:linePitch="312" w:charSpace="0"/>
        </w:sectPr>
      </w:pPr>
    </w:p>
    <w:p w14:paraId="66499DDA">
      <w:pPr>
        <w:spacing w:line="360" w:lineRule="auto"/>
        <w:jc w:val="center"/>
        <w:rPr>
          <w:rFonts w:ascii="Times New Roman" w:hAnsi="Times New Roman" w:cs="Times New Roman"/>
          <w:b/>
          <w:bCs/>
          <w:sz w:val="28"/>
          <w:szCs w:val="36"/>
        </w:rPr>
      </w:pPr>
      <w:r>
        <w:rPr>
          <w:rFonts w:ascii="Times New Roman" w:hAnsi="Times New Roman" w:cs="Times New Roman"/>
          <w:b/>
          <w:bCs/>
          <w:sz w:val="28"/>
          <w:szCs w:val="36"/>
        </w:rPr>
        <w:t>Supplementary Tables</w:t>
      </w:r>
    </w:p>
    <w:p w14:paraId="3139B140">
      <w:pPr>
        <w:keepNext/>
        <w:keepLines/>
        <w:spacing w:before="480" w:after="156" w:afterLines="50" w:line="360" w:lineRule="auto"/>
        <w:outlineLvl w:val="0"/>
        <w:rPr>
          <w:rFonts w:ascii="Times New Roman" w:hAnsi="Times New Roman" w:eastAsia="宋体" w:cs="Times New Roman"/>
          <w:sz w:val="24"/>
        </w:rPr>
      </w:pPr>
      <w:r>
        <w:rPr>
          <w:rFonts w:ascii="Times New Roman" w:hAnsi="Times New Roman" w:eastAsia="宋体" w:cs="Times New Roman"/>
          <w:b/>
          <w:bCs/>
          <w:sz w:val="24"/>
        </w:rPr>
        <w:t xml:space="preserve">Supplementary </w:t>
      </w:r>
      <w:r>
        <w:rPr>
          <w:rFonts w:hint="eastAsia" w:ascii="Times New Roman" w:hAnsi="Times New Roman" w:eastAsia="宋体" w:cs="Times New Roman"/>
          <w:b/>
          <w:bCs/>
          <w:sz w:val="24"/>
          <w:lang w:val="en-US" w:eastAsia="zh-CN"/>
        </w:rPr>
        <w:t>T</w:t>
      </w:r>
      <w:r>
        <w:rPr>
          <w:rFonts w:ascii="Times New Roman" w:hAnsi="Times New Roman" w:eastAsia="宋体" w:cs="Times New Roman"/>
          <w:b/>
          <w:bCs/>
          <w:sz w:val="24"/>
        </w:rPr>
        <w:t xml:space="preserve">able </w:t>
      </w:r>
      <w:r>
        <w:rPr>
          <w:rFonts w:hint="eastAsia" w:ascii="Times New Roman" w:hAnsi="Times New Roman" w:eastAsia="宋体" w:cs="Times New Roman"/>
          <w:b/>
          <w:bCs/>
          <w:sz w:val="24"/>
          <w:lang w:val="en-US" w:eastAsia="zh-CN"/>
        </w:rPr>
        <w:t>S</w:t>
      </w:r>
      <w:r>
        <w:rPr>
          <w:rFonts w:ascii="Times New Roman" w:hAnsi="Times New Roman" w:eastAsia="宋体" w:cs="Times New Roman"/>
          <w:b/>
          <w:bCs/>
          <w:sz w:val="24"/>
        </w:rPr>
        <w:t>1: Detailed CT acquisition protocols</w:t>
      </w:r>
    </w:p>
    <w:tbl>
      <w:tblPr>
        <w:tblStyle w:val="6"/>
        <w:tblW w:w="0" w:type="auto"/>
        <w:tblInd w:w="0" w:type="dxa"/>
        <w:tblLayout w:type="autofit"/>
        <w:tblCellMar>
          <w:top w:w="0" w:type="dxa"/>
          <w:left w:w="108" w:type="dxa"/>
          <w:bottom w:w="0" w:type="dxa"/>
          <w:right w:w="108" w:type="dxa"/>
        </w:tblCellMar>
      </w:tblPr>
      <w:tblGrid>
        <w:gridCol w:w="4263"/>
        <w:gridCol w:w="4259"/>
      </w:tblGrid>
      <w:tr w14:paraId="4ECA4913">
        <w:tblPrEx>
          <w:tblCellMar>
            <w:top w:w="0" w:type="dxa"/>
            <w:left w:w="108" w:type="dxa"/>
            <w:bottom w:w="0" w:type="dxa"/>
            <w:right w:w="108" w:type="dxa"/>
          </w:tblCellMar>
        </w:tblPrEx>
        <w:tc>
          <w:tcPr>
            <w:tcW w:w="4265" w:type="dxa"/>
            <w:tcBorders>
              <w:top w:val="single" w:color="000000" w:sz="12" w:space="0"/>
              <w:left w:val="nil"/>
              <w:bottom w:val="single" w:color="000000" w:sz="4" w:space="0"/>
              <w:right w:val="nil"/>
              <w:tl2br w:val="nil"/>
            </w:tcBorders>
            <w:shd w:val="clear" w:color="auto" w:fill="FFFFFF"/>
            <w:vAlign w:val="center"/>
          </w:tcPr>
          <w:p w14:paraId="0D51C429">
            <w:pPr>
              <w:widowControl/>
              <w:spacing w:after="200" w:line="276" w:lineRule="auto"/>
              <w:jc w:val="center"/>
              <w:rPr>
                <w:rFonts w:ascii="Times New Roman" w:hAnsi="Times New Roman" w:eastAsia="宋体" w:cs="Times New Roman"/>
                <w:b/>
                <w:bCs/>
                <w:color w:val="000000"/>
                <w:kern w:val="0"/>
                <w:sz w:val="24"/>
                <w:lang w:eastAsia="en-US"/>
              </w:rPr>
            </w:pPr>
            <w:r>
              <w:rPr>
                <w:rFonts w:ascii="Times New Roman" w:hAnsi="Times New Roman" w:eastAsia="宋体" w:cs="Times New Roman"/>
                <w:b/>
                <w:bCs/>
                <w:color w:val="000000"/>
                <w:kern w:val="0"/>
                <w:sz w:val="24"/>
                <w:lang w:eastAsia="en-US"/>
              </w:rPr>
              <w:t>CT Scanning Parameters</w:t>
            </w:r>
          </w:p>
        </w:tc>
        <w:tc>
          <w:tcPr>
            <w:tcW w:w="4257" w:type="dxa"/>
            <w:tcBorders>
              <w:top w:val="single" w:color="000000" w:sz="12" w:space="0"/>
              <w:left w:val="nil"/>
              <w:bottom w:val="single" w:color="000000" w:sz="4" w:space="0"/>
              <w:right w:val="nil"/>
            </w:tcBorders>
            <w:shd w:val="clear" w:color="auto" w:fill="FFFFFF"/>
            <w:vAlign w:val="center"/>
          </w:tcPr>
          <w:p w14:paraId="14DF1F8E">
            <w:pPr>
              <w:widowControl/>
              <w:spacing w:after="200" w:line="276" w:lineRule="auto"/>
              <w:jc w:val="center"/>
              <w:rPr>
                <w:rFonts w:ascii="Times New Roman" w:hAnsi="Times New Roman" w:eastAsia="宋体" w:cs="Times New Roman"/>
                <w:b/>
                <w:bCs/>
                <w:color w:val="000000"/>
                <w:kern w:val="0"/>
                <w:sz w:val="24"/>
              </w:rPr>
            </w:pPr>
            <w:r>
              <w:rPr>
                <w:rFonts w:ascii="Times New Roman" w:hAnsi="Times New Roman" w:eastAsia="宋体" w:cs="Times New Roman"/>
                <w:b/>
                <w:bCs/>
                <w:color w:val="000000"/>
                <w:kern w:val="0"/>
                <w:sz w:val="24"/>
                <w:lang w:eastAsia="en-US"/>
              </w:rPr>
              <w:t>Value</w:t>
            </w:r>
            <w:r>
              <w:rPr>
                <w:rFonts w:ascii="Times New Roman" w:hAnsi="Times New Roman" w:eastAsia="宋体" w:cs="Times New Roman"/>
                <w:b/>
                <w:bCs/>
                <w:color w:val="000000"/>
                <w:kern w:val="0"/>
                <w:sz w:val="24"/>
              </w:rPr>
              <w:t>s</w:t>
            </w:r>
          </w:p>
        </w:tc>
      </w:tr>
      <w:tr w14:paraId="2C9EFFB9">
        <w:tblPrEx>
          <w:tblCellMar>
            <w:top w:w="0" w:type="dxa"/>
            <w:left w:w="108" w:type="dxa"/>
            <w:bottom w:w="0" w:type="dxa"/>
            <w:right w:w="108" w:type="dxa"/>
          </w:tblCellMar>
        </w:tblPrEx>
        <w:tc>
          <w:tcPr>
            <w:tcW w:w="4265" w:type="dxa"/>
            <w:tcBorders>
              <w:top w:val="single" w:color="000000" w:sz="4" w:space="0"/>
              <w:left w:val="nil"/>
              <w:bottom w:val="nil"/>
              <w:right w:val="nil"/>
            </w:tcBorders>
            <w:shd w:val="clear" w:color="auto" w:fill="FFFFFF"/>
            <w:vAlign w:val="center"/>
          </w:tcPr>
          <w:p w14:paraId="41624A79">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Scanning Mode</w:t>
            </w:r>
          </w:p>
        </w:tc>
        <w:tc>
          <w:tcPr>
            <w:tcW w:w="4257" w:type="dxa"/>
            <w:tcBorders>
              <w:top w:val="single" w:color="000000" w:sz="4" w:space="0"/>
              <w:left w:val="nil"/>
              <w:bottom w:val="nil"/>
              <w:right w:val="nil"/>
            </w:tcBorders>
            <w:shd w:val="clear" w:color="auto" w:fill="FFFFFF"/>
            <w:vAlign w:val="center"/>
          </w:tcPr>
          <w:p w14:paraId="72CFE55C">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Gemstone Spectral Imaging (GSI)</w:t>
            </w:r>
          </w:p>
        </w:tc>
      </w:tr>
      <w:tr w14:paraId="4980D88E">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6AC51513">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Tube Voltage</w:t>
            </w:r>
          </w:p>
        </w:tc>
        <w:tc>
          <w:tcPr>
            <w:tcW w:w="4257" w:type="dxa"/>
            <w:tcBorders>
              <w:top w:val="nil"/>
              <w:left w:val="nil"/>
              <w:bottom w:val="nil"/>
              <w:right w:val="nil"/>
            </w:tcBorders>
            <w:shd w:val="clear" w:color="auto" w:fill="FFFFFF"/>
            <w:vAlign w:val="center"/>
          </w:tcPr>
          <w:p w14:paraId="25C674F0">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Rapid switching between 80 and 140 kVp</w:t>
            </w:r>
          </w:p>
        </w:tc>
      </w:tr>
      <w:tr w14:paraId="689D6FC2">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6F00905B">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Tube Current</w:t>
            </w:r>
          </w:p>
        </w:tc>
        <w:tc>
          <w:tcPr>
            <w:tcW w:w="4257" w:type="dxa"/>
            <w:tcBorders>
              <w:top w:val="nil"/>
              <w:left w:val="nil"/>
              <w:bottom w:val="nil"/>
              <w:right w:val="nil"/>
            </w:tcBorders>
            <w:shd w:val="clear" w:color="auto" w:fill="FFFFFF"/>
            <w:vAlign w:val="center"/>
          </w:tcPr>
          <w:p w14:paraId="03AEEBEC">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375 mAs</w:t>
            </w:r>
          </w:p>
        </w:tc>
      </w:tr>
      <w:tr w14:paraId="51A2BB83">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7AD55A10">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Field of View</w:t>
            </w:r>
          </w:p>
        </w:tc>
        <w:tc>
          <w:tcPr>
            <w:tcW w:w="4257" w:type="dxa"/>
            <w:tcBorders>
              <w:top w:val="nil"/>
              <w:left w:val="nil"/>
              <w:bottom w:val="nil"/>
              <w:right w:val="nil"/>
            </w:tcBorders>
            <w:shd w:val="clear" w:color="auto" w:fill="FFFFFF"/>
            <w:vAlign w:val="center"/>
          </w:tcPr>
          <w:p w14:paraId="65ED09ED">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500 × 500 mm</w:t>
            </w:r>
          </w:p>
        </w:tc>
      </w:tr>
      <w:tr w14:paraId="433CACDF">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6B007870">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Pitch</w:t>
            </w:r>
          </w:p>
        </w:tc>
        <w:tc>
          <w:tcPr>
            <w:tcW w:w="4257" w:type="dxa"/>
            <w:tcBorders>
              <w:top w:val="nil"/>
              <w:left w:val="nil"/>
              <w:bottom w:val="nil"/>
              <w:right w:val="nil"/>
            </w:tcBorders>
            <w:shd w:val="clear" w:color="auto" w:fill="FFFFFF"/>
            <w:vAlign w:val="center"/>
          </w:tcPr>
          <w:p w14:paraId="0C195774">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0.992</w:t>
            </w:r>
          </w:p>
        </w:tc>
      </w:tr>
      <w:tr w14:paraId="65AA748C">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09C0B58A">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Matrix</w:t>
            </w:r>
          </w:p>
        </w:tc>
        <w:tc>
          <w:tcPr>
            <w:tcW w:w="4257" w:type="dxa"/>
            <w:tcBorders>
              <w:top w:val="nil"/>
              <w:left w:val="nil"/>
              <w:bottom w:val="nil"/>
              <w:right w:val="nil"/>
            </w:tcBorders>
            <w:shd w:val="clear" w:color="auto" w:fill="FFFFFF"/>
            <w:vAlign w:val="center"/>
          </w:tcPr>
          <w:p w14:paraId="41013065">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512 × 512</w:t>
            </w:r>
          </w:p>
        </w:tc>
      </w:tr>
      <w:tr w14:paraId="2C491FF4">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5746013D">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Detector Width</w:t>
            </w:r>
          </w:p>
        </w:tc>
        <w:tc>
          <w:tcPr>
            <w:tcW w:w="4257" w:type="dxa"/>
            <w:tcBorders>
              <w:top w:val="nil"/>
              <w:left w:val="nil"/>
              <w:bottom w:val="nil"/>
              <w:right w:val="nil"/>
            </w:tcBorders>
            <w:shd w:val="clear" w:color="auto" w:fill="FFFFFF"/>
            <w:vAlign w:val="center"/>
          </w:tcPr>
          <w:p w14:paraId="33AA6DF5">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80 mm</w:t>
            </w:r>
          </w:p>
        </w:tc>
      </w:tr>
      <w:tr w14:paraId="45FA720E">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0C5BA637">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Rotation Time</w:t>
            </w:r>
          </w:p>
        </w:tc>
        <w:tc>
          <w:tcPr>
            <w:tcW w:w="4257" w:type="dxa"/>
            <w:tcBorders>
              <w:top w:val="nil"/>
              <w:left w:val="nil"/>
              <w:bottom w:val="nil"/>
              <w:right w:val="nil"/>
            </w:tcBorders>
            <w:shd w:val="clear" w:color="auto" w:fill="FFFFFF"/>
            <w:vAlign w:val="center"/>
          </w:tcPr>
          <w:p w14:paraId="330445E7">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0.6–0.8 s per rotation</w:t>
            </w:r>
          </w:p>
        </w:tc>
      </w:tr>
      <w:tr w14:paraId="577C89F3">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33F65356">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Acquisition Slice Thickness</w:t>
            </w:r>
          </w:p>
        </w:tc>
        <w:tc>
          <w:tcPr>
            <w:tcW w:w="4257" w:type="dxa"/>
            <w:tcBorders>
              <w:top w:val="nil"/>
              <w:left w:val="nil"/>
              <w:bottom w:val="nil"/>
              <w:right w:val="nil"/>
            </w:tcBorders>
            <w:shd w:val="clear" w:color="auto" w:fill="FFFFFF"/>
            <w:vAlign w:val="center"/>
          </w:tcPr>
          <w:p w14:paraId="0BE7D254">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5 mm</w:t>
            </w:r>
          </w:p>
        </w:tc>
      </w:tr>
      <w:tr w14:paraId="07A29465">
        <w:tblPrEx>
          <w:tblCellMar>
            <w:top w:w="0" w:type="dxa"/>
            <w:left w:w="108" w:type="dxa"/>
            <w:bottom w:w="0" w:type="dxa"/>
            <w:right w:w="108" w:type="dxa"/>
          </w:tblCellMar>
        </w:tblPrEx>
        <w:tc>
          <w:tcPr>
            <w:tcW w:w="4265" w:type="dxa"/>
            <w:tcBorders>
              <w:top w:val="nil"/>
              <w:left w:val="nil"/>
              <w:bottom w:val="single" w:color="auto" w:sz="12" w:space="0"/>
              <w:right w:val="nil"/>
            </w:tcBorders>
            <w:shd w:val="clear" w:color="auto" w:fill="FFFFFF"/>
            <w:vAlign w:val="center"/>
          </w:tcPr>
          <w:p w14:paraId="5FC51A46">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Reconstruction Slice Thickness</w:t>
            </w:r>
          </w:p>
        </w:tc>
        <w:tc>
          <w:tcPr>
            <w:tcW w:w="4257" w:type="dxa"/>
            <w:tcBorders>
              <w:top w:val="nil"/>
              <w:left w:val="nil"/>
              <w:bottom w:val="single" w:color="auto" w:sz="12" w:space="0"/>
              <w:right w:val="nil"/>
            </w:tcBorders>
            <w:shd w:val="clear" w:color="auto" w:fill="FFFFFF"/>
            <w:vAlign w:val="center"/>
          </w:tcPr>
          <w:p w14:paraId="278DD7F5">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1.25 mm</w:t>
            </w:r>
          </w:p>
        </w:tc>
      </w:tr>
      <w:tr w14:paraId="077C79B2">
        <w:tblPrEx>
          <w:tblCellMar>
            <w:top w:w="0" w:type="dxa"/>
            <w:left w:w="108" w:type="dxa"/>
            <w:bottom w:w="0" w:type="dxa"/>
            <w:right w:w="108" w:type="dxa"/>
          </w:tblCellMar>
        </w:tblPrEx>
        <w:tc>
          <w:tcPr>
            <w:tcW w:w="8522" w:type="dxa"/>
            <w:gridSpan w:val="2"/>
            <w:tcBorders>
              <w:top w:val="single" w:color="auto" w:sz="12" w:space="0"/>
              <w:left w:val="nil"/>
              <w:bottom w:val="nil"/>
              <w:right w:val="nil"/>
            </w:tcBorders>
            <w:shd w:val="clear" w:color="auto" w:fill="FFFFFF"/>
            <w:vAlign w:val="center"/>
          </w:tcPr>
          <w:p w14:paraId="032397A0">
            <w:pPr>
              <w:widowControl/>
              <w:spacing w:after="200" w:line="276" w:lineRule="auto"/>
              <w:jc w:val="left"/>
              <w:rPr>
                <w:rFonts w:ascii="Times New Roman" w:hAnsi="Times New Roman" w:eastAsia="宋体" w:cs="Times New Roman"/>
                <w:color w:val="000000"/>
                <w:kern w:val="0"/>
                <w:sz w:val="24"/>
                <w:lang w:eastAsia="en-US"/>
              </w:rPr>
            </w:pPr>
            <w:r>
              <w:rPr>
                <w:rFonts w:ascii="Times New Roman" w:hAnsi="Times New Roman" w:eastAsia="宋体" w:cs="Times New Roman"/>
                <w:i/>
                <w:iCs/>
                <w:color w:val="000000"/>
                <w:kern w:val="0"/>
                <w:sz w:val="20"/>
                <w:szCs w:val="20"/>
                <w:lang w:eastAsia="en-US"/>
              </w:rPr>
              <w:t>All CT examinations were performed using a gemstone spectral imaging (GSI)–based spectral CT scanner (256-Q1 slice CT scanner; GE Healthcare, Waukesha, WI, USA). The scanning range extended from the top of the diaphragm to the lower pole of both kidneys.</w:t>
            </w:r>
          </w:p>
        </w:tc>
      </w:tr>
      <w:tr w14:paraId="0861FA8C">
        <w:tblPrEx>
          <w:tblCellMar>
            <w:top w:w="0" w:type="dxa"/>
            <w:left w:w="108" w:type="dxa"/>
            <w:bottom w:w="0" w:type="dxa"/>
            <w:right w:w="108" w:type="dxa"/>
          </w:tblCellMar>
        </w:tblPrEx>
        <w:tc>
          <w:tcPr>
            <w:tcW w:w="4265" w:type="dxa"/>
            <w:tcBorders>
              <w:top w:val="nil"/>
              <w:left w:val="nil"/>
              <w:bottom w:val="single" w:color="000000" w:sz="12" w:space="0"/>
              <w:right w:val="nil"/>
            </w:tcBorders>
            <w:shd w:val="clear" w:color="auto" w:fill="FFFFFF"/>
            <w:vAlign w:val="center"/>
          </w:tcPr>
          <w:p w14:paraId="4D55475B">
            <w:pPr>
              <w:widowControl/>
              <w:spacing w:after="200" w:line="276" w:lineRule="auto"/>
              <w:jc w:val="center"/>
              <w:rPr>
                <w:rFonts w:ascii="Times New Roman" w:hAnsi="Times New Roman" w:eastAsia="宋体" w:cs="Times New Roman"/>
                <w:color w:val="000000"/>
                <w:kern w:val="0"/>
                <w:sz w:val="24"/>
                <w:lang w:eastAsia="en-US"/>
              </w:rPr>
            </w:pPr>
          </w:p>
        </w:tc>
        <w:tc>
          <w:tcPr>
            <w:tcW w:w="4257" w:type="dxa"/>
            <w:tcBorders>
              <w:top w:val="nil"/>
              <w:left w:val="nil"/>
              <w:bottom w:val="single" w:color="000000" w:sz="12" w:space="0"/>
              <w:right w:val="nil"/>
            </w:tcBorders>
            <w:shd w:val="clear" w:color="auto" w:fill="FFFFFF"/>
            <w:vAlign w:val="center"/>
          </w:tcPr>
          <w:p w14:paraId="5B9F468A">
            <w:pPr>
              <w:widowControl/>
              <w:spacing w:after="200" w:line="276" w:lineRule="auto"/>
              <w:jc w:val="center"/>
              <w:rPr>
                <w:rFonts w:ascii="Times New Roman" w:hAnsi="Times New Roman" w:eastAsia="宋体" w:cs="Times New Roman"/>
                <w:color w:val="000000"/>
                <w:kern w:val="0"/>
                <w:sz w:val="24"/>
                <w:lang w:eastAsia="en-US"/>
              </w:rPr>
            </w:pPr>
          </w:p>
        </w:tc>
      </w:tr>
      <w:tr w14:paraId="39ABADD5">
        <w:tblPrEx>
          <w:tblCellMar>
            <w:top w:w="0" w:type="dxa"/>
            <w:left w:w="108" w:type="dxa"/>
            <w:bottom w:w="0" w:type="dxa"/>
            <w:right w:w="108" w:type="dxa"/>
          </w:tblCellMar>
        </w:tblPrEx>
        <w:tc>
          <w:tcPr>
            <w:tcW w:w="4260" w:type="dxa"/>
            <w:tcBorders>
              <w:top w:val="single" w:color="000000" w:sz="12" w:space="0"/>
              <w:left w:val="nil"/>
              <w:bottom w:val="single" w:color="000000" w:sz="4" w:space="0"/>
              <w:right w:val="nil"/>
              <w:tl2br w:val="nil"/>
            </w:tcBorders>
            <w:shd w:val="clear" w:color="auto" w:fill="FFFFFF"/>
            <w:vAlign w:val="center"/>
          </w:tcPr>
          <w:p w14:paraId="31D57B3E">
            <w:pPr>
              <w:widowControl/>
              <w:spacing w:after="200" w:line="276" w:lineRule="auto"/>
              <w:jc w:val="center"/>
              <w:rPr>
                <w:rFonts w:ascii="Times New Roman" w:hAnsi="Times New Roman" w:eastAsia="宋体" w:cs="Times New Roman"/>
                <w:b/>
                <w:bCs/>
                <w:color w:val="000000"/>
                <w:kern w:val="0"/>
                <w:sz w:val="24"/>
                <w:lang w:eastAsia="en-US"/>
              </w:rPr>
            </w:pPr>
            <w:r>
              <w:rPr>
                <w:rFonts w:ascii="Times New Roman" w:hAnsi="Times New Roman" w:eastAsia="宋体" w:cs="Times New Roman"/>
                <w:b/>
                <w:bCs/>
                <w:color w:val="000000"/>
                <w:kern w:val="0"/>
                <w:sz w:val="24"/>
                <w:lang w:eastAsia="en-US"/>
              </w:rPr>
              <w:t>Patient Instructions and Imaging Phases</w:t>
            </w:r>
          </w:p>
        </w:tc>
        <w:tc>
          <w:tcPr>
            <w:tcW w:w="4262" w:type="dxa"/>
            <w:tcBorders>
              <w:top w:val="single" w:color="000000" w:sz="12" w:space="0"/>
              <w:left w:val="nil"/>
              <w:bottom w:val="single" w:color="000000" w:sz="4" w:space="0"/>
              <w:right w:val="nil"/>
            </w:tcBorders>
            <w:shd w:val="clear" w:color="auto" w:fill="FFFFFF"/>
            <w:vAlign w:val="center"/>
          </w:tcPr>
          <w:p w14:paraId="65E5BDB5">
            <w:pPr>
              <w:widowControl/>
              <w:spacing w:after="200" w:line="276" w:lineRule="auto"/>
              <w:jc w:val="center"/>
              <w:rPr>
                <w:rFonts w:ascii="Times New Roman" w:hAnsi="Times New Roman" w:eastAsia="宋体" w:cs="Times New Roman"/>
                <w:b/>
                <w:bCs/>
                <w:color w:val="000000"/>
                <w:kern w:val="0"/>
                <w:sz w:val="24"/>
                <w:lang w:eastAsia="en-US"/>
              </w:rPr>
            </w:pPr>
            <w:r>
              <w:rPr>
                <w:rFonts w:ascii="Times New Roman" w:hAnsi="Times New Roman" w:eastAsia="宋体" w:cs="Times New Roman"/>
                <w:b/>
                <w:bCs/>
                <w:color w:val="000000"/>
                <w:kern w:val="0"/>
                <w:sz w:val="24"/>
                <w:lang w:eastAsia="en-US"/>
              </w:rPr>
              <w:t>Description</w:t>
            </w:r>
          </w:p>
        </w:tc>
      </w:tr>
      <w:tr w14:paraId="1F8D26FC">
        <w:tblPrEx>
          <w:tblCellMar>
            <w:top w:w="0" w:type="dxa"/>
            <w:left w:w="108" w:type="dxa"/>
            <w:bottom w:w="0" w:type="dxa"/>
            <w:right w:w="108" w:type="dxa"/>
          </w:tblCellMar>
        </w:tblPrEx>
        <w:tc>
          <w:tcPr>
            <w:tcW w:w="4260" w:type="dxa"/>
            <w:tcBorders>
              <w:top w:val="single" w:color="000000" w:sz="4" w:space="0"/>
              <w:left w:val="nil"/>
              <w:bottom w:val="nil"/>
              <w:right w:val="nil"/>
            </w:tcBorders>
            <w:shd w:val="clear" w:color="auto" w:fill="FFFFFF"/>
            <w:vAlign w:val="center"/>
          </w:tcPr>
          <w:p w14:paraId="0A389F7F">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Fasting</w:t>
            </w:r>
          </w:p>
        </w:tc>
        <w:tc>
          <w:tcPr>
            <w:tcW w:w="4262" w:type="dxa"/>
            <w:tcBorders>
              <w:top w:val="single" w:color="000000" w:sz="4" w:space="0"/>
              <w:left w:val="nil"/>
              <w:bottom w:val="nil"/>
              <w:right w:val="nil"/>
            </w:tcBorders>
            <w:shd w:val="clear" w:color="auto" w:fill="FFFFFF"/>
            <w:vAlign w:val="center"/>
          </w:tcPr>
          <w:p w14:paraId="394B79D1">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6–8 hours before CT examination</w:t>
            </w:r>
          </w:p>
        </w:tc>
      </w:tr>
      <w:tr w14:paraId="78D20041">
        <w:tblPrEx>
          <w:tblCellMar>
            <w:top w:w="0" w:type="dxa"/>
            <w:left w:w="108" w:type="dxa"/>
            <w:bottom w:w="0" w:type="dxa"/>
            <w:right w:w="108" w:type="dxa"/>
          </w:tblCellMar>
        </w:tblPrEx>
        <w:tc>
          <w:tcPr>
            <w:tcW w:w="4260" w:type="dxa"/>
            <w:tcBorders>
              <w:top w:val="nil"/>
              <w:left w:val="nil"/>
              <w:bottom w:val="nil"/>
              <w:right w:val="nil"/>
            </w:tcBorders>
            <w:shd w:val="clear" w:color="auto" w:fill="FFFFFF"/>
            <w:vAlign w:val="center"/>
          </w:tcPr>
          <w:p w14:paraId="051D6625">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Oral Water Intake</w:t>
            </w:r>
          </w:p>
        </w:tc>
        <w:tc>
          <w:tcPr>
            <w:tcW w:w="4262" w:type="dxa"/>
            <w:tcBorders>
              <w:top w:val="nil"/>
              <w:left w:val="nil"/>
              <w:bottom w:val="nil"/>
              <w:right w:val="nil"/>
            </w:tcBorders>
            <w:shd w:val="clear" w:color="auto" w:fill="FFFFFF"/>
            <w:vAlign w:val="center"/>
          </w:tcPr>
          <w:p w14:paraId="53E44FB0">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800–1000 mL prior to scanning</w:t>
            </w:r>
          </w:p>
        </w:tc>
      </w:tr>
      <w:tr w14:paraId="08CE87F3">
        <w:tblPrEx>
          <w:tblCellMar>
            <w:top w:w="0" w:type="dxa"/>
            <w:left w:w="108" w:type="dxa"/>
            <w:bottom w:w="0" w:type="dxa"/>
            <w:right w:w="108" w:type="dxa"/>
          </w:tblCellMar>
        </w:tblPrEx>
        <w:tc>
          <w:tcPr>
            <w:tcW w:w="4260" w:type="dxa"/>
            <w:tcBorders>
              <w:top w:val="nil"/>
              <w:left w:val="nil"/>
              <w:bottom w:val="nil"/>
              <w:right w:val="nil"/>
            </w:tcBorders>
            <w:shd w:val="clear" w:color="auto" w:fill="FFFFFF"/>
            <w:vAlign w:val="center"/>
          </w:tcPr>
          <w:p w14:paraId="2B60BE57">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Scan Coverage</w:t>
            </w:r>
          </w:p>
        </w:tc>
        <w:tc>
          <w:tcPr>
            <w:tcW w:w="4262" w:type="dxa"/>
            <w:tcBorders>
              <w:top w:val="nil"/>
              <w:left w:val="nil"/>
              <w:bottom w:val="nil"/>
              <w:right w:val="nil"/>
            </w:tcBorders>
            <w:shd w:val="clear" w:color="auto" w:fill="FFFFFF"/>
            <w:vAlign w:val="center"/>
          </w:tcPr>
          <w:p w14:paraId="3972EBD8">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From the diaphragm to the lower pole of both kidneys</w:t>
            </w:r>
          </w:p>
        </w:tc>
      </w:tr>
      <w:tr w14:paraId="2E6CAE94">
        <w:tblPrEx>
          <w:tblCellMar>
            <w:top w:w="0" w:type="dxa"/>
            <w:left w:w="108" w:type="dxa"/>
            <w:bottom w:w="0" w:type="dxa"/>
            <w:right w:w="108" w:type="dxa"/>
          </w:tblCellMar>
        </w:tblPrEx>
        <w:tc>
          <w:tcPr>
            <w:tcW w:w="4260" w:type="dxa"/>
            <w:tcBorders>
              <w:top w:val="nil"/>
              <w:left w:val="nil"/>
              <w:bottom w:val="nil"/>
              <w:right w:val="nil"/>
            </w:tcBorders>
            <w:shd w:val="clear" w:color="auto" w:fill="FFFFFF"/>
            <w:vAlign w:val="center"/>
          </w:tcPr>
          <w:p w14:paraId="76423DE1">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Non-contrast Scan</w:t>
            </w:r>
          </w:p>
        </w:tc>
        <w:tc>
          <w:tcPr>
            <w:tcW w:w="4262" w:type="dxa"/>
            <w:tcBorders>
              <w:top w:val="nil"/>
              <w:left w:val="nil"/>
              <w:bottom w:val="nil"/>
              <w:right w:val="nil"/>
            </w:tcBorders>
            <w:shd w:val="clear" w:color="auto" w:fill="FFFFFF"/>
            <w:vAlign w:val="center"/>
          </w:tcPr>
          <w:p w14:paraId="664CE150">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Performed before contrast administration</w:t>
            </w:r>
          </w:p>
        </w:tc>
      </w:tr>
      <w:tr w14:paraId="635D1F4B">
        <w:tblPrEx>
          <w:tblCellMar>
            <w:top w:w="0" w:type="dxa"/>
            <w:left w:w="108" w:type="dxa"/>
            <w:bottom w:w="0" w:type="dxa"/>
            <w:right w:w="108" w:type="dxa"/>
          </w:tblCellMar>
        </w:tblPrEx>
        <w:tc>
          <w:tcPr>
            <w:tcW w:w="4260" w:type="dxa"/>
            <w:tcBorders>
              <w:top w:val="nil"/>
              <w:left w:val="nil"/>
              <w:bottom w:val="nil"/>
              <w:right w:val="nil"/>
            </w:tcBorders>
            <w:shd w:val="clear" w:color="auto" w:fill="FFFFFF"/>
            <w:vAlign w:val="center"/>
          </w:tcPr>
          <w:p w14:paraId="1A72288D">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Arterial Phase (AP)</w:t>
            </w:r>
          </w:p>
        </w:tc>
        <w:tc>
          <w:tcPr>
            <w:tcW w:w="4262" w:type="dxa"/>
            <w:tcBorders>
              <w:top w:val="nil"/>
              <w:left w:val="nil"/>
              <w:bottom w:val="nil"/>
              <w:right w:val="nil"/>
            </w:tcBorders>
            <w:shd w:val="clear" w:color="auto" w:fill="FFFFFF"/>
            <w:vAlign w:val="center"/>
          </w:tcPr>
          <w:p w14:paraId="288A7953">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Triggered using bolus-tracking technique</w:t>
            </w:r>
          </w:p>
        </w:tc>
      </w:tr>
      <w:tr w14:paraId="007760CC">
        <w:tblPrEx>
          <w:tblCellMar>
            <w:top w:w="0" w:type="dxa"/>
            <w:left w:w="108" w:type="dxa"/>
            <w:bottom w:w="0" w:type="dxa"/>
            <w:right w:w="108" w:type="dxa"/>
          </w:tblCellMar>
        </w:tblPrEx>
        <w:tc>
          <w:tcPr>
            <w:tcW w:w="4260" w:type="dxa"/>
            <w:tcBorders>
              <w:top w:val="nil"/>
              <w:left w:val="nil"/>
              <w:bottom w:val="nil"/>
              <w:right w:val="nil"/>
            </w:tcBorders>
            <w:shd w:val="clear" w:color="auto" w:fill="FFFFFF"/>
            <w:vAlign w:val="center"/>
          </w:tcPr>
          <w:p w14:paraId="06867EA7">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Venous Phase (VP)</w:t>
            </w:r>
          </w:p>
        </w:tc>
        <w:tc>
          <w:tcPr>
            <w:tcW w:w="4262" w:type="dxa"/>
            <w:tcBorders>
              <w:top w:val="nil"/>
              <w:left w:val="nil"/>
              <w:bottom w:val="nil"/>
              <w:right w:val="nil"/>
            </w:tcBorders>
            <w:shd w:val="clear" w:color="auto" w:fill="FFFFFF"/>
            <w:vAlign w:val="center"/>
          </w:tcPr>
          <w:p w14:paraId="70B5908D">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Acquired 30 s after AP (~60 s delay), covering neck to pelvis</w:t>
            </w:r>
          </w:p>
        </w:tc>
      </w:tr>
      <w:tr w14:paraId="540F8325">
        <w:tblPrEx>
          <w:tblCellMar>
            <w:top w:w="0" w:type="dxa"/>
            <w:left w:w="108" w:type="dxa"/>
            <w:bottom w:w="0" w:type="dxa"/>
            <w:right w:w="108" w:type="dxa"/>
          </w:tblCellMar>
        </w:tblPrEx>
        <w:tc>
          <w:tcPr>
            <w:tcW w:w="4260" w:type="dxa"/>
            <w:tcBorders>
              <w:top w:val="nil"/>
              <w:left w:val="nil"/>
              <w:bottom w:val="single" w:color="000000" w:sz="12" w:space="0"/>
              <w:right w:val="nil"/>
            </w:tcBorders>
            <w:shd w:val="clear" w:color="auto" w:fill="FFFFFF"/>
            <w:vAlign w:val="center"/>
          </w:tcPr>
          <w:p w14:paraId="7EC9110D">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Delayed Phase (DP)</w:t>
            </w:r>
          </w:p>
        </w:tc>
        <w:tc>
          <w:tcPr>
            <w:tcW w:w="4262" w:type="dxa"/>
            <w:tcBorders>
              <w:top w:val="nil"/>
              <w:left w:val="nil"/>
              <w:bottom w:val="single" w:color="000000" w:sz="12" w:space="0"/>
              <w:right w:val="nil"/>
            </w:tcBorders>
            <w:shd w:val="clear" w:color="auto" w:fill="FFFFFF"/>
            <w:vAlign w:val="center"/>
          </w:tcPr>
          <w:p w14:paraId="02A0209B">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Acquired 60 s after AP (~90 s delay), covering the abdomen</w:t>
            </w:r>
          </w:p>
        </w:tc>
      </w:tr>
      <w:tr w14:paraId="1909042F">
        <w:tblPrEx>
          <w:tblCellMar>
            <w:top w:w="0" w:type="dxa"/>
            <w:left w:w="108" w:type="dxa"/>
            <w:bottom w:w="0" w:type="dxa"/>
            <w:right w:w="108" w:type="dxa"/>
          </w:tblCellMar>
        </w:tblPrEx>
        <w:tc>
          <w:tcPr>
            <w:tcW w:w="4260" w:type="dxa"/>
            <w:tcBorders>
              <w:top w:val="nil"/>
              <w:left w:val="nil"/>
              <w:bottom w:val="single" w:color="000000" w:sz="12" w:space="0"/>
              <w:right w:val="nil"/>
            </w:tcBorders>
            <w:shd w:val="clear" w:color="auto" w:fill="FFFFFF"/>
            <w:vAlign w:val="center"/>
          </w:tcPr>
          <w:p w14:paraId="7226FC0E">
            <w:pPr>
              <w:widowControl/>
              <w:spacing w:after="200" w:line="276" w:lineRule="auto"/>
              <w:jc w:val="center"/>
              <w:rPr>
                <w:rFonts w:ascii="Times New Roman" w:hAnsi="Times New Roman" w:eastAsia="宋体" w:cs="Times New Roman"/>
                <w:color w:val="000000"/>
                <w:kern w:val="0"/>
                <w:sz w:val="24"/>
                <w:lang w:eastAsia="en-US"/>
              </w:rPr>
            </w:pPr>
          </w:p>
        </w:tc>
        <w:tc>
          <w:tcPr>
            <w:tcW w:w="4262" w:type="dxa"/>
            <w:tcBorders>
              <w:top w:val="nil"/>
              <w:left w:val="nil"/>
              <w:bottom w:val="single" w:color="000000" w:sz="12" w:space="0"/>
              <w:right w:val="nil"/>
            </w:tcBorders>
            <w:shd w:val="clear" w:color="auto" w:fill="FFFFFF"/>
            <w:vAlign w:val="center"/>
          </w:tcPr>
          <w:p w14:paraId="5CA09F38">
            <w:pPr>
              <w:widowControl/>
              <w:spacing w:after="200" w:line="276" w:lineRule="auto"/>
              <w:jc w:val="center"/>
              <w:rPr>
                <w:rFonts w:ascii="Times New Roman" w:hAnsi="Times New Roman" w:eastAsia="宋体" w:cs="Times New Roman"/>
                <w:color w:val="000000"/>
                <w:kern w:val="0"/>
                <w:sz w:val="24"/>
                <w:lang w:eastAsia="en-US"/>
              </w:rPr>
            </w:pPr>
          </w:p>
        </w:tc>
      </w:tr>
      <w:tr w14:paraId="0DF081A2">
        <w:tblPrEx>
          <w:tblCellMar>
            <w:top w:w="0" w:type="dxa"/>
            <w:left w:w="108" w:type="dxa"/>
            <w:bottom w:w="0" w:type="dxa"/>
            <w:right w:w="108" w:type="dxa"/>
          </w:tblCellMar>
        </w:tblPrEx>
        <w:tc>
          <w:tcPr>
            <w:tcW w:w="4265" w:type="dxa"/>
            <w:tcBorders>
              <w:top w:val="single" w:color="000000" w:sz="12" w:space="0"/>
              <w:left w:val="nil"/>
              <w:bottom w:val="single" w:color="000000" w:sz="4" w:space="0"/>
              <w:right w:val="nil"/>
              <w:tl2br w:val="nil"/>
            </w:tcBorders>
            <w:shd w:val="clear" w:color="auto" w:fill="FFFFFF"/>
            <w:vAlign w:val="center"/>
          </w:tcPr>
          <w:p w14:paraId="09F23494">
            <w:pPr>
              <w:widowControl/>
              <w:spacing w:after="200" w:line="276" w:lineRule="auto"/>
              <w:jc w:val="center"/>
              <w:rPr>
                <w:rFonts w:ascii="Times New Roman" w:hAnsi="Times New Roman" w:eastAsia="宋体" w:cs="Times New Roman"/>
                <w:b/>
                <w:bCs/>
                <w:color w:val="000000"/>
                <w:kern w:val="0"/>
                <w:sz w:val="24"/>
                <w:lang w:eastAsia="en-US"/>
              </w:rPr>
            </w:pPr>
            <w:r>
              <w:rPr>
                <w:rFonts w:ascii="Times New Roman" w:hAnsi="Times New Roman" w:eastAsia="宋体" w:cs="Times New Roman"/>
                <w:b/>
                <w:bCs/>
                <w:color w:val="000000"/>
                <w:kern w:val="0"/>
                <w:sz w:val="24"/>
                <w:lang w:eastAsia="en-US"/>
              </w:rPr>
              <w:t>Contrast Injection Protocol</w:t>
            </w:r>
          </w:p>
        </w:tc>
        <w:tc>
          <w:tcPr>
            <w:tcW w:w="4257" w:type="dxa"/>
            <w:tcBorders>
              <w:top w:val="single" w:color="000000" w:sz="12" w:space="0"/>
              <w:left w:val="nil"/>
              <w:bottom w:val="single" w:color="000000" w:sz="4" w:space="0"/>
              <w:right w:val="nil"/>
            </w:tcBorders>
            <w:shd w:val="clear" w:color="auto" w:fill="FFFFFF"/>
            <w:vAlign w:val="center"/>
          </w:tcPr>
          <w:p w14:paraId="2BD7B967">
            <w:pPr>
              <w:widowControl/>
              <w:spacing w:after="200" w:line="276" w:lineRule="auto"/>
              <w:jc w:val="center"/>
              <w:rPr>
                <w:rFonts w:ascii="Times New Roman" w:hAnsi="Times New Roman" w:eastAsia="宋体" w:cs="Times New Roman"/>
                <w:b/>
                <w:bCs/>
                <w:color w:val="000000"/>
                <w:kern w:val="0"/>
                <w:sz w:val="24"/>
              </w:rPr>
            </w:pPr>
            <w:r>
              <w:rPr>
                <w:rFonts w:ascii="Times New Roman" w:hAnsi="Times New Roman" w:eastAsia="宋体" w:cs="Times New Roman"/>
                <w:b/>
                <w:bCs/>
                <w:color w:val="000000"/>
                <w:kern w:val="0"/>
                <w:sz w:val="24"/>
                <w:lang w:eastAsia="en-US"/>
              </w:rPr>
              <w:t>Value</w:t>
            </w:r>
            <w:r>
              <w:rPr>
                <w:rFonts w:ascii="Times New Roman" w:hAnsi="Times New Roman" w:eastAsia="宋体" w:cs="Times New Roman"/>
                <w:b/>
                <w:bCs/>
                <w:color w:val="000000"/>
                <w:kern w:val="0"/>
                <w:sz w:val="24"/>
              </w:rPr>
              <w:t>s</w:t>
            </w:r>
          </w:p>
        </w:tc>
      </w:tr>
      <w:tr w14:paraId="3B535C04">
        <w:tblPrEx>
          <w:tblCellMar>
            <w:top w:w="0" w:type="dxa"/>
            <w:left w:w="108" w:type="dxa"/>
            <w:bottom w:w="0" w:type="dxa"/>
            <w:right w:w="108" w:type="dxa"/>
          </w:tblCellMar>
        </w:tblPrEx>
        <w:tc>
          <w:tcPr>
            <w:tcW w:w="4265" w:type="dxa"/>
            <w:tcBorders>
              <w:top w:val="single" w:color="000000" w:sz="4" w:space="0"/>
              <w:left w:val="nil"/>
              <w:bottom w:val="nil"/>
              <w:right w:val="nil"/>
            </w:tcBorders>
            <w:shd w:val="clear" w:color="auto" w:fill="FFFFFF"/>
            <w:vAlign w:val="center"/>
          </w:tcPr>
          <w:p w14:paraId="5EA9D5D4">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Contrast Agent</w:t>
            </w:r>
          </w:p>
        </w:tc>
        <w:tc>
          <w:tcPr>
            <w:tcW w:w="4257" w:type="dxa"/>
            <w:tcBorders>
              <w:top w:val="single" w:color="000000" w:sz="4" w:space="0"/>
              <w:left w:val="nil"/>
              <w:bottom w:val="nil"/>
              <w:right w:val="nil"/>
            </w:tcBorders>
            <w:shd w:val="clear" w:color="auto" w:fill="FFFFFF"/>
            <w:vAlign w:val="center"/>
          </w:tcPr>
          <w:p w14:paraId="347D05C6">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Non-ionic iodinated contrast medium (Iohexol)</w:t>
            </w:r>
          </w:p>
        </w:tc>
      </w:tr>
      <w:tr w14:paraId="41D4C3A4">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07FDCC30">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Iodine Concentration</w:t>
            </w:r>
          </w:p>
        </w:tc>
        <w:tc>
          <w:tcPr>
            <w:tcW w:w="4257" w:type="dxa"/>
            <w:tcBorders>
              <w:top w:val="nil"/>
              <w:left w:val="nil"/>
              <w:bottom w:val="nil"/>
              <w:right w:val="nil"/>
            </w:tcBorders>
            <w:shd w:val="clear" w:color="auto" w:fill="FFFFFF"/>
            <w:vAlign w:val="center"/>
          </w:tcPr>
          <w:p w14:paraId="2E8F12E6">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300 mg I/mL</w:t>
            </w:r>
          </w:p>
        </w:tc>
      </w:tr>
      <w:tr w14:paraId="657C1C4B">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1A624C5D">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Injection Dose</w:t>
            </w:r>
          </w:p>
        </w:tc>
        <w:tc>
          <w:tcPr>
            <w:tcW w:w="4257" w:type="dxa"/>
            <w:tcBorders>
              <w:top w:val="nil"/>
              <w:left w:val="nil"/>
              <w:bottom w:val="nil"/>
              <w:right w:val="nil"/>
            </w:tcBorders>
            <w:shd w:val="clear" w:color="auto" w:fill="FFFFFF"/>
            <w:vAlign w:val="center"/>
          </w:tcPr>
          <w:p w14:paraId="481840D6">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1.5 mL/kg body weight</w:t>
            </w:r>
          </w:p>
        </w:tc>
      </w:tr>
      <w:tr w14:paraId="1AA59426">
        <w:tblPrEx>
          <w:tblCellMar>
            <w:top w:w="0" w:type="dxa"/>
            <w:left w:w="108" w:type="dxa"/>
            <w:bottom w:w="0" w:type="dxa"/>
            <w:right w:w="108" w:type="dxa"/>
          </w:tblCellMar>
        </w:tblPrEx>
        <w:tc>
          <w:tcPr>
            <w:tcW w:w="4265" w:type="dxa"/>
            <w:tcBorders>
              <w:top w:val="nil"/>
              <w:left w:val="nil"/>
              <w:bottom w:val="nil"/>
              <w:right w:val="nil"/>
            </w:tcBorders>
            <w:shd w:val="clear" w:color="auto" w:fill="FFFFFF"/>
            <w:vAlign w:val="center"/>
          </w:tcPr>
          <w:p w14:paraId="65565F2E">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Injection Rate</w:t>
            </w:r>
          </w:p>
        </w:tc>
        <w:tc>
          <w:tcPr>
            <w:tcW w:w="4257" w:type="dxa"/>
            <w:tcBorders>
              <w:top w:val="nil"/>
              <w:left w:val="nil"/>
              <w:bottom w:val="nil"/>
              <w:right w:val="nil"/>
            </w:tcBorders>
            <w:shd w:val="clear" w:color="auto" w:fill="FFFFFF"/>
            <w:vAlign w:val="center"/>
          </w:tcPr>
          <w:p w14:paraId="3D8E642B">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3–4 mL/s</w:t>
            </w:r>
          </w:p>
        </w:tc>
      </w:tr>
      <w:tr w14:paraId="443C3A4A">
        <w:tblPrEx>
          <w:tblCellMar>
            <w:top w:w="0" w:type="dxa"/>
            <w:left w:w="108" w:type="dxa"/>
            <w:bottom w:w="0" w:type="dxa"/>
            <w:right w:w="108" w:type="dxa"/>
          </w:tblCellMar>
        </w:tblPrEx>
        <w:tc>
          <w:tcPr>
            <w:tcW w:w="4265" w:type="dxa"/>
            <w:tcBorders>
              <w:top w:val="nil"/>
              <w:left w:val="nil"/>
              <w:bottom w:val="single" w:color="000000" w:sz="12" w:space="0"/>
              <w:right w:val="nil"/>
            </w:tcBorders>
            <w:shd w:val="clear" w:color="auto" w:fill="FFFFFF"/>
            <w:vAlign w:val="center"/>
          </w:tcPr>
          <w:p w14:paraId="5D313711">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Injection Route</w:t>
            </w:r>
          </w:p>
        </w:tc>
        <w:tc>
          <w:tcPr>
            <w:tcW w:w="4257" w:type="dxa"/>
            <w:tcBorders>
              <w:top w:val="nil"/>
              <w:left w:val="nil"/>
              <w:bottom w:val="single" w:color="000000" w:sz="12" w:space="0"/>
              <w:right w:val="nil"/>
            </w:tcBorders>
            <w:shd w:val="clear" w:color="auto" w:fill="FFFFFF"/>
            <w:vAlign w:val="center"/>
          </w:tcPr>
          <w:p w14:paraId="441A6908">
            <w:pPr>
              <w:widowControl/>
              <w:spacing w:after="200" w:line="276" w:lineRule="auto"/>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Via antecubital vein using a power injector</w:t>
            </w:r>
          </w:p>
        </w:tc>
      </w:tr>
    </w:tbl>
    <w:p w14:paraId="5594EF50">
      <w:pPr>
        <w:widowControl/>
        <w:spacing w:after="200" w:line="276" w:lineRule="auto"/>
        <w:jc w:val="left"/>
        <w:rPr>
          <w:rFonts w:ascii="Times New Roman" w:hAnsi="Times New Roman" w:eastAsia="宋体" w:cs="Times New Roman"/>
          <w:i/>
          <w:iCs/>
          <w:kern w:val="0"/>
          <w:sz w:val="20"/>
          <w:szCs w:val="20"/>
          <w:lang w:eastAsia="en-US"/>
        </w:rPr>
      </w:pPr>
      <w:r>
        <w:rPr>
          <w:rFonts w:ascii="Times New Roman" w:hAnsi="Times New Roman" w:eastAsia="宋体" w:cs="Times New Roman"/>
          <w:i/>
          <w:iCs/>
          <w:kern w:val="0"/>
          <w:sz w:val="20"/>
          <w:szCs w:val="20"/>
          <w:lang w:eastAsia="en-US"/>
        </w:rPr>
        <w:t>After image acquisition, spectral images were reconstructed using 40% adaptive statistical iterative reconstruction (ASIR-V).</w:t>
      </w:r>
    </w:p>
    <w:p w14:paraId="4DADC660">
      <w:pPr>
        <w:keepNext/>
        <w:keepLines/>
        <w:spacing w:before="480" w:line="276" w:lineRule="auto"/>
        <w:outlineLvl w:val="0"/>
        <w:rPr>
          <w:rFonts w:ascii="Times New Roman" w:hAnsi="Times New Roman" w:eastAsia="宋体" w:cs="Times New Roman"/>
          <w:b/>
          <w:bCs/>
          <w:sz w:val="24"/>
          <w:highlight w:val="green"/>
        </w:rPr>
      </w:pPr>
      <w:r>
        <w:rPr>
          <w:rFonts w:ascii="Times New Roman" w:hAnsi="Times New Roman" w:eastAsia="宋体" w:cs="Times New Roman"/>
          <w:b/>
          <w:bCs/>
          <w:sz w:val="24"/>
        </w:rPr>
        <w:t xml:space="preserve">Supplementary </w:t>
      </w:r>
      <w:r>
        <w:rPr>
          <w:rFonts w:hint="eastAsia" w:ascii="Times New Roman" w:hAnsi="Times New Roman" w:eastAsia="宋体" w:cs="Times New Roman"/>
          <w:b/>
          <w:bCs/>
          <w:sz w:val="24"/>
          <w:lang w:val="en-US" w:eastAsia="zh-CN"/>
        </w:rPr>
        <w:t>T</w:t>
      </w:r>
      <w:r>
        <w:rPr>
          <w:rFonts w:ascii="Times New Roman" w:hAnsi="Times New Roman" w:eastAsia="宋体" w:cs="Times New Roman"/>
          <w:b/>
          <w:bCs/>
          <w:sz w:val="24"/>
        </w:rPr>
        <w:t xml:space="preserve">able </w:t>
      </w:r>
      <w:r>
        <w:rPr>
          <w:rFonts w:hint="eastAsia" w:ascii="Times New Roman" w:hAnsi="Times New Roman" w:eastAsia="宋体" w:cs="Times New Roman"/>
          <w:b/>
          <w:bCs/>
          <w:sz w:val="24"/>
          <w:lang w:val="en-US" w:eastAsia="zh-CN"/>
        </w:rPr>
        <w:t>S</w:t>
      </w:r>
      <w:r>
        <w:rPr>
          <w:rFonts w:ascii="Times New Roman" w:hAnsi="Times New Roman" w:eastAsia="宋体" w:cs="Times New Roman"/>
          <w:b/>
          <w:bCs/>
          <w:sz w:val="24"/>
        </w:rPr>
        <w:t xml:space="preserve">2: </w:t>
      </w:r>
      <w:r>
        <w:rPr>
          <w:rFonts w:ascii="Times New Roman" w:hAnsi="Times New Roman" w:eastAsia="宋体" w:cs="Times New Roman"/>
          <w:sz w:val="24"/>
        </w:rPr>
        <w:t>The description of clinical staging method for primary tumor (Clinical T (cT) and N (cN) Staging According to the 8th Edition UICC/AJCC TNM System</w:t>
      </w:r>
      <w:r>
        <w:rPr>
          <w:rFonts w:ascii="Times New Roman" w:hAnsi="Times New Roman" w:eastAsia="宋体" w:cs="Times New Roman"/>
          <w:b/>
          <w:bCs/>
          <w:sz w:val="24"/>
          <w:vertAlign w:val="superscript"/>
        </w:rPr>
        <w:fldChar w:fldCharType="begin">
          <w:fldData xml:space="preserve">PEVuZE5vdGU+PENpdGU+PEF1dGhvcj5BbWluPC9BdXRob3I+PFllYXI+MjAxNzwvWWVhcj48UmVj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</w:fldData>
        </w:fldChar>
      </w:r>
      <w:r>
        <w:rPr>
          <w:rFonts w:hint="eastAsia" w:ascii="Times New Roman" w:hAnsi="Times New Roman" w:eastAsia="宋体" w:cs="Times New Roman"/>
          <w:b/>
          <w:bCs/>
          <w:sz w:val="24"/>
          <w:vertAlign w:val="superscript"/>
          <w:lang w:eastAsia="zh-CN"/>
        </w:rPr>
        <w:instrText xml:space="preserve"> ADDIN EN.CITE </w:instrText>
      </w:r>
      <w:r>
        <w:rPr>
          <w:rFonts w:hint="eastAsia" w:ascii="Times New Roman" w:hAnsi="Times New Roman" w:eastAsia="宋体" w:cs="Times New Roman"/>
          <w:b/>
          <w:bCs/>
          <w:sz w:val="24"/>
          <w:vertAlign w:val="superscript"/>
          <w:lang w:eastAsia="zh-CN"/>
        </w:rPr>
        <w:fldChar w:fldCharType="begin">
          <w:fldData xml:space="preserve">PEVuZE5vdGU+PENpdGU+PEF1dGhvcj5BbWluPC9BdXRob3I+PFllYXI+MjAxNzwvWWVhcj48UmVj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</w:fldData>
        </w:fldChar>
      </w:r>
      <w:r>
        <w:rPr>
          <w:rFonts w:hint="eastAsia" w:ascii="Times New Roman" w:hAnsi="Times New Roman" w:eastAsia="宋体" w:cs="Times New Roman"/>
          <w:b/>
          <w:bCs/>
          <w:sz w:val="24"/>
          <w:vertAlign w:val="superscript"/>
          <w:lang w:eastAsia="zh-CN"/>
        </w:rPr>
        <w:instrText xml:space="preserve"> ADDIN EN.CITE.DATA </w:instrText>
      </w:r>
      <w:r>
        <w:rPr>
          <w:rFonts w:hint="eastAsia" w:ascii="Times New Roman" w:hAnsi="Times New Roman" w:eastAsia="宋体" w:cs="Times New Roman"/>
          <w:b/>
          <w:bCs/>
          <w:sz w:val="24"/>
          <w:vertAlign w:val="superscript"/>
          <w:lang w:eastAsia="zh-CN"/>
        </w:rPr>
        <w:fldChar w:fldCharType="separate"/>
      </w:r>
      <w:r>
        <w:rPr>
          <w:rFonts w:hint="eastAsia" w:ascii="Times New Roman" w:hAnsi="Times New Roman" w:eastAsia="宋体" w:cs="Times New Roman"/>
          <w:b/>
          <w:bCs/>
          <w:sz w:val="24"/>
          <w:vertAlign w:val="superscript"/>
          <w:lang w:eastAsia="zh-CN"/>
        </w:rPr>
        <w:fldChar w:fldCharType="end"/>
      </w:r>
      <w:r>
        <w:rPr>
          <w:rFonts w:ascii="Times New Roman" w:hAnsi="Times New Roman" w:eastAsia="宋体" w:cs="Times New Roman"/>
          <w:b/>
          <w:bCs/>
          <w:sz w:val="24"/>
          <w:vertAlign w:val="superscript"/>
        </w:rPr>
        <w:fldChar w:fldCharType="separate"/>
      </w:r>
      <w:r>
        <w:rPr>
          <w:rFonts w:hint="eastAsia" w:ascii="Times New Roman" w:hAnsi="Times New Roman" w:eastAsia="宋体" w:cs="Times New Roman"/>
          <w:b/>
          <w:bCs/>
          <w:kern w:val="2"/>
          <w:sz w:val="24"/>
          <w:szCs w:val="24"/>
          <w:vertAlign w:val="superscript"/>
          <w:lang w:val="en-US" w:eastAsia="zh-CN" w:bidi="ar-SA"/>
        </w:rPr>
        <w:t>[2,3]</w:t>
      </w:r>
      <w:r>
        <w:rPr>
          <w:rFonts w:ascii="Times New Roman" w:hAnsi="Times New Roman" w:eastAsia="宋体" w:cs="Times New Roman"/>
          <w:b/>
          <w:bCs/>
          <w:sz w:val="24"/>
          <w:vertAlign w:val="superscript"/>
        </w:rPr>
        <w:fldChar w:fldCharType="end"/>
      </w:r>
      <w:r>
        <w:rPr>
          <w:rFonts w:ascii="Times New Roman" w:hAnsi="Times New Roman" w:eastAsia="宋体" w:cs="Times New Roman"/>
          <w:b/>
          <w:bCs/>
          <w:sz w:val="24"/>
        </w:rPr>
        <w:t>)</w:t>
      </w:r>
    </w:p>
    <w:tbl>
      <w:tblPr>
        <w:tblStyle w:val="7"/>
        <w:tblpPr w:leftFromText="180" w:rightFromText="180" w:vertAnchor="text" w:horzAnchor="page" w:tblpX="1791" w:tblpY="379"/>
        <w:tblOverlap w:val="never"/>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7899"/>
      </w:tblGrid>
      <w:tr w14:paraId="49FA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957" w:type="dxa"/>
            <w:tcBorders>
              <w:top w:val="single" w:color="000000" w:sz="12" w:space="0"/>
              <w:left w:val="nil"/>
              <w:bottom w:val="single" w:color="000000" w:sz="4" w:space="0"/>
              <w:right w:val="nil"/>
              <w:tl2br w:val="nil"/>
            </w:tcBorders>
            <w:shd w:val="clear" w:color="auto" w:fill="FFFFFF"/>
            <w:vAlign w:val="center"/>
          </w:tcPr>
          <w:p w14:paraId="1EA02373">
            <w:pPr>
              <w:widowControl/>
              <w:snapToGrid w:val="0"/>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Stage</w:t>
            </w:r>
          </w:p>
        </w:tc>
        <w:tc>
          <w:tcPr>
            <w:tcW w:w="7899" w:type="dxa"/>
            <w:tcBorders>
              <w:top w:val="single" w:color="000000" w:sz="12" w:space="0"/>
              <w:left w:val="nil"/>
              <w:bottom w:val="single" w:color="000000" w:sz="4" w:space="0"/>
              <w:right w:val="nil"/>
            </w:tcBorders>
            <w:shd w:val="clear" w:color="auto" w:fill="FFFFFF"/>
            <w:vAlign w:val="center"/>
          </w:tcPr>
          <w:p w14:paraId="007CACB3">
            <w:pPr>
              <w:widowControl/>
              <w:snapToGrid w:val="0"/>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Definition</w:t>
            </w:r>
          </w:p>
        </w:tc>
      </w:tr>
      <w:tr w14:paraId="695C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single" w:color="000000" w:sz="4" w:space="0"/>
              <w:left w:val="nil"/>
              <w:bottom w:val="nil"/>
              <w:right w:val="nil"/>
            </w:tcBorders>
            <w:shd w:val="clear" w:color="auto" w:fill="FFFFFF"/>
            <w:vAlign w:val="center"/>
          </w:tcPr>
          <w:p w14:paraId="1997A583">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cTX</w:t>
            </w:r>
          </w:p>
        </w:tc>
        <w:tc>
          <w:tcPr>
            <w:tcW w:w="7899" w:type="dxa"/>
            <w:tcBorders>
              <w:top w:val="single" w:color="000000" w:sz="4" w:space="0"/>
              <w:left w:val="nil"/>
              <w:bottom w:val="nil"/>
              <w:right w:val="nil"/>
            </w:tcBorders>
            <w:shd w:val="clear" w:color="auto" w:fill="FFFFFF"/>
            <w:vAlign w:val="center"/>
          </w:tcPr>
          <w:p w14:paraId="69B53FC5">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Primary tumor cannot be assessed</w:t>
            </w:r>
          </w:p>
        </w:tc>
      </w:tr>
      <w:tr w14:paraId="125C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16775E69">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cT0</w:t>
            </w:r>
          </w:p>
        </w:tc>
        <w:tc>
          <w:tcPr>
            <w:tcW w:w="7899" w:type="dxa"/>
            <w:tcBorders>
              <w:top w:val="nil"/>
              <w:left w:val="nil"/>
              <w:bottom w:val="nil"/>
              <w:right w:val="nil"/>
            </w:tcBorders>
            <w:shd w:val="clear" w:color="auto" w:fill="FFFFFF"/>
            <w:vAlign w:val="center"/>
          </w:tcPr>
          <w:p w14:paraId="7C6D90E5">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No evidence of primary tumor</w:t>
            </w:r>
          </w:p>
        </w:tc>
      </w:tr>
      <w:tr w14:paraId="050F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08A25AAE">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cT1</w:t>
            </w:r>
          </w:p>
        </w:tc>
        <w:tc>
          <w:tcPr>
            <w:tcW w:w="7899" w:type="dxa"/>
            <w:tcBorders>
              <w:top w:val="nil"/>
              <w:left w:val="nil"/>
              <w:bottom w:val="nil"/>
              <w:right w:val="nil"/>
            </w:tcBorders>
            <w:shd w:val="clear" w:color="auto" w:fill="FFFFFF"/>
            <w:vAlign w:val="center"/>
          </w:tcPr>
          <w:p w14:paraId="577D82CD">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invades lamina propria, muscularis mucosae, or submucosa</w:t>
            </w:r>
          </w:p>
        </w:tc>
      </w:tr>
      <w:tr w14:paraId="7624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4BE4164D">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cT1a</w:t>
            </w:r>
          </w:p>
        </w:tc>
        <w:tc>
          <w:tcPr>
            <w:tcW w:w="7899" w:type="dxa"/>
            <w:tcBorders>
              <w:top w:val="nil"/>
              <w:left w:val="nil"/>
              <w:bottom w:val="nil"/>
              <w:right w:val="nil"/>
            </w:tcBorders>
            <w:shd w:val="clear" w:color="auto" w:fill="FFFFFF"/>
            <w:vAlign w:val="center"/>
          </w:tcPr>
          <w:p w14:paraId="0838626A">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invades lamina propria or muscularis mucosae</w:t>
            </w:r>
          </w:p>
        </w:tc>
      </w:tr>
      <w:tr w14:paraId="5CC0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66B3384F">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cT1b</w:t>
            </w:r>
          </w:p>
        </w:tc>
        <w:tc>
          <w:tcPr>
            <w:tcW w:w="7899" w:type="dxa"/>
            <w:tcBorders>
              <w:top w:val="nil"/>
              <w:left w:val="nil"/>
              <w:bottom w:val="nil"/>
              <w:right w:val="nil"/>
            </w:tcBorders>
            <w:shd w:val="clear" w:color="auto" w:fill="FFFFFF"/>
            <w:vAlign w:val="center"/>
          </w:tcPr>
          <w:p w14:paraId="0484265D">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invades submucosa</w:t>
            </w:r>
          </w:p>
        </w:tc>
      </w:tr>
      <w:tr w14:paraId="03DD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5E3BC3B5">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cT2</w:t>
            </w:r>
          </w:p>
        </w:tc>
        <w:tc>
          <w:tcPr>
            <w:tcW w:w="7899" w:type="dxa"/>
            <w:tcBorders>
              <w:top w:val="nil"/>
              <w:left w:val="nil"/>
              <w:bottom w:val="nil"/>
              <w:right w:val="nil"/>
            </w:tcBorders>
            <w:shd w:val="clear" w:color="auto" w:fill="FFFFFF"/>
            <w:vAlign w:val="center"/>
          </w:tcPr>
          <w:p w14:paraId="35CFE6FF">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invades muscularis propria</w:t>
            </w:r>
          </w:p>
        </w:tc>
      </w:tr>
      <w:tr w14:paraId="08C6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68A53986">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cT3</w:t>
            </w:r>
          </w:p>
        </w:tc>
        <w:tc>
          <w:tcPr>
            <w:tcW w:w="7899" w:type="dxa"/>
            <w:tcBorders>
              <w:top w:val="nil"/>
              <w:left w:val="nil"/>
              <w:bottom w:val="nil"/>
              <w:right w:val="nil"/>
            </w:tcBorders>
            <w:shd w:val="clear" w:color="auto" w:fill="FFFFFF"/>
            <w:vAlign w:val="center"/>
          </w:tcPr>
          <w:p w14:paraId="259CBB33">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penetrates the subserosal connective tissue without invasion of adjacent structures</w:t>
            </w:r>
          </w:p>
        </w:tc>
      </w:tr>
      <w:tr w14:paraId="34AA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3AAFD6C0">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cT4a</w:t>
            </w:r>
          </w:p>
        </w:tc>
        <w:tc>
          <w:tcPr>
            <w:tcW w:w="7899" w:type="dxa"/>
            <w:tcBorders>
              <w:top w:val="nil"/>
              <w:left w:val="nil"/>
              <w:bottom w:val="nil"/>
              <w:right w:val="nil"/>
            </w:tcBorders>
            <w:shd w:val="clear" w:color="auto" w:fill="FFFFFF"/>
            <w:vAlign w:val="center"/>
          </w:tcPr>
          <w:p w14:paraId="06CE5547">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invades the serosa (visceral peritoneum)</w:t>
            </w:r>
          </w:p>
        </w:tc>
      </w:tr>
      <w:tr w14:paraId="7D19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7F159991">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cT4b</w:t>
            </w:r>
          </w:p>
        </w:tc>
        <w:tc>
          <w:tcPr>
            <w:tcW w:w="7899" w:type="dxa"/>
            <w:tcBorders>
              <w:top w:val="nil"/>
              <w:left w:val="nil"/>
              <w:bottom w:val="nil"/>
              <w:right w:val="nil"/>
            </w:tcBorders>
            <w:shd w:val="clear" w:color="auto" w:fill="FFFFFF"/>
            <w:vAlign w:val="center"/>
          </w:tcPr>
          <w:p w14:paraId="7AB1410A">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Tumor directly invades adjacent structures</w:t>
            </w:r>
          </w:p>
        </w:tc>
      </w:tr>
      <w:tr w14:paraId="7809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46715B21">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cNX</w:t>
            </w:r>
          </w:p>
        </w:tc>
        <w:tc>
          <w:tcPr>
            <w:tcW w:w="7899" w:type="dxa"/>
            <w:tcBorders>
              <w:top w:val="nil"/>
              <w:left w:val="nil"/>
              <w:bottom w:val="nil"/>
              <w:right w:val="nil"/>
            </w:tcBorders>
            <w:shd w:val="clear" w:color="auto" w:fill="FFFFFF"/>
            <w:vAlign w:val="center"/>
          </w:tcPr>
          <w:p w14:paraId="05C1D4B0">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Regional lymph nodes cannot be assessed</w:t>
            </w:r>
          </w:p>
        </w:tc>
      </w:tr>
      <w:tr w14:paraId="57A1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0F35F64C">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cN0</w:t>
            </w:r>
          </w:p>
        </w:tc>
        <w:tc>
          <w:tcPr>
            <w:tcW w:w="7899" w:type="dxa"/>
            <w:tcBorders>
              <w:top w:val="nil"/>
              <w:left w:val="nil"/>
              <w:bottom w:val="nil"/>
              <w:right w:val="nil"/>
            </w:tcBorders>
            <w:shd w:val="clear" w:color="auto" w:fill="FFFFFF"/>
            <w:vAlign w:val="center"/>
          </w:tcPr>
          <w:p w14:paraId="24367131">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No regional lymph node metastasis</w:t>
            </w:r>
          </w:p>
        </w:tc>
      </w:tr>
      <w:tr w14:paraId="7EFA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5C2436D5">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cN1</w:t>
            </w:r>
          </w:p>
        </w:tc>
        <w:tc>
          <w:tcPr>
            <w:tcW w:w="7899" w:type="dxa"/>
            <w:tcBorders>
              <w:top w:val="nil"/>
              <w:left w:val="nil"/>
              <w:bottom w:val="nil"/>
              <w:right w:val="nil"/>
            </w:tcBorders>
            <w:shd w:val="clear" w:color="auto" w:fill="FFFFFF"/>
            <w:vAlign w:val="center"/>
          </w:tcPr>
          <w:p w14:paraId="74586A7C">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Metastasis in 1–2 regional lymph nodes</w:t>
            </w:r>
          </w:p>
        </w:tc>
      </w:tr>
      <w:tr w14:paraId="60A3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nil"/>
              <w:right w:val="nil"/>
            </w:tcBorders>
            <w:shd w:val="clear" w:color="auto" w:fill="FFFFFF"/>
            <w:vAlign w:val="center"/>
          </w:tcPr>
          <w:p w14:paraId="57F0EB50">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cN2</w:t>
            </w:r>
          </w:p>
        </w:tc>
        <w:tc>
          <w:tcPr>
            <w:tcW w:w="7899" w:type="dxa"/>
            <w:tcBorders>
              <w:top w:val="nil"/>
              <w:left w:val="nil"/>
              <w:bottom w:val="nil"/>
              <w:right w:val="nil"/>
            </w:tcBorders>
            <w:shd w:val="clear" w:color="auto" w:fill="FFFFFF"/>
            <w:vAlign w:val="center"/>
          </w:tcPr>
          <w:p w14:paraId="50802F4F">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Metastasis in 3–6 regional lymph nodes</w:t>
            </w:r>
          </w:p>
        </w:tc>
      </w:tr>
      <w:tr w14:paraId="7FC6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57" w:type="dxa"/>
            <w:tcBorders>
              <w:top w:val="nil"/>
              <w:left w:val="nil"/>
              <w:bottom w:val="single" w:color="000000" w:sz="12" w:space="0"/>
              <w:right w:val="nil"/>
            </w:tcBorders>
            <w:shd w:val="clear" w:color="auto" w:fill="FFFFFF"/>
            <w:vAlign w:val="center"/>
          </w:tcPr>
          <w:p w14:paraId="046F03DF">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cN3</w:t>
            </w:r>
          </w:p>
        </w:tc>
        <w:tc>
          <w:tcPr>
            <w:tcW w:w="7899" w:type="dxa"/>
            <w:tcBorders>
              <w:top w:val="nil"/>
              <w:left w:val="nil"/>
              <w:bottom w:val="single" w:color="000000" w:sz="12" w:space="0"/>
              <w:right w:val="nil"/>
            </w:tcBorders>
            <w:shd w:val="clear" w:color="auto" w:fill="FFFFFF"/>
            <w:vAlign w:val="center"/>
          </w:tcPr>
          <w:p w14:paraId="31F42F45">
            <w:pPr>
              <w:widowControl/>
              <w:snapToGrid w:val="0"/>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Metastasis in ≥7 regional lymph nodes</w:t>
            </w:r>
          </w:p>
        </w:tc>
      </w:tr>
    </w:tbl>
    <w:p w14:paraId="727E8017">
      <w:pPr>
        <w:keepNext/>
        <w:keepLines/>
        <w:widowControl/>
        <w:spacing w:before="480" w:after="156" w:afterLines="50" w:line="276" w:lineRule="auto"/>
        <w:outlineLvl w:val="1"/>
        <w:rPr>
          <w:rFonts w:ascii="Times New Roman" w:hAnsi="Times New Roman" w:eastAsia="宋体" w:cs="Times New Roman"/>
          <w:b/>
          <w:bCs/>
          <w:sz w:val="24"/>
        </w:rPr>
      </w:pPr>
      <w:r>
        <w:rPr>
          <w:rFonts w:ascii="Times New Roman" w:hAnsi="Times New Roman" w:eastAsia="宋体" w:cs="Times New Roman"/>
          <w:b/>
          <w:bCs/>
          <w:sz w:val="24"/>
          <w:lang w:eastAsia="en-US"/>
        </w:rPr>
        <w:t xml:space="preserve">Supplementary Table </w:t>
      </w:r>
      <w:r>
        <w:rPr>
          <w:rFonts w:hint="eastAsia" w:ascii="Times New Roman" w:hAnsi="Times New Roman" w:eastAsia="宋体" w:cs="Times New Roman"/>
          <w:b/>
          <w:bCs/>
          <w:sz w:val="24"/>
          <w:lang w:val="en-US" w:eastAsia="zh-CN"/>
        </w:rPr>
        <w:t>S</w:t>
      </w:r>
      <w:r>
        <w:rPr>
          <w:rFonts w:ascii="Times New Roman" w:hAnsi="Times New Roman" w:eastAsia="宋体" w:cs="Times New Roman"/>
          <w:b/>
          <w:bCs/>
          <w:sz w:val="24"/>
        </w:rPr>
        <w:t xml:space="preserve">3: </w:t>
      </w:r>
      <w:r>
        <w:rPr>
          <w:rFonts w:ascii="Times New Roman" w:hAnsi="Times New Roman" w:eastAsia="宋体" w:cs="Times New Roman"/>
          <w:b/>
          <w:bCs/>
          <w:sz w:val="24"/>
          <w:lang w:eastAsia="en-US"/>
        </w:rPr>
        <w:t>Measurement methods and definitions of spectral CT parameters and derived indices</w:t>
      </w:r>
      <w:r>
        <w:rPr>
          <w:rFonts w:ascii="Times New Roman" w:hAnsi="Times New Roman" w:eastAsia="宋体" w:cs="Times New Roman"/>
          <w:b/>
          <w:bCs/>
          <w:sz w:val="24"/>
        </w:rPr>
        <w:t>.</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3238"/>
        <w:gridCol w:w="4174"/>
      </w:tblGrid>
      <w:tr w14:paraId="6B3A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8" w:type="pct"/>
            <w:tcBorders>
              <w:top w:val="single" w:color="000000" w:sz="12" w:space="0"/>
              <w:left w:val="nil"/>
              <w:bottom w:val="single" w:color="000000" w:sz="4" w:space="0"/>
              <w:right w:val="nil"/>
              <w:tl2br w:val="nil"/>
            </w:tcBorders>
            <w:shd w:val="clear" w:color="auto" w:fill="FFFFFF"/>
          </w:tcPr>
          <w:p w14:paraId="7A04EE5C">
            <w:pPr>
              <w:widowControl/>
              <w:snapToGrid w:val="0"/>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Variable</w:t>
            </w:r>
          </w:p>
        </w:tc>
        <w:tc>
          <w:tcPr>
            <w:tcW w:w="1921" w:type="pct"/>
            <w:tcBorders>
              <w:top w:val="single" w:color="000000" w:sz="12" w:space="0"/>
              <w:left w:val="nil"/>
              <w:bottom w:val="single" w:color="000000" w:sz="4" w:space="0"/>
              <w:right w:val="nil"/>
            </w:tcBorders>
            <w:shd w:val="clear" w:color="auto" w:fill="FFFFFF"/>
          </w:tcPr>
          <w:p w14:paraId="2A3930F1">
            <w:pPr>
              <w:widowControl/>
              <w:snapToGrid w:val="0"/>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Measurement Methods</w:t>
            </w:r>
          </w:p>
        </w:tc>
        <w:tc>
          <w:tcPr>
            <w:tcW w:w="2470" w:type="pct"/>
            <w:tcBorders>
              <w:top w:val="single" w:color="000000" w:sz="12" w:space="0"/>
              <w:left w:val="nil"/>
              <w:bottom w:val="single" w:color="000000" w:sz="4" w:space="0"/>
              <w:right w:val="nil"/>
            </w:tcBorders>
            <w:shd w:val="clear" w:color="auto" w:fill="FFFFFF"/>
          </w:tcPr>
          <w:p w14:paraId="6F174838">
            <w:pPr>
              <w:widowControl/>
              <w:snapToGrid w:val="0"/>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Definition</w:t>
            </w:r>
          </w:p>
        </w:tc>
      </w:tr>
      <w:tr w14:paraId="5E9E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608" w:type="pct"/>
            <w:tcBorders>
              <w:top w:val="single" w:color="000000" w:sz="4" w:space="0"/>
              <w:left w:val="nil"/>
              <w:bottom w:val="nil"/>
              <w:right w:val="nil"/>
            </w:tcBorders>
            <w:shd w:val="clear" w:color="auto" w:fill="FFFFFF"/>
            <w:vAlign w:val="center"/>
          </w:tcPr>
          <w:p w14:paraId="3BB97C06">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IC</w:t>
            </w:r>
          </w:p>
        </w:tc>
        <w:tc>
          <w:tcPr>
            <w:tcW w:w="1921" w:type="pct"/>
            <w:tcBorders>
              <w:top w:val="single" w:color="000000" w:sz="4" w:space="0"/>
              <w:left w:val="nil"/>
              <w:bottom w:val="nil"/>
              <w:right w:val="nil"/>
            </w:tcBorders>
            <w:shd w:val="clear" w:color="auto" w:fill="FFFFFF"/>
            <w:vAlign w:val="center"/>
          </w:tcPr>
          <w:p w14:paraId="55D7CC05">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Using iodine density images generated by the post-processing workstation to obtain the IC value of the ROI.</w:t>
            </w:r>
          </w:p>
        </w:tc>
        <w:tc>
          <w:tcPr>
            <w:tcW w:w="2470" w:type="pct"/>
            <w:tcBorders>
              <w:top w:val="single" w:color="000000" w:sz="4" w:space="0"/>
              <w:left w:val="nil"/>
              <w:bottom w:val="nil"/>
              <w:right w:val="nil"/>
            </w:tcBorders>
            <w:shd w:val="clear" w:color="auto" w:fill="FFFFFF"/>
            <w:vAlign w:val="center"/>
          </w:tcPr>
          <w:p w14:paraId="52BAAD7D">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Iodine concentration (IC) represents the iodine content per unit volume (mg/mL) in tissue, reflecting tumor vascularity and permeability.</w:t>
            </w:r>
          </w:p>
        </w:tc>
      </w:tr>
      <w:tr w14:paraId="5E45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608" w:type="pct"/>
            <w:tcBorders>
              <w:top w:val="nil"/>
              <w:left w:val="nil"/>
              <w:bottom w:val="nil"/>
              <w:right w:val="nil"/>
            </w:tcBorders>
            <w:shd w:val="clear" w:color="auto" w:fill="FFFFFF"/>
            <w:vAlign w:val="center"/>
          </w:tcPr>
          <w:p w14:paraId="7EE71FB2">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λHU</w:t>
            </w:r>
          </w:p>
        </w:tc>
        <w:tc>
          <w:tcPr>
            <w:tcW w:w="1921" w:type="pct"/>
            <w:tcBorders>
              <w:top w:val="nil"/>
              <w:left w:val="nil"/>
              <w:bottom w:val="nil"/>
              <w:right w:val="nil"/>
            </w:tcBorders>
            <w:shd w:val="clear" w:color="auto" w:fill="FFFFFF"/>
            <w:vAlign w:val="center"/>
          </w:tcPr>
          <w:p w14:paraId="03B7E1C9">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 xml:space="preserve">λHU was calculated using the formula: λHU = (CT40kev − CT70kev) / </w:t>
            </w:r>
            <w:r>
              <w:rPr>
                <w:rFonts w:ascii="Times New Roman" w:hAnsi="Times New Roman" w:eastAsia="宋体" w:cs="Times New Roman"/>
                <w:color w:val="000000"/>
                <w:kern w:val="0"/>
                <w:sz w:val="24"/>
              </w:rPr>
              <w:t>30</w:t>
            </w:r>
            <w:r>
              <w:rPr>
                <w:rFonts w:ascii="Times New Roman" w:hAnsi="Times New Roman" w:eastAsia="宋体" w:cs="Times New Roman"/>
                <w:color w:val="000000"/>
                <w:kern w:val="0"/>
                <w:sz w:val="24"/>
                <w:lang w:eastAsia="en-US"/>
              </w:rPr>
              <w:t>.</w:t>
            </w:r>
          </w:p>
        </w:tc>
        <w:tc>
          <w:tcPr>
            <w:tcW w:w="2470" w:type="pct"/>
            <w:tcBorders>
              <w:top w:val="nil"/>
              <w:left w:val="nil"/>
              <w:bottom w:val="nil"/>
              <w:right w:val="nil"/>
            </w:tcBorders>
            <w:shd w:val="clear" w:color="auto" w:fill="FFFFFF"/>
            <w:vAlign w:val="center"/>
          </w:tcPr>
          <w:p w14:paraId="405D81B5">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 material-specific spectral attenuation curve is created by plotting CT values at different energy levels, each tissue showing a distinct slope (λHU).</w:t>
            </w:r>
          </w:p>
        </w:tc>
      </w:tr>
      <w:tr w14:paraId="672C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608" w:type="pct"/>
            <w:tcBorders>
              <w:top w:val="nil"/>
              <w:left w:val="nil"/>
              <w:bottom w:val="nil"/>
              <w:right w:val="nil"/>
            </w:tcBorders>
            <w:shd w:val="clear" w:color="auto" w:fill="FFFFFF"/>
            <w:vAlign w:val="center"/>
          </w:tcPr>
          <w:p w14:paraId="3A5FDEB5">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Zeff</w:t>
            </w:r>
          </w:p>
        </w:tc>
        <w:tc>
          <w:tcPr>
            <w:tcW w:w="1921" w:type="pct"/>
            <w:tcBorders>
              <w:top w:val="nil"/>
              <w:left w:val="nil"/>
              <w:bottom w:val="nil"/>
              <w:right w:val="nil"/>
            </w:tcBorders>
            <w:shd w:val="clear" w:color="auto" w:fill="FFFFFF"/>
            <w:vAlign w:val="center"/>
          </w:tcPr>
          <w:p w14:paraId="0AEF9BC6">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Using Zeff maps generated by post-processing workstation to obtain the Zeff value of ROI in one click.</w:t>
            </w:r>
          </w:p>
        </w:tc>
        <w:tc>
          <w:tcPr>
            <w:tcW w:w="2470" w:type="pct"/>
            <w:tcBorders>
              <w:top w:val="nil"/>
              <w:left w:val="nil"/>
              <w:bottom w:val="nil"/>
              <w:right w:val="nil"/>
            </w:tcBorders>
            <w:shd w:val="clear" w:color="auto" w:fill="FFFFFF"/>
            <w:vAlign w:val="center"/>
          </w:tcPr>
          <w:p w14:paraId="2537C27D">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The effective atomic number (Zeff) represents the atomic composition of a material or tissue, reflecting its X-ray absorption characteristics.</w:t>
            </w:r>
          </w:p>
        </w:tc>
      </w:tr>
      <w:tr w14:paraId="73BA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608" w:type="pct"/>
            <w:tcBorders>
              <w:top w:val="nil"/>
              <w:left w:val="nil"/>
              <w:bottom w:val="nil"/>
              <w:right w:val="nil"/>
            </w:tcBorders>
            <w:shd w:val="clear" w:color="auto" w:fill="FFFFFF"/>
            <w:vAlign w:val="center"/>
          </w:tcPr>
          <w:p w14:paraId="439E1F3A">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nIC</w:t>
            </w:r>
          </w:p>
        </w:tc>
        <w:tc>
          <w:tcPr>
            <w:tcW w:w="1921" w:type="pct"/>
            <w:tcBorders>
              <w:top w:val="nil"/>
              <w:left w:val="nil"/>
              <w:bottom w:val="nil"/>
              <w:right w:val="nil"/>
            </w:tcBorders>
            <w:shd w:val="clear" w:color="auto" w:fill="FFFFFF"/>
            <w:vAlign w:val="center"/>
          </w:tcPr>
          <w:p w14:paraId="2420D9FA">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nIC was calculated using the formula: nIC = IC / ICₐₒ.</w:t>
            </w:r>
          </w:p>
        </w:tc>
        <w:tc>
          <w:tcPr>
            <w:tcW w:w="2470" w:type="pct"/>
            <w:tcBorders>
              <w:top w:val="nil"/>
              <w:left w:val="nil"/>
              <w:bottom w:val="nil"/>
              <w:right w:val="nil"/>
            </w:tcBorders>
            <w:shd w:val="clear" w:color="auto" w:fill="FFFFFF"/>
            <w:vAlign w:val="center"/>
          </w:tcPr>
          <w:p w14:paraId="1B57007F">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Normalized iodine concentration (nIC) is adjusted to the iodine concentration of the aorta (ICₐₒ) to reduce patient and scanning variability.</w:t>
            </w:r>
          </w:p>
        </w:tc>
      </w:tr>
      <w:tr w14:paraId="56B4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608" w:type="pct"/>
            <w:tcBorders>
              <w:top w:val="nil"/>
              <w:left w:val="nil"/>
              <w:bottom w:val="nil"/>
              <w:right w:val="nil"/>
            </w:tcBorders>
            <w:shd w:val="clear" w:color="auto" w:fill="FFFFFF"/>
            <w:vAlign w:val="center"/>
          </w:tcPr>
          <w:p w14:paraId="61B8B9CB">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ECV</w:t>
            </w:r>
          </w:p>
        </w:tc>
        <w:tc>
          <w:tcPr>
            <w:tcW w:w="1921" w:type="pct"/>
            <w:tcBorders>
              <w:top w:val="nil"/>
              <w:left w:val="nil"/>
              <w:bottom w:val="nil"/>
              <w:right w:val="nil"/>
            </w:tcBorders>
            <w:shd w:val="clear" w:color="auto" w:fill="FFFFFF"/>
            <w:vAlign w:val="center"/>
          </w:tcPr>
          <w:p w14:paraId="06BC9B68">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ECV (%) = (1 − HCT) × (ICDP</w:t>
            </w:r>
            <w:r>
              <w:rPr>
                <w:rFonts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lang w:eastAsia="en-US"/>
              </w:rPr>
              <w:t>/ ICₐₒDP) × 100%.</w:t>
            </w:r>
          </w:p>
        </w:tc>
        <w:tc>
          <w:tcPr>
            <w:tcW w:w="2470" w:type="pct"/>
            <w:tcBorders>
              <w:top w:val="nil"/>
              <w:left w:val="nil"/>
              <w:bottom w:val="nil"/>
              <w:right w:val="nil"/>
            </w:tcBorders>
            <w:shd w:val="clear" w:color="auto" w:fill="FFFFFF"/>
            <w:vAlign w:val="center"/>
          </w:tcPr>
          <w:p w14:paraId="0CA2A586">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Extracellular volume fraction (ECV) measures the tumor’s extracellular matrix proportion, indicating fibrosis or vascularity based on iodine-based imaging.</w:t>
            </w:r>
          </w:p>
        </w:tc>
      </w:tr>
      <w:tr w14:paraId="4546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608" w:type="pct"/>
            <w:tcBorders>
              <w:top w:val="nil"/>
              <w:left w:val="nil"/>
              <w:bottom w:val="single" w:color="000000" w:sz="12" w:space="0"/>
              <w:right w:val="nil"/>
            </w:tcBorders>
            <w:shd w:val="clear" w:color="auto" w:fill="FFFFFF"/>
            <w:vAlign w:val="center"/>
          </w:tcPr>
          <w:p w14:paraId="6DD40957">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AEF</w:t>
            </w:r>
          </w:p>
        </w:tc>
        <w:tc>
          <w:tcPr>
            <w:tcW w:w="1921" w:type="pct"/>
            <w:tcBorders>
              <w:top w:val="nil"/>
              <w:left w:val="nil"/>
              <w:bottom w:val="single" w:color="000000" w:sz="12" w:space="0"/>
              <w:right w:val="nil"/>
            </w:tcBorders>
            <w:shd w:val="clear" w:color="auto" w:fill="FFFFFF"/>
            <w:vAlign w:val="center"/>
          </w:tcPr>
          <w:p w14:paraId="7A7738C7">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AEF = ICAP / ICDP.</w:t>
            </w:r>
          </w:p>
        </w:tc>
        <w:tc>
          <w:tcPr>
            <w:tcW w:w="2470" w:type="pct"/>
            <w:tcBorders>
              <w:top w:val="nil"/>
              <w:left w:val="nil"/>
              <w:bottom w:val="single" w:color="000000" w:sz="12" w:space="0"/>
              <w:right w:val="nil"/>
            </w:tcBorders>
            <w:shd w:val="clear" w:color="auto" w:fill="FFFFFF"/>
            <w:vAlign w:val="center"/>
          </w:tcPr>
          <w:p w14:paraId="4ACA12F8">
            <w:pPr>
              <w:widowControl/>
              <w:snapToGrid w:val="0"/>
              <w:jc w:val="left"/>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Arterial enhancement fraction (AEF) quantifies the arterial perfusion contribution in the tumor, based on iodine concentration differences at various phases.</w:t>
            </w:r>
          </w:p>
        </w:tc>
      </w:tr>
    </w:tbl>
    <w:p w14:paraId="3D55ABCB">
      <w:pPr>
        <w:widowControl/>
        <w:spacing w:after="200" w:line="276" w:lineRule="auto"/>
        <w:jc w:val="left"/>
        <w:rPr>
          <w:rFonts w:ascii="Times New Roman" w:hAnsi="Times New Roman" w:eastAsia="宋体" w:cs="Times New Roman"/>
          <w:i/>
          <w:iCs/>
          <w:kern w:val="0"/>
          <w:sz w:val="20"/>
          <w:szCs w:val="20"/>
          <w:lang w:eastAsia="en-US"/>
        </w:rPr>
      </w:pPr>
      <w:r>
        <w:rPr>
          <w:rFonts w:ascii="Times New Roman" w:hAnsi="Times New Roman" w:eastAsia="宋体" w:cs="Times New Roman"/>
          <w:i/>
          <w:iCs/>
          <w:kern w:val="0"/>
          <w:sz w:val="20"/>
          <w:szCs w:val="20"/>
          <w:lang w:eastAsia="en-US"/>
        </w:rPr>
        <w:t>Note: λHU = slope of the spectral attenuation curve; IC = iodine concentration; nIC = normalized iodine concentration; Zeff = effective atomic number; ECV = extracellular volume fraction; AEF = arterial enhancement fraction.</w:t>
      </w:r>
      <w:r>
        <w:rPr>
          <w:rFonts w:ascii="Times New Roman" w:hAnsi="Times New Roman" w:eastAsia="宋体" w:cs="Times New Roman"/>
          <w:i/>
          <w:iCs/>
          <w:kern w:val="0"/>
          <w:sz w:val="20"/>
          <w:szCs w:val="20"/>
        </w:rPr>
        <w:t xml:space="preserve"> A</w:t>
      </w:r>
      <w:r>
        <w:rPr>
          <w:rFonts w:ascii="Times New Roman" w:hAnsi="Times New Roman" w:eastAsia="宋体" w:cs="Times New Roman"/>
          <w:i/>
          <w:iCs/>
          <w:kern w:val="0"/>
          <w:sz w:val="20"/>
          <w:szCs w:val="20"/>
          <w:lang w:eastAsia="en-US"/>
        </w:rPr>
        <w:t>cross AP/VP/DP phases.</w:t>
      </w:r>
    </w:p>
    <w:p w14:paraId="1AAC524E">
      <w:pPr>
        <w:keepNext/>
        <w:keepLines/>
        <w:widowControl/>
        <w:spacing w:before="200" w:after="156" w:afterLines="50" w:line="360" w:lineRule="auto"/>
        <w:outlineLvl w:val="1"/>
        <w:rPr>
          <w:rFonts w:ascii="Times New Roman" w:hAnsi="Times New Roman" w:eastAsia="宋体" w:cs="Times New Roman"/>
          <w:color w:val="000000"/>
          <w:kern w:val="0"/>
          <w:sz w:val="24"/>
          <w:lang w:eastAsia="en-US"/>
        </w:rPr>
      </w:pPr>
      <w:r>
        <w:rPr>
          <w:rFonts w:ascii="Times New Roman" w:hAnsi="Times New Roman" w:eastAsia="宋体" w:cs="Times New Roman"/>
          <w:b/>
          <w:bCs/>
          <w:color w:val="000000"/>
          <w:kern w:val="0"/>
          <w:sz w:val="24"/>
        </w:rPr>
        <w:t xml:space="preserve">Supplementary Table </w:t>
      </w:r>
      <w:r>
        <w:rPr>
          <w:rFonts w:hint="eastAsia" w:ascii="Times New Roman" w:hAnsi="Times New Roman" w:eastAsia="宋体" w:cs="Times New Roman"/>
          <w:b/>
          <w:bCs/>
          <w:color w:val="000000"/>
          <w:kern w:val="0"/>
          <w:sz w:val="24"/>
          <w:lang w:val="en-US" w:eastAsia="zh-CN"/>
        </w:rPr>
        <w:t>S</w:t>
      </w:r>
      <w:r>
        <w:rPr>
          <w:rFonts w:ascii="Times New Roman" w:hAnsi="Times New Roman" w:eastAsia="宋体" w:cs="Times New Roman"/>
          <w:b/>
          <w:bCs/>
          <w:color w:val="000000"/>
          <w:kern w:val="0"/>
          <w:sz w:val="24"/>
        </w:rPr>
        <w:t xml:space="preserve">4a: </w:t>
      </w:r>
      <w:r>
        <w:rPr>
          <w:rFonts w:ascii="Times New Roman" w:hAnsi="Times New Roman" w:eastAsia="宋体" w:cs="Times New Roman"/>
          <w:color w:val="000000"/>
          <w:kern w:val="0"/>
          <w:sz w:val="24"/>
          <w:lang w:eastAsia="en-US"/>
        </w:rPr>
        <w:t>Explained Variance Ratio of Principal Components</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3709"/>
        <w:gridCol w:w="3932"/>
      </w:tblGrid>
      <w:tr w14:paraId="5FFD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8" w:type="dxa"/>
            <w:tcBorders>
              <w:top w:val="single" w:color="000000" w:sz="12" w:space="0"/>
              <w:left w:val="nil"/>
              <w:bottom w:val="single" w:color="000000" w:sz="4" w:space="0"/>
              <w:right w:val="nil"/>
              <w:tl2br w:val="nil"/>
            </w:tcBorders>
            <w:shd w:val="clear" w:color="auto" w:fill="FFFFFF"/>
            <w:vAlign w:val="center"/>
          </w:tcPr>
          <w:p w14:paraId="5FDE3FB8">
            <w:pPr>
              <w:widowControl/>
              <w:snapToGrid w:val="0"/>
              <w:jc w:val="center"/>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PC</w:t>
            </w:r>
          </w:p>
        </w:tc>
        <w:tc>
          <w:tcPr>
            <w:tcW w:w="3709" w:type="dxa"/>
            <w:tcBorders>
              <w:top w:val="single" w:color="000000" w:sz="12" w:space="0"/>
              <w:left w:val="nil"/>
              <w:bottom w:val="single" w:color="000000" w:sz="4" w:space="0"/>
              <w:right w:val="nil"/>
            </w:tcBorders>
            <w:shd w:val="clear" w:color="auto" w:fill="FFFFFF"/>
            <w:vAlign w:val="center"/>
          </w:tcPr>
          <w:p w14:paraId="6C3F5753">
            <w:pPr>
              <w:widowControl/>
              <w:snapToGrid w:val="0"/>
              <w:jc w:val="center"/>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Explained variance (%)</w:t>
            </w:r>
          </w:p>
        </w:tc>
        <w:tc>
          <w:tcPr>
            <w:tcW w:w="3932" w:type="dxa"/>
            <w:tcBorders>
              <w:top w:val="single" w:color="000000" w:sz="12" w:space="0"/>
              <w:left w:val="nil"/>
              <w:bottom w:val="single" w:color="000000" w:sz="4" w:space="0"/>
              <w:right w:val="nil"/>
            </w:tcBorders>
            <w:shd w:val="clear" w:color="auto" w:fill="FFFFFF"/>
            <w:vAlign w:val="center"/>
          </w:tcPr>
          <w:p w14:paraId="5505F10E">
            <w:pPr>
              <w:widowControl/>
              <w:snapToGrid w:val="0"/>
              <w:jc w:val="center"/>
              <w:rPr>
                <w:rFonts w:ascii="Times New Roman" w:hAnsi="Times New Roman" w:eastAsia="宋体" w:cs="Times New Roman"/>
                <w:b/>
                <w:color w:val="000000"/>
                <w:kern w:val="0"/>
                <w:sz w:val="24"/>
                <w:lang w:eastAsia="en-US"/>
              </w:rPr>
            </w:pPr>
            <w:r>
              <w:rPr>
                <w:rFonts w:ascii="Times New Roman" w:hAnsi="Times New Roman" w:eastAsia="宋体" w:cs="Times New Roman"/>
                <w:b/>
                <w:color w:val="000000"/>
                <w:kern w:val="0"/>
                <w:sz w:val="24"/>
                <w:lang w:eastAsia="en-US"/>
              </w:rPr>
              <w:t>Cumulative variance (%)</w:t>
            </w:r>
          </w:p>
        </w:tc>
      </w:tr>
      <w:tr w14:paraId="12EF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single" w:color="000000" w:sz="4" w:space="0"/>
              <w:left w:val="nil"/>
              <w:bottom w:val="nil"/>
              <w:right w:val="nil"/>
            </w:tcBorders>
            <w:shd w:val="clear" w:color="auto" w:fill="FFFFFF"/>
            <w:vAlign w:val="center"/>
          </w:tcPr>
          <w:p w14:paraId="1B4F76B4">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PC1</w:t>
            </w:r>
          </w:p>
        </w:tc>
        <w:tc>
          <w:tcPr>
            <w:tcW w:w="3709" w:type="dxa"/>
            <w:tcBorders>
              <w:top w:val="single" w:color="000000" w:sz="4" w:space="0"/>
              <w:left w:val="nil"/>
              <w:bottom w:val="nil"/>
              <w:right w:val="nil"/>
            </w:tcBorders>
            <w:shd w:val="clear" w:color="auto" w:fill="FFFFFF"/>
            <w:vAlign w:val="center"/>
          </w:tcPr>
          <w:p w14:paraId="52899535">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53.76</w:t>
            </w:r>
          </w:p>
        </w:tc>
        <w:tc>
          <w:tcPr>
            <w:tcW w:w="3932" w:type="dxa"/>
            <w:tcBorders>
              <w:top w:val="single" w:color="000000" w:sz="4" w:space="0"/>
              <w:left w:val="nil"/>
              <w:bottom w:val="nil"/>
              <w:right w:val="nil"/>
            </w:tcBorders>
            <w:shd w:val="clear" w:color="auto" w:fill="FFFFFF"/>
            <w:vAlign w:val="center"/>
          </w:tcPr>
          <w:p w14:paraId="032DE67A">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53.76</w:t>
            </w:r>
          </w:p>
        </w:tc>
      </w:tr>
      <w:tr w14:paraId="210C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nil"/>
              <w:left w:val="nil"/>
              <w:bottom w:val="nil"/>
              <w:right w:val="nil"/>
            </w:tcBorders>
            <w:shd w:val="clear" w:color="auto" w:fill="FFFFFF"/>
            <w:vAlign w:val="center"/>
          </w:tcPr>
          <w:p w14:paraId="0B779DEC">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PC2</w:t>
            </w:r>
          </w:p>
        </w:tc>
        <w:tc>
          <w:tcPr>
            <w:tcW w:w="3709" w:type="dxa"/>
            <w:tcBorders>
              <w:top w:val="nil"/>
              <w:left w:val="nil"/>
              <w:bottom w:val="nil"/>
              <w:right w:val="nil"/>
            </w:tcBorders>
            <w:shd w:val="clear" w:color="auto" w:fill="FFFFFF"/>
            <w:vAlign w:val="center"/>
          </w:tcPr>
          <w:p w14:paraId="06F22FDE">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19.72</w:t>
            </w:r>
          </w:p>
        </w:tc>
        <w:tc>
          <w:tcPr>
            <w:tcW w:w="3932" w:type="dxa"/>
            <w:tcBorders>
              <w:top w:val="nil"/>
              <w:left w:val="nil"/>
              <w:bottom w:val="nil"/>
              <w:right w:val="nil"/>
            </w:tcBorders>
            <w:shd w:val="clear" w:color="auto" w:fill="FFFFFF"/>
            <w:vAlign w:val="center"/>
          </w:tcPr>
          <w:p w14:paraId="142315EB">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73.48</w:t>
            </w:r>
          </w:p>
        </w:tc>
      </w:tr>
      <w:tr w14:paraId="273E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nil"/>
              <w:left w:val="nil"/>
              <w:bottom w:val="nil"/>
              <w:right w:val="nil"/>
            </w:tcBorders>
            <w:shd w:val="clear" w:color="auto" w:fill="FFFFFF"/>
            <w:vAlign w:val="center"/>
          </w:tcPr>
          <w:p w14:paraId="790A7940">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PC3</w:t>
            </w:r>
          </w:p>
        </w:tc>
        <w:tc>
          <w:tcPr>
            <w:tcW w:w="3709" w:type="dxa"/>
            <w:tcBorders>
              <w:top w:val="nil"/>
              <w:left w:val="nil"/>
              <w:bottom w:val="nil"/>
              <w:right w:val="nil"/>
            </w:tcBorders>
            <w:shd w:val="clear" w:color="auto" w:fill="FFFFFF"/>
            <w:vAlign w:val="center"/>
          </w:tcPr>
          <w:p w14:paraId="21DA906D">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14.55</w:t>
            </w:r>
          </w:p>
        </w:tc>
        <w:tc>
          <w:tcPr>
            <w:tcW w:w="3932" w:type="dxa"/>
            <w:tcBorders>
              <w:top w:val="nil"/>
              <w:left w:val="nil"/>
              <w:bottom w:val="nil"/>
              <w:right w:val="nil"/>
            </w:tcBorders>
            <w:shd w:val="clear" w:color="auto" w:fill="FFFFFF"/>
            <w:vAlign w:val="center"/>
          </w:tcPr>
          <w:p w14:paraId="58E368F5">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88.03</w:t>
            </w:r>
          </w:p>
        </w:tc>
      </w:tr>
      <w:tr w14:paraId="6FD8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Borders>
              <w:top w:val="nil"/>
              <w:left w:val="nil"/>
              <w:bottom w:val="single" w:color="000000" w:sz="12" w:space="0"/>
              <w:right w:val="nil"/>
            </w:tcBorders>
            <w:shd w:val="clear" w:color="auto" w:fill="FFFFFF"/>
            <w:vAlign w:val="center"/>
          </w:tcPr>
          <w:p w14:paraId="1F95349D">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PC4</w:t>
            </w:r>
          </w:p>
        </w:tc>
        <w:tc>
          <w:tcPr>
            <w:tcW w:w="3709" w:type="dxa"/>
            <w:tcBorders>
              <w:top w:val="nil"/>
              <w:left w:val="nil"/>
              <w:bottom w:val="single" w:color="000000" w:sz="12" w:space="0"/>
              <w:right w:val="nil"/>
            </w:tcBorders>
            <w:shd w:val="clear" w:color="auto" w:fill="FFFFFF"/>
            <w:vAlign w:val="center"/>
          </w:tcPr>
          <w:p w14:paraId="3A103BF5">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11.97</w:t>
            </w:r>
          </w:p>
        </w:tc>
        <w:tc>
          <w:tcPr>
            <w:tcW w:w="3932" w:type="dxa"/>
            <w:tcBorders>
              <w:top w:val="nil"/>
              <w:left w:val="nil"/>
              <w:bottom w:val="single" w:color="000000" w:sz="12" w:space="0"/>
              <w:right w:val="nil"/>
            </w:tcBorders>
            <w:shd w:val="clear" w:color="auto" w:fill="FFFFFF"/>
            <w:vAlign w:val="center"/>
          </w:tcPr>
          <w:p w14:paraId="1BD90670">
            <w:pPr>
              <w:widowControl/>
              <w:snapToGrid w:val="0"/>
              <w:jc w:val="center"/>
              <w:rPr>
                <w:rFonts w:ascii="Times New Roman" w:hAnsi="Times New Roman" w:eastAsia="宋体" w:cs="Times New Roman"/>
                <w:color w:val="000000"/>
                <w:kern w:val="0"/>
                <w:sz w:val="24"/>
                <w:lang w:eastAsia="en-US"/>
              </w:rPr>
            </w:pPr>
            <w:r>
              <w:rPr>
                <w:rFonts w:ascii="Times New Roman" w:hAnsi="Times New Roman" w:eastAsia="宋体" w:cs="Times New Roman"/>
                <w:color w:val="000000"/>
                <w:kern w:val="0"/>
                <w:sz w:val="24"/>
                <w:lang w:eastAsia="en-US"/>
              </w:rPr>
              <w:t>100.00</w:t>
            </w:r>
          </w:p>
        </w:tc>
      </w:tr>
    </w:tbl>
    <w:p w14:paraId="6A744BD8">
      <w:pPr>
        <w:keepNext/>
        <w:keepLines/>
        <w:widowControl/>
        <w:spacing w:before="200" w:after="156" w:afterLines="50" w:line="276" w:lineRule="auto"/>
        <w:outlineLvl w:val="1"/>
        <w:rPr>
          <w:rFonts w:ascii="Times New Roman" w:hAnsi="Times New Roman" w:eastAsia="宋体" w:cs="Times New Roman"/>
          <w:sz w:val="24"/>
        </w:rPr>
      </w:pPr>
      <w:r>
        <w:rPr>
          <w:rFonts w:ascii="Times New Roman" w:hAnsi="Times New Roman" w:eastAsia="宋体" w:cs="Times New Roman"/>
          <w:b/>
          <w:bCs/>
          <w:color w:val="000000"/>
          <w:kern w:val="0"/>
          <w:sz w:val="24"/>
        </w:rPr>
        <w:t xml:space="preserve">Supplementary Table </w:t>
      </w:r>
      <w:r>
        <w:rPr>
          <w:rFonts w:hint="eastAsia" w:ascii="Times New Roman" w:hAnsi="Times New Roman" w:eastAsia="宋体" w:cs="Times New Roman"/>
          <w:b/>
          <w:bCs/>
          <w:color w:val="000000"/>
          <w:kern w:val="0"/>
          <w:sz w:val="24"/>
          <w:lang w:val="en-US" w:eastAsia="zh-CN"/>
        </w:rPr>
        <w:t>S</w:t>
      </w:r>
      <w:r>
        <w:rPr>
          <w:rFonts w:ascii="Times New Roman" w:hAnsi="Times New Roman" w:eastAsia="宋体" w:cs="Times New Roman"/>
          <w:b/>
          <w:bCs/>
          <w:color w:val="000000"/>
          <w:kern w:val="0"/>
          <w:sz w:val="24"/>
        </w:rPr>
        <w:t xml:space="preserve">4b: </w:t>
      </w:r>
      <w:r>
        <w:rPr>
          <w:rFonts w:ascii="Times New Roman" w:hAnsi="Times New Roman" w:eastAsia="宋体" w:cs="Times New Roman"/>
          <w:sz w:val="24"/>
        </w:rPr>
        <w:t>Principal component loading coefficients for four imaging features</w:t>
      </w:r>
    </w:p>
    <w:tbl>
      <w:tblPr>
        <w:tblStyle w:val="7"/>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7"/>
        <w:gridCol w:w="1846"/>
        <w:gridCol w:w="1846"/>
        <w:gridCol w:w="1846"/>
        <w:gridCol w:w="1846"/>
      </w:tblGrid>
      <w:tr w14:paraId="4BCF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67" w:type="dxa"/>
            <w:tcBorders>
              <w:top w:val="single" w:color="000000" w:sz="12" w:space="0"/>
              <w:left w:val="nil"/>
              <w:bottom w:val="single" w:color="000000" w:sz="4" w:space="0"/>
              <w:right w:val="nil"/>
              <w:tl2br w:val="nil"/>
            </w:tcBorders>
            <w:shd w:val="clear" w:color="auto" w:fill="FFFFFF"/>
            <w:vAlign w:val="center"/>
          </w:tcPr>
          <w:p w14:paraId="0A8E8CBE">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Feature</w:t>
            </w:r>
          </w:p>
        </w:tc>
        <w:tc>
          <w:tcPr>
            <w:tcW w:w="1846" w:type="dxa"/>
            <w:tcBorders>
              <w:top w:val="single" w:color="000000" w:sz="12" w:space="0"/>
              <w:left w:val="nil"/>
              <w:bottom w:val="single" w:color="000000" w:sz="4" w:space="0"/>
              <w:right w:val="nil"/>
            </w:tcBorders>
            <w:shd w:val="clear" w:color="auto" w:fill="FFFFFF"/>
            <w:vAlign w:val="center"/>
          </w:tcPr>
          <w:p w14:paraId="19B9FE63">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PC1</w:t>
            </w:r>
          </w:p>
        </w:tc>
        <w:tc>
          <w:tcPr>
            <w:tcW w:w="1846" w:type="dxa"/>
            <w:tcBorders>
              <w:top w:val="single" w:color="000000" w:sz="12" w:space="0"/>
              <w:left w:val="nil"/>
              <w:bottom w:val="single" w:color="000000" w:sz="4" w:space="0"/>
              <w:right w:val="nil"/>
            </w:tcBorders>
            <w:shd w:val="clear" w:color="auto" w:fill="FFFFFF"/>
            <w:vAlign w:val="center"/>
          </w:tcPr>
          <w:p w14:paraId="0F60D9A2">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PC2</w:t>
            </w:r>
          </w:p>
        </w:tc>
        <w:tc>
          <w:tcPr>
            <w:tcW w:w="1846" w:type="dxa"/>
            <w:tcBorders>
              <w:top w:val="single" w:color="000000" w:sz="12" w:space="0"/>
              <w:left w:val="nil"/>
              <w:bottom w:val="single" w:color="000000" w:sz="4" w:space="0"/>
              <w:right w:val="nil"/>
            </w:tcBorders>
            <w:shd w:val="clear" w:color="auto" w:fill="FFFFFF"/>
            <w:vAlign w:val="center"/>
          </w:tcPr>
          <w:p w14:paraId="1189E223">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PC3</w:t>
            </w:r>
          </w:p>
        </w:tc>
        <w:tc>
          <w:tcPr>
            <w:tcW w:w="1846" w:type="dxa"/>
            <w:tcBorders>
              <w:top w:val="single" w:color="000000" w:sz="12" w:space="0"/>
              <w:left w:val="nil"/>
              <w:bottom w:val="single" w:color="000000" w:sz="4" w:space="0"/>
              <w:right w:val="nil"/>
            </w:tcBorders>
            <w:shd w:val="clear" w:color="auto" w:fill="FFFFFF"/>
            <w:vAlign w:val="center"/>
          </w:tcPr>
          <w:p w14:paraId="71B51AB9">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PC4</w:t>
            </w:r>
          </w:p>
        </w:tc>
      </w:tr>
      <w:tr w14:paraId="5FEE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7" w:type="dxa"/>
            <w:tcBorders>
              <w:top w:val="single" w:color="000000" w:sz="4" w:space="0"/>
              <w:left w:val="nil"/>
              <w:bottom w:val="nil"/>
              <w:right w:val="nil"/>
            </w:tcBorders>
            <w:shd w:val="clear" w:color="auto" w:fill="FFFFFF"/>
            <w:vAlign w:val="center"/>
          </w:tcPr>
          <w:p w14:paraId="65E68B22">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ctSI</w:t>
            </w:r>
          </w:p>
        </w:tc>
        <w:tc>
          <w:tcPr>
            <w:tcW w:w="1846" w:type="dxa"/>
            <w:tcBorders>
              <w:top w:val="single" w:color="000000" w:sz="4" w:space="0"/>
              <w:left w:val="nil"/>
              <w:bottom w:val="nil"/>
              <w:right w:val="nil"/>
            </w:tcBorders>
            <w:shd w:val="clear" w:color="auto" w:fill="FFFFFF"/>
            <w:vAlign w:val="center"/>
          </w:tcPr>
          <w:p w14:paraId="587487E5">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-0.523</w:t>
            </w:r>
          </w:p>
        </w:tc>
        <w:tc>
          <w:tcPr>
            <w:tcW w:w="1846" w:type="dxa"/>
            <w:tcBorders>
              <w:top w:val="single" w:color="000000" w:sz="4" w:space="0"/>
              <w:left w:val="nil"/>
              <w:bottom w:val="nil"/>
              <w:right w:val="nil"/>
            </w:tcBorders>
            <w:shd w:val="clear" w:color="auto" w:fill="FFFFFF"/>
            <w:vAlign w:val="center"/>
          </w:tcPr>
          <w:p w14:paraId="098E2F4A">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-0.269</w:t>
            </w:r>
          </w:p>
        </w:tc>
        <w:tc>
          <w:tcPr>
            <w:tcW w:w="1846" w:type="dxa"/>
            <w:tcBorders>
              <w:top w:val="single" w:color="000000" w:sz="4" w:space="0"/>
              <w:left w:val="nil"/>
              <w:bottom w:val="nil"/>
              <w:right w:val="nil"/>
            </w:tcBorders>
            <w:shd w:val="clear" w:color="auto" w:fill="FFFFFF"/>
            <w:vAlign w:val="center"/>
          </w:tcPr>
          <w:p w14:paraId="2EB8EE38">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0.632</w:t>
            </w:r>
          </w:p>
        </w:tc>
        <w:tc>
          <w:tcPr>
            <w:tcW w:w="1846" w:type="dxa"/>
            <w:tcBorders>
              <w:top w:val="single" w:color="000000" w:sz="4" w:space="0"/>
              <w:left w:val="nil"/>
              <w:bottom w:val="nil"/>
              <w:right w:val="nil"/>
            </w:tcBorders>
            <w:shd w:val="clear" w:color="auto" w:fill="FFFFFF"/>
            <w:vAlign w:val="center"/>
          </w:tcPr>
          <w:p w14:paraId="0797A700">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0.505</w:t>
            </w:r>
          </w:p>
        </w:tc>
      </w:tr>
      <w:tr w14:paraId="3BFB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7" w:type="dxa"/>
            <w:tcBorders>
              <w:top w:val="nil"/>
              <w:left w:val="nil"/>
              <w:bottom w:val="nil"/>
              <w:right w:val="nil"/>
            </w:tcBorders>
            <w:shd w:val="clear" w:color="auto" w:fill="FFFFFF"/>
            <w:vAlign w:val="center"/>
          </w:tcPr>
          <w:p w14:paraId="559FEC05">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ctEMVI</w:t>
            </w:r>
          </w:p>
        </w:tc>
        <w:tc>
          <w:tcPr>
            <w:tcW w:w="1846" w:type="dxa"/>
            <w:tcBorders>
              <w:top w:val="nil"/>
              <w:left w:val="nil"/>
              <w:bottom w:val="nil"/>
              <w:right w:val="nil"/>
            </w:tcBorders>
            <w:shd w:val="clear" w:color="auto" w:fill="FFFFFF"/>
            <w:vAlign w:val="center"/>
          </w:tcPr>
          <w:p w14:paraId="732E54D4">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-0.554</w:t>
            </w:r>
          </w:p>
        </w:tc>
        <w:tc>
          <w:tcPr>
            <w:tcW w:w="1846" w:type="dxa"/>
            <w:tcBorders>
              <w:top w:val="nil"/>
              <w:left w:val="nil"/>
              <w:bottom w:val="nil"/>
              <w:right w:val="nil"/>
            </w:tcBorders>
            <w:shd w:val="clear" w:color="auto" w:fill="FFFFFF"/>
            <w:vAlign w:val="center"/>
          </w:tcPr>
          <w:p w14:paraId="53794120">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-0.152</w:t>
            </w:r>
          </w:p>
        </w:tc>
        <w:tc>
          <w:tcPr>
            <w:tcW w:w="1846" w:type="dxa"/>
            <w:tcBorders>
              <w:top w:val="nil"/>
              <w:left w:val="nil"/>
              <w:bottom w:val="nil"/>
              <w:right w:val="nil"/>
            </w:tcBorders>
            <w:shd w:val="clear" w:color="auto" w:fill="FFFFFF"/>
            <w:vAlign w:val="center"/>
          </w:tcPr>
          <w:p w14:paraId="6DC4490E">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0.123</w:t>
            </w:r>
          </w:p>
        </w:tc>
        <w:tc>
          <w:tcPr>
            <w:tcW w:w="1846" w:type="dxa"/>
            <w:tcBorders>
              <w:top w:val="nil"/>
              <w:left w:val="nil"/>
              <w:bottom w:val="nil"/>
              <w:right w:val="nil"/>
            </w:tcBorders>
            <w:shd w:val="clear" w:color="auto" w:fill="FFFFFF"/>
            <w:vAlign w:val="center"/>
          </w:tcPr>
          <w:p w14:paraId="1E339586">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-0.809</w:t>
            </w:r>
          </w:p>
        </w:tc>
      </w:tr>
      <w:tr w14:paraId="6904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7" w:type="dxa"/>
            <w:tcBorders>
              <w:top w:val="nil"/>
              <w:left w:val="nil"/>
              <w:bottom w:val="nil"/>
              <w:right w:val="nil"/>
            </w:tcBorders>
            <w:shd w:val="clear" w:color="auto" w:fill="FFFFFF"/>
            <w:vAlign w:val="center"/>
          </w:tcPr>
          <w:p w14:paraId="4D45D182">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ctOPM</w:t>
            </w:r>
          </w:p>
        </w:tc>
        <w:tc>
          <w:tcPr>
            <w:tcW w:w="1846" w:type="dxa"/>
            <w:tcBorders>
              <w:top w:val="nil"/>
              <w:left w:val="nil"/>
              <w:bottom w:val="nil"/>
              <w:right w:val="nil"/>
            </w:tcBorders>
            <w:shd w:val="clear" w:color="auto" w:fill="FFFFFF"/>
            <w:vAlign w:val="center"/>
          </w:tcPr>
          <w:p w14:paraId="0A834F1B">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-0.397</w:t>
            </w:r>
          </w:p>
        </w:tc>
        <w:tc>
          <w:tcPr>
            <w:tcW w:w="1846" w:type="dxa"/>
            <w:tcBorders>
              <w:top w:val="nil"/>
              <w:left w:val="nil"/>
              <w:bottom w:val="nil"/>
              <w:right w:val="nil"/>
            </w:tcBorders>
            <w:shd w:val="clear" w:color="auto" w:fill="FFFFFF"/>
            <w:vAlign w:val="center"/>
          </w:tcPr>
          <w:p w14:paraId="6A7E8158">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0.913</w:t>
            </w:r>
          </w:p>
        </w:tc>
        <w:tc>
          <w:tcPr>
            <w:tcW w:w="1846" w:type="dxa"/>
            <w:tcBorders>
              <w:top w:val="nil"/>
              <w:left w:val="nil"/>
              <w:bottom w:val="nil"/>
              <w:right w:val="nil"/>
            </w:tcBorders>
            <w:shd w:val="clear" w:color="auto" w:fill="FFFFFF"/>
            <w:vAlign w:val="center"/>
          </w:tcPr>
          <w:p w14:paraId="1234F233">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-0.017</w:t>
            </w:r>
          </w:p>
        </w:tc>
        <w:tc>
          <w:tcPr>
            <w:tcW w:w="1846" w:type="dxa"/>
            <w:tcBorders>
              <w:top w:val="nil"/>
              <w:left w:val="nil"/>
              <w:bottom w:val="nil"/>
              <w:right w:val="nil"/>
            </w:tcBorders>
            <w:shd w:val="clear" w:color="auto" w:fill="FFFFFF"/>
            <w:vAlign w:val="center"/>
          </w:tcPr>
          <w:p w14:paraId="143C5137">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0.098</w:t>
            </w:r>
          </w:p>
        </w:tc>
      </w:tr>
      <w:tr w14:paraId="4D80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7" w:type="dxa"/>
            <w:tcBorders>
              <w:top w:val="nil"/>
              <w:left w:val="nil"/>
              <w:bottom w:val="single" w:color="000000" w:sz="12" w:space="0"/>
              <w:right w:val="nil"/>
            </w:tcBorders>
            <w:shd w:val="clear" w:color="auto" w:fill="FFFFFF"/>
            <w:vAlign w:val="center"/>
          </w:tcPr>
          <w:p w14:paraId="6B741476">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ctLVI</w:t>
            </w:r>
          </w:p>
        </w:tc>
        <w:tc>
          <w:tcPr>
            <w:tcW w:w="1846" w:type="dxa"/>
            <w:tcBorders>
              <w:top w:val="nil"/>
              <w:left w:val="nil"/>
              <w:bottom w:val="single" w:color="000000" w:sz="12" w:space="0"/>
              <w:right w:val="nil"/>
            </w:tcBorders>
            <w:shd w:val="clear" w:color="auto" w:fill="FFFFFF"/>
            <w:vAlign w:val="center"/>
          </w:tcPr>
          <w:p w14:paraId="5F41E6C8">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-0.512</w:t>
            </w:r>
          </w:p>
        </w:tc>
        <w:tc>
          <w:tcPr>
            <w:tcW w:w="1846" w:type="dxa"/>
            <w:tcBorders>
              <w:top w:val="nil"/>
              <w:left w:val="nil"/>
              <w:bottom w:val="single" w:color="000000" w:sz="12" w:space="0"/>
              <w:right w:val="nil"/>
            </w:tcBorders>
            <w:shd w:val="clear" w:color="auto" w:fill="FFFFFF"/>
            <w:vAlign w:val="center"/>
          </w:tcPr>
          <w:p w14:paraId="7E3F607E">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-0.267</w:t>
            </w:r>
          </w:p>
        </w:tc>
        <w:tc>
          <w:tcPr>
            <w:tcW w:w="1846" w:type="dxa"/>
            <w:tcBorders>
              <w:top w:val="nil"/>
              <w:left w:val="nil"/>
              <w:bottom w:val="single" w:color="000000" w:sz="12" w:space="0"/>
              <w:right w:val="nil"/>
            </w:tcBorders>
            <w:shd w:val="clear" w:color="auto" w:fill="FFFFFF"/>
            <w:vAlign w:val="center"/>
          </w:tcPr>
          <w:p w14:paraId="6065B9CF">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-0.765</w:t>
            </w:r>
          </w:p>
        </w:tc>
        <w:tc>
          <w:tcPr>
            <w:tcW w:w="1846" w:type="dxa"/>
            <w:tcBorders>
              <w:top w:val="nil"/>
              <w:left w:val="nil"/>
              <w:bottom w:val="single" w:color="000000" w:sz="12" w:space="0"/>
              <w:right w:val="nil"/>
            </w:tcBorders>
            <w:shd w:val="clear" w:color="auto" w:fill="FFFFFF"/>
            <w:vAlign w:val="center"/>
          </w:tcPr>
          <w:p w14:paraId="399613BD">
            <w:pPr>
              <w:widowControl/>
              <w:snapToGrid w:val="0"/>
              <w:spacing w:line="360" w:lineRule="auto"/>
              <w:jc w:val="left"/>
              <w:textAlignment w:val="center"/>
              <w:rPr>
                <w:rFonts w:ascii="Times New Roman" w:hAnsi="Times New Roman" w:eastAsia="宋体" w:cs="Times New Roman"/>
                <w:sz w:val="24"/>
              </w:rPr>
            </w:pPr>
            <w:r>
              <w:rPr>
                <w:rFonts w:ascii="Times New Roman" w:hAnsi="Times New Roman" w:eastAsia="宋体" w:cs="Times New Roman"/>
                <w:sz w:val="24"/>
              </w:rPr>
              <w:t>0.284</w:t>
            </w:r>
          </w:p>
        </w:tc>
      </w:tr>
    </w:tbl>
    <w:p w14:paraId="45D2032A">
      <w:pPr>
        <w:widowControl/>
        <w:snapToGrid w:val="0"/>
        <w:spacing w:line="360" w:lineRule="auto"/>
        <w:jc w:val="left"/>
        <w:textAlignment w:val="center"/>
        <w:rPr>
          <w:rFonts w:ascii="Times New Roman" w:hAnsi="Times New Roman" w:eastAsia="宋体" w:cs="Times New Roman"/>
          <w:i/>
          <w:iCs/>
          <w:sz w:val="20"/>
          <w:szCs w:val="20"/>
        </w:rPr>
      </w:pPr>
      <w:r>
        <w:rPr>
          <w:rFonts w:ascii="Times New Roman" w:hAnsi="Times New Roman" w:eastAsia="宋体" w:cs="Times New Roman"/>
          <w:i/>
          <w:iCs/>
          <w:sz w:val="20"/>
          <w:szCs w:val="20"/>
        </w:rPr>
        <w:t>Note: Absolute loading magnitude reflects the relative contribution of each feature to the corresponding principal component.</w:t>
      </w:r>
    </w:p>
    <w:p w14:paraId="24D02EFD">
      <w:pPr>
        <w:spacing w:line="360" w:lineRule="auto"/>
        <w:jc w:val="left"/>
        <w:rPr>
          <w:rFonts w:ascii="Times New Roman" w:hAnsi="Times New Roman" w:cs="Times New Roman"/>
          <w:b/>
          <w:bCs/>
          <w:sz w:val="24"/>
          <w:szCs w:val="32"/>
        </w:rPr>
      </w:pPr>
    </w:p>
    <w:p w14:paraId="61A75362">
      <w:pPr>
        <w:spacing w:line="360" w:lineRule="auto"/>
        <w:jc w:val="left"/>
        <w:rPr>
          <w:rFonts w:ascii="Times New Roman" w:hAnsi="Times New Roman" w:cs="Times New Roman"/>
          <w:b/>
          <w:bCs/>
          <w:sz w:val="24"/>
          <w:szCs w:val="32"/>
        </w:rPr>
      </w:pPr>
      <w:r>
        <w:rPr>
          <w:rFonts w:ascii="Times New Roman" w:hAnsi="Times New Roman" w:cs="Times New Roman"/>
          <w:b/>
          <w:bCs/>
          <w:sz w:val="24"/>
          <w:szCs w:val="32"/>
        </w:rPr>
        <w:t xml:space="preserve">Supplementary Table </w:t>
      </w:r>
      <w:r>
        <w:rPr>
          <w:rFonts w:hint="eastAsia" w:ascii="Times New Roman" w:hAnsi="Times New Roman" w:cs="Times New Roman"/>
          <w:b/>
          <w:bCs/>
          <w:sz w:val="24"/>
          <w:szCs w:val="32"/>
          <w:lang w:val="en-US" w:eastAsia="zh-CN"/>
        </w:rPr>
        <w:t>S</w:t>
      </w:r>
      <w:r>
        <w:rPr>
          <w:rFonts w:ascii="Times New Roman" w:hAnsi="Times New Roman" w:cs="Times New Roman"/>
          <w:b/>
          <w:bCs/>
          <w:sz w:val="24"/>
          <w:szCs w:val="32"/>
        </w:rPr>
        <w:t>5: Analysis of the Consistency of Multi-parameter Spectral CT Between Two Radiologists</w:t>
      </w:r>
    </w:p>
    <w:tbl>
      <w:tblPr>
        <w:tblStyle w:val="6"/>
        <w:tblW w:w="9241" w:type="dxa"/>
        <w:jc w:val="center"/>
        <w:tblLayout w:type="autofit"/>
        <w:tblCellMar>
          <w:top w:w="0" w:type="dxa"/>
          <w:left w:w="108" w:type="dxa"/>
          <w:bottom w:w="0" w:type="dxa"/>
          <w:right w:w="108" w:type="dxa"/>
        </w:tblCellMar>
      </w:tblPr>
      <w:tblGrid>
        <w:gridCol w:w="1035"/>
        <w:gridCol w:w="1667"/>
        <w:gridCol w:w="1768"/>
        <w:gridCol w:w="1601"/>
        <w:gridCol w:w="1780"/>
        <w:gridCol w:w="1390"/>
      </w:tblGrid>
      <w:tr w14:paraId="5143245D">
        <w:tblPrEx>
          <w:tblCellMar>
            <w:top w:w="0" w:type="dxa"/>
            <w:left w:w="108" w:type="dxa"/>
            <w:bottom w:w="0" w:type="dxa"/>
            <w:right w:w="108" w:type="dxa"/>
          </w:tblCellMar>
        </w:tblPrEx>
        <w:trPr>
          <w:tblHeader/>
          <w:jc w:val="center"/>
        </w:trPr>
        <w:tc>
          <w:tcPr>
            <w:tcW w:w="1035" w:type="dxa"/>
            <w:tcBorders>
              <w:top w:val="single" w:color="auto" w:sz="12" w:space="0"/>
              <w:left w:val="nil"/>
              <w:bottom w:val="single" w:color="auto" w:sz="4" w:space="0"/>
              <w:right w:val="nil"/>
            </w:tcBorders>
            <w:shd w:val="clear" w:color="auto" w:fill="FFFFFF"/>
            <w:tcMar>
              <w:top w:w="0" w:type="dxa"/>
              <w:left w:w="0" w:type="dxa"/>
              <w:bottom w:w="0" w:type="dxa"/>
              <w:right w:w="0" w:type="dxa"/>
            </w:tcMar>
            <w:vAlign w:val="center"/>
          </w:tcPr>
          <w:p w14:paraId="6B36CEA2">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Times New Roman" w:cs="Times New Roman"/>
                <w:b/>
                <w:bCs/>
                <w:color w:val="000000"/>
                <w:kern w:val="0"/>
                <w:sz w:val="18"/>
                <w:szCs w:val="18"/>
                <w:lang w:eastAsia="en-US"/>
              </w:rPr>
            </w:pPr>
            <w:r>
              <w:rPr>
                <w:rFonts w:ascii="Times New Roman" w:hAnsi="Times New Roman" w:eastAsia="Times New Roman" w:cs="Times New Roman"/>
                <w:b/>
                <w:bCs/>
                <w:color w:val="000000"/>
                <w:kern w:val="0"/>
                <w:sz w:val="18"/>
                <w:szCs w:val="18"/>
                <w:lang w:eastAsia="en-US"/>
              </w:rPr>
              <w:t>Variables</w:t>
            </w:r>
          </w:p>
        </w:tc>
        <w:tc>
          <w:tcPr>
            <w:tcW w:w="1667" w:type="dxa"/>
            <w:tcBorders>
              <w:top w:val="single" w:color="auto" w:sz="12" w:space="0"/>
              <w:left w:val="nil"/>
              <w:bottom w:val="single" w:color="auto" w:sz="4" w:space="0"/>
              <w:right w:val="nil"/>
            </w:tcBorders>
            <w:shd w:val="clear" w:color="auto" w:fill="FFFFFF"/>
            <w:tcMar>
              <w:top w:w="0" w:type="dxa"/>
              <w:left w:w="0" w:type="dxa"/>
              <w:bottom w:w="0" w:type="dxa"/>
              <w:right w:w="0" w:type="dxa"/>
            </w:tcMar>
            <w:vAlign w:val="center"/>
          </w:tcPr>
          <w:p w14:paraId="30A21C9B">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lang w:eastAsia="en-US"/>
              </w:rPr>
            </w:pPr>
            <w:r>
              <w:rPr>
                <w:rFonts w:ascii="Times New Roman" w:hAnsi="Times New Roman" w:eastAsia="Times New Roman" w:cs="Times New Roman"/>
                <w:b/>
                <w:bCs/>
                <w:color w:val="000000"/>
                <w:kern w:val="0"/>
                <w:sz w:val="18"/>
                <w:szCs w:val="18"/>
                <w:lang w:eastAsia="en-US"/>
              </w:rPr>
              <w:t>Radiologist 1</w:t>
            </w:r>
          </w:p>
          <w:p w14:paraId="5630349C">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rPr>
            </w:pPr>
            <w:r>
              <w:rPr>
                <w:rFonts w:ascii="Times New Roman" w:hAnsi="Times New Roman" w:eastAsia="Times New Roman" w:cs="Times New Roman"/>
                <w:b/>
                <w:bCs/>
                <w:color w:val="000000"/>
                <w:kern w:val="0"/>
                <w:sz w:val="18"/>
                <w:szCs w:val="18"/>
              </w:rPr>
              <w:t>（first reading）</w:t>
            </w:r>
          </w:p>
        </w:tc>
        <w:tc>
          <w:tcPr>
            <w:tcW w:w="1768" w:type="dxa"/>
            <w:tcBorders>
              <w:top w:val="single" w:color="auto" w:sz="12" w:space="0"/>
              <w:left w:val="nil"/>
              <w:bottom w:val="single" w:color="auto" w:sz="4" w:space="0"/>
              <w:right w:val="nil"/>
            </w:tcBorders>
            <w:shd w:val="clear" w:color="auto" w:fill="FFFFFF"/>
            <w:tcMar>
              <w:top w:w="0" w:type="dxa"/>
              <w:left w:w="0" w:type="dxa"/>
              <w:bottom w:w="0" w:type="dxa"/>
              <w:right w:w="0" w:type="dxa"/>
            </w:tcMar>
            <w:vAlign w:val="center"/>
          </w:tcPr>
          <w:p w14:paraId="125F1765">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rPr>
            </w:pPr>
            <w:r>
              <w:rPr>
                <w:rFonts w:ascii="Times New Roman" w:hAnsi="Times New Roman" w:eastAsia="Times New Roman" w:cs="Times New Roman"/>
                <w:b/>
                <w:bCs/>
                <w:color w:val="000000"/>
                <w:kern w:val="0"/>
                <w:sz w:val="18"/>
                <w:szCs w:val="18"/>
                <w:lang w:eastAsia="en-US"/>
              </w:rPr>
              <w:t>Radiologist</w:t>
            </w:r>
            <w:r>
              <w:rPr>
                <w:rFonts w:ascii="Times New Roman" w:hAnsi="Times New Roman" w:eastAsia="Times New Roman" w:cs="Times New Roman"/>
                <w:b/>
                <w:bCs/>
                <w:color w:val="000000"/>
                <w:kern w:val="0"/>
                <w:sz w:val="18"/>
                <w:szCs w:val="18"/>
              </w:rPr>
              <w:t xml:space="preserve"> 1</w:t>
            </w:r>
          </w:p>
          <w:p w14:paraId="6511458C">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lang w:eastAsia="en-US"/>
              </w:rPr>
            </w:pPr>
            <w:r>
              <w:rPr>
                <w:rFonts w:ascii="Times New Roman" w:hAnsi="Times New Roman" w:eastAsia="Times New Roman" w:cs="Times New Roman"/>
                <w:b/>
                <w:bCs/>
                <w:color w:val="000000"/>
                <w:kern w:val="0"/>
                <w:sz w:val="18"/>
                <w:szCs w:val="18"/>
              </w:rPr>
              <w:t>（second reading）</w:t>
            </w:r>
          </w:p>
        </w:tc>
        <w:tc>
          <w:tcPr>
            <w:tcW w:w="1601" w:type="dxa"/>
            <w:tcBorders>
              <w:top w:val="single" w:color="auto" w:sz="12" w:space="0"/>
              <w:left w:val="nil"/>
              <w:bottom w:val="single" w:color="auto" w:sz="4" w:space="0"/>
              <w:right w:val="nil"/>
            </w:tcBorders>
            <w:shd w:val="clear" w:color="auto" w:fill="FFFFFF"/>
            <w:tcMar>
              <w:top w:w="0" w:type="dxa"/>
              <w:left w:w="0" w:type="dxa"/>
              <w:bottom w:w="0" w:type="dxa"/>
              <w:right w:w="0" w:type="dxa"/>
            </w:tcMar>
            <w:vAlign w:val="center"/>
          </w:tcPr>
          <w:p w14:paraId="62A5ED1D">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rPr>
            </w:pPr>
            <w:r>
              <w:rPr>
                <w:rFonts w:ascii="Times New Roman" w:hAnsi="Times New Roman" w:eastAsia="Times New Roman" w:cs="Times New Roman"/>
                <w:b/>
                <w:bCs/>
                <w:color w:val="000000"/>
                <w:kern w:val="0"/>
                <w:sz w:val="18"/>
                <w:szCs w:val="18"/>
                <w:lang w:eastAsia="en-US"/>
              </w:rPr>
              <w:t>Radiologist</w:t>
            </w:r>
            <w:r>
              <w:rPr>
                <w:rFonts w:ascii="Times New Roman" w:hAnsi="Times New Roman" w:eastAsia="Times New Roman" w:cs="Times New Roman"/>
                <w:b/>
                <w:bCs/>
                <w:color w:val="000000"/>
                <w:kern w:val="0"/>
                <w:sz w:val="18"/>
                <w:szCs w:val="18"/>
              </w:rPr>
              <w:t xml:space="preserve"> 2</w:t>
            </w:r>
          </w:p>
          <w:p w14:paraId="128668E6">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lang w:eastAsia="en-US"/>
              </w:rPr>
            </w:pPr>
            <w:r>
              <w:rPr>
                <w:rFonts w:ascii="Times New Roman" w:hAnsi="Times New Roman" w:eastAsia="Times New Roman" w:cs="Times New Roman"/>
                <w:b/>
                <w:bCs/>
                <w:color w:val="000000"/>
                <w:kern w:val="0"/>
                <w:sz w:val="18"/>
                <w:szCs w:val="18"/>
              </w:rPr>
              <w:t>（first reading）</w:t>
            </w:r>
          </w:p>
        </w:tc>
        <w:tc>
          <w:tcPr>
            <w:tcW w:w="1780" w:type="dxa"/>
            <w:tcBorders>
              <w:top w:val="single" w:color="auto" w:sz="12" w:space="0"/>
              <w:left w:val="nil"/>
              <w:bottom w:val="single" w:color="auto" w:sz="4" w:space="0"/>
              <w:right w:val="nil"/>
            </w:tcBorders>
            <w:shd w:val="clear" w:color="auto" w:fill="FFFFFF"/>
            <w:tcMar>
              <w:top w:w="0" w:type="dxa"/>
              <w:left w:w="0" w:type="dxa"/>
              <w:bottom w:w="0" w:type="dxa"/>
              <w:right w:w="0" w:type="dxa"/>
            </w:tcMar>
            <w:vAlign w:val="center"/>
          </w:tcPr>
          <w:p w14:paraId="49730098">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color w:val="000000"/>
                <w:kern w:val="0"/>
                <w:sz w:val="18"/>
                <w:szCs w:val="18"/>
                <w:lang w:eastAsia="en-US"/>
              </w:rPr>
            </w:pPr>
            <w:r>
              <w:rPr>
                <w:rFonts w:ascii="Times New Roman" w:hAnsi="Times New Roman" w:eastAsia="Times New Roman" w:cs="Times New Roman"/>
                <w:b/>
                <w:bCs/>
                <w:color w:val="000000"/>
                <w:kern w:val="0"/>
                <w:sz w:val="18"/>
                <w:szCs w:val="18"/>
                <w:lang w:eastAsia="en-US"/>
              </w:rPr>
              <w:t>Intraobserver</w:t>
            </w:r>
            <w:r>
              <w:rPr>
                <w:rFonts w:ascii="Times New Roman" w:hAnsi="Times New Roman" w:eastAsia="Times New Roman" w:cs="Times New Roman"/>
                <w:b/>
                <w:bCs/>
                <w:color w:val="000000"/>
                <w:kern w:val="0"/>
                <w:sz w:val="18"/>
                <w:szCs w:val="18"/>
              </w:rPr>
              <w:t xml:space="preserve"> </w:t>
            </w:r>
            <w:r>
              <w:rPr>
                <w:rFonts w:ascii="Times New Roman" w:hAnsi="Times New Roman" w:eastAsia="Times New Roman" w:cs="Times New Roman"/>
                <w:b/>
                <w:bCs/>
                <w:color w:val="000000"/>
                <w:kern w:val="0"/>
                <w:sz w:val="18"/>
                <w:szCs w:val="18"/>
                <w:lang w:eastAsia="en-US"/>
              </w:rPr>
              <w:t>I</w:t>
            </w:r>
            <w:r>
              <w:rPr>
                <w:rFonts w:ascii="Times New Roman" w:hAnsi="Times New Roman" w:eastAsia="Times New Roman" w:cs="Times New Roman"/>
                <w:b/>
                <w:bCs/>
                <w:color w:val="000000"/>
                <w:kern w:val="0"/>
                <w:sz w:val="18"/>
                <w:szCs w:val="18"/>
              </w:rPr>
              <w:t>C</w:t>
            </w:r>
            <w:r>
              <w:rPr>
                <w:rFonts w:ascii="Times New Roman" w:hAnsi="Times New Roman" w:eastAsia="Times New Roman" w:cs="Times New Roman"/>
                <w:b/>
                <w:bCs/>
                <w:color w:val="000000"/>
                <w:kern w:val="0"/>
                <w:sz w:val="18"/>
                <w:szCs w:val="18"/>
                <w:lang w:eastAsia="en-US"/>
              </w:rPr>
              <w:t>C</w:t>
            </w:r>
          </w:p>
        </w:tc>
        <w:tc>
          <w:tcPr>
            <w:tcW w:w="1390" w:type="dxa"/>
            <w:tcBorders>
              <w:top w:val="single" w:color="auto" w:sz="12" w:space="0"/>
              <w:left w:val="nil"/>
              <w:bottom w:val="single" w:color="auto" w:sz="4" w:space="0"/>
              <w:right w:val="nil"/>
            </w:tcBorders>
            <w:shd w:val="clear" w:color="auto" w:fill="FFFFFF"/>
            <w:tcMar>
              <w:top w:w="0" w:type="dxa"/>
              <w:left w:w="0" w:type="dxa"/>
              <w:bottom w:w="0" w:type="dxa"/>
              <w:right w:w="0" w:type="dxa"/>
            </w:tcMar>
            <w:vAlign w:val="center"/>
          </w:tcPr>
          <w:p w14:paraId="5BEA942B">
            <w:pPr>
              <w:keepNext/>
              <w:widowControl/>
              <w:pBdr>
                <w:top w:val="none" w:color="000000" w:sz="0" w:space="0"/>
                <w:left w:val="none" w:color="000000" w:sz="0" w:space="0"/>
                <w:bottom w:val="none" w:color="000000" w:sz="0" w:space="0"/>
                <w:right w:val="none" w:color="000000" w:sz="0" w:space="0"/>
              </w:pBdr>
              <w:snapToGrid w:val="0"/>
              <w:spacing w:before="40" w:after="40" w:line="360" w:lineRule="auto"/>
              <w:jc w:val="center"/>
              <w:rPr>
                <w:rFonts w:ascii="Times New Roman" w:hAnsi="Times New Roman" w:eastAsia="Times New Roman" w:cs="Times New Roman"/>
                <w:b/>
                <w:bCs/>
                <w:iCs/>
                <w:color w:val="000000"/>
                <w:kern w:val="0"/>
                <w:sz w:val="18"/>
                <w:szCs w:val="18"/>
                <w:lang w:eastAsia="en-US"/>
              </w:rPr>
            </w:pPr>
            <w:r>
              <w:rPr>
                <w:rFonts w:ascii="Times New Roman" w:hAnsi="Times New Roman" w:eastAsia="Times New Roman" w:cs="Times New Roman"/>
                <w:b/>
                <w:bCs/>
                <w:iCs/>
                <w:color w:val="000000"/>
                <w:kern w:val="0"/>
                <w:sz w:val="18"/>
                <w:szCs w:val="18"/>
                <w:lang w:eastAsia="en-US"/>
              </w:rPr>
              <w:t>InterobserverICC</w:t>
            </w:r>
          </w:p>
        </w:tc>
      </w:tr>
      <w:tr w14:paraId="254B51A2">
        <w:tblPrEx>
          <w:tblCellMar>
            <w:top w:w="0" w:type="dxa"/>
            <w:left w:w="108" w:type="dxa"/>
            <w:bottom w:w="0" w:type="dxa"/>
            <w:right w:w="108" w:type="dxa"/>
          </w:tblCellMar>
        </w:tblPrEx>
        <w:trPr>
          <w:tblHeader/>
          <w:jc w:val="center"/>
        </w:trPr>
        <w:tc>
          <w:tcPr>
            <w:tcW w:w="1035" w:type="dxa"/>
            <w:tcBorders>
              <w:top w:val="single" w:color="auto" w:sz="4" w:space="0"/>
              <w:left w:val="nil"/>
              <w:bottom w:val="nil"/>
              <w:right w:val="nil"/>
            </w:tcBorders>
            <w:shd w:val="clear" w:color="auto" w:fill="FFFFFF"/>
            <w:tcMar>
              <w:top w:w="0" w:type="dxa"/>
              <w:left w:w="0" w:type="dxa"/>
              <w:bottom w:w="0" w:type="dxa"/>
              <w:right w:w="0" w:type="dxa"/>
            </w:tcMar>
            <w:vAlign w:val="center"/>
          </w:tcPr>
          <w:p w14:paraId="17D6EF76">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ICAP</w:t>
            </w:r>
          </w:p>
        </w:tc>
        <w:tc>
          <w:tcPr>
            <w:tcW w:w="1667" w:type="dxa"/>
            <w:tcBorders>
              <w:top w:val="single" w:color="auto" w:sz="4" w:space="0"/>
              <w:left w:val="nil"/>
              <w:bottom w:val="nil"/>
              <w:right w:val="nil"/>
            </w:tcBorders>
            <w:shd w:val="clear" w:color="auto" w:fill="FFFFFF"/>
            <w:tcMar>
              <w:top w:w="0" w:type="dxa"/>
              <w:left w:w="0" w:type="dxa"/>
              <w:bottom w:w="0" w:type="dxa"/>
              <w:right w:w="0" w:type="dxa"/>
            </w:tcMar>
            <w:vAlign w:val="center"/>
          </w:tcPr>
          <w:p w14:paraId="2BAD3605">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13.23 (11.00, 16.97)</w:t>
            </w:r>
          </w:p>
        </w:tc>
        <w:tc>
          <w:tcPr>
            <w:tcW w:w="1768" w:type="dxa"/>
            <w:tcBorders>
              <w:top w:val="single" w:color="auto" w:sz="4" w:space="0"/>
              <w:left w:val="nil"/>
              <w:bottom w:val="nil"/>
              <w:right w:val="nil"/>
            </w:tcBorders>
            <w:shd w:val="clear" w:color="auto" w:fill="FFFFFF"/>
            <w:tcMar>
              <w:top w:w="0" w:type="dxa"/>
              <w:left w:w="0" w:type="dxa"/>
              <w:bottom w:w="0" w:type="dxa"/>
              <w:right w:w="0" w:type="dxa"/>
            </w:tcMar>
            <w:vAlign w:val="center"/>
          </w:tcPr>
          <w:p w14:paraId="2EFE217A">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13.39 (10.65, 16.96)</w:t>
            </w:r>
          </w:p>
        </w:tc>
        <w:tc>
          <w:tcPr>
            <w:tcW w:w="1601" w:type="dxa"/>
            <w:tcBorders>
              <w:top w:val="single" w:color="auto" w:sz="4" w:space="0"/>
              <w:left w:val="nil"/>
              <w:bottom w:val="nil"/>
              <w:right w:val="nil"/>
            </w:tcBorders>
            <w:shd w:val="clear" w:color="auto" w:fill="FFFFFF"/>
            <w:tcMar>
              <w:top w:w="0" w:type="dxa"/>
              <w:left w:w="0" w:type="dxa"/>
              <w:bottom w:w="0" w:type="dxa"/>
              <w:right w:w="0" w:type="dxa"/>
            </w:tcMar>
            <w:vAlign w:val="center"/>
          </w:tcPr>
          <w:p w14:paraId="66571FFB">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13.62 (10.63, 18.05)</w:t>
            </w:r>
          </w:p>
        </w:tc>
        <w:tc>
          <w:tcPr>
            <w:tcW w:w="1780" w:type="dxa"/>
            <w:tcBorders>
              <w:top w:val="single" w:color="auto" w:sz="4" w:space="0"/>
              <w:left w:val="nil"/>
              <w:bottom w:val="nil"/>
              <w:right w:val="nil"/>
            </w:tcBorders>
            <w:shd w:val="clear" w:color="auto" w:fill="FFFFFF"/>
            <w:tcMar>
              <w:top w:w="0" w:type="dxa"/>
              <w:left w:w="0" w:type="dxa"/>
              <w:bottom w:w="0" w:type="dxa"/>
              <w:right w:w="0" w:type="dxa"/>
            </w:tcMar>
            <w:vAlign w:val="center"/>
          </w:tcPr>
          <w:p w14:paraId="3772D825">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0.909</w:t>
            </w:r>
          </w:p>
        </w:tc>
        <w:tc>
          <w:tcPr>
            <w:tcW w:w="1390" w:type="dxa"/>
            <w:tcBorders>
              <w:top w:val="single" w:color="auto" w:sz="4" w:space="0"/>
              <w:left w:val="nil"/>
              <w:bottom w:val="nil"/>
              <w:right w:val="nil"/>
            </w:tcBorders>
            <w:shd w:val="clear" w:color="auto" w:fill="FFFFFF"/>
            <w:tcMar>
              <w:top w:w="0" w:type="dxa"/>
              <w:left w:w="0" w:type="dxa"/>
              <w:bottom w:w="0" w:type="dxa"/>
              <w:right w:w="0" w:type="dxa"/>
            </w:tcMar>
            <w:vAlign w:val="center"/>
          </w:tcPr>
          <w:p w14:paraId="4BDAD5D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0.907</w:t>
            </w:r>
          </w:p>
        </w:tc>
      </w:tr>
      <w:tr w14:paraId="077FDC3A">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55877F3A">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ICaAP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4A28C9EF">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120.34(101.14, 140.22)</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19D7A4F3">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128.18 (100.55, 145.13)</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00DFD0E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126.47 (106.23, 148.78)</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255ED4F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0.958</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421DACE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0.908</w:t>
            </w:r>
          </w:p>
        </w:tc>
      </w:tr>
      <w:tr w14:paraId="478797E9">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4F3049E0">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nICAP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0A8F080B">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0.11 (0.08, 0.14)</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2C34568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0.11 (0.08, 0.14)</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6EE84C49">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0.11 (0.08, 0.15)</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60C3852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0.950</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47D8141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0.958</w:t>
            </w:r>
          </w:p>
        </w:tc>
      </w:tr>
      <w:tr w14:paraId="1A4DFF19">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37DBB284">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lang w:eastAsia="en-US"/>
              </w:rPr>
              <w:t>40kevAP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025C48E0">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136.03 (116.55, 166.37)</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2964617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137.26 (114.46, 171.05)</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0AFBCC88">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140.42 (114.25, 188.00)</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78E22DA8">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0.771</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17FE8556">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0.857</w:t>
            </w:r>
          </w:p>
        </w:tc>
      </w:tr>
      <w:tr w14:paraId="5BF0B782">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3D40272B">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70kevAP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612B623A">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62.92 (53.46, 72.02)</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58644175">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63.57 (53.07, 73.48)</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192FFF0C">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64.44 (50.87, 82.42)</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61582528">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0.722</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0D965969">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0.813</w:t>
            </w:r>
          </w:p>
        </w:tc>
      </w:tr>
      <w:tr w14:paraId="282629E8">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3CBCD011">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ICVP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3286EDD9">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16.64 (13.98, 20.56)</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7D5F7738">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16.34 (13.79, 19.75)</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526D93EE">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16.82 (13.57, 20.53)</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50D10393">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0.846</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7D8310B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0.895</w:t>
            </w:r>
          </w:p>
        </w:tc>
      </w:tr>
      <w:tr w14:paraId="48297B76">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5B227DE0">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ICaVP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5543D6FC">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38.89 (34.43, 41.67)</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269B6EDE">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39.64 (34.87, 42.39)</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33F91503">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38.87 (33.78, 41.88)</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75A7F02C">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0.954</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46B5D141">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0.905</w:t>
            </w:r>
          </w:p>
        </w:tc>
      </w:tr>
      <w:tr w14:paraId="3A7F9F85">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7A723754">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nICVP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0AC18D13">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0.39 (0.35, 0.51)</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3E4DD99C">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0.40 (0.33, 0.46)</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4BA208FE">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0.42 (0.35, 0.50)</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223FD184">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0.850</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0555753F">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0.887</w:t>
            </w:r>
          </w:p>
        </w:tc>
      </w:tr>
      <w:tr w14:paraId="3F29C108">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4D177C8B">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lang w:eastAsia="en-US"/>
              </w:rPr>
              <w:t>40kev</w:t>
            </w:r>
            <w:r>
              <w:rPr>
                <w:rFonts w:ascii="Times New Roman" w:hAnsi="Times New Roman" w:eastAsia="宋体" w:cs="Times New Roman"/>
                <w:color w:val="000000"/>
                <w:kern w:val="0"/>
                <w:sz w:val="18"/>
                <w:szCs w:val="18"/>
              </w:rPr>
              <w:t>V</w:t>
            </w:r>
            <w:r>
              <w:rPr>
                <w:rFonts w:ascii="Times New Roman" w:hAnsi="Times New Roman" w:eastAsia="宋体" w:cs="Times New Roman"/>
                <w:color w:val="000000"/>
                <w:kern w:val="0"/>
                <w:sz w:val="18"/>
                <w:szCs w:val="18"/>
                <w:lang w:eastAsia="en-US"/>
              </w:rPr>
              <w:t>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1911C86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169.98 ± 37.49</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5A42AE99">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173.84 ± 46.36</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4B311BD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167.94 ± 41.10</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3605F56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0.959</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1DA43248">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0.904</w:t>
            </w:r>
          </w:p>
        </w:tc>
      </w:tr>
      <w:tr w14:paraId="0F2438D5">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3FDF37AF">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70kevVP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7167FE00">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72.67 ± 14.61</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3D884681">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74.20 ± 18.81</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30058A1F">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71.47 ± 16.34</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5F909722">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0.951</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4902E551">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0.884</w:t>
            </w:r>
          </w:p>
        </w:tc>
      </w:tr>
      <w:tr w14:paraId="2D15C1C0">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7BA50623">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ICDP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04E966DA">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16.11 ± 4.16</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091B6FAC">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17.20 ± 4.48</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7C97CEFB">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17.10 ± 4.50</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66EC678C">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0.889</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164D4326">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0.911</w:t>
            </w:r>
          </w:p>
        </w:tc>
      </w:tr>
      <w:tr w14:paraId="554E06A5">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36B6BE63">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ICaDP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1BB2BB6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27.45 (24.73, 29.83)</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32CD07CF">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26.46 (21.61, 32.96)</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7EB1676A">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26.01 (21.57, 31.20)</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76D937D4">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0.847</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063FB6A2">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0.780</w:t>
            </w:r>
          </w:p>
        </w:tc>
      </w:tr>
      <w:tr w14:paraId="4CAD1856">
        <w:tblPrEx>
          <w:tblCellMar>
            <w:top w:w="0" w:type="dxa"/>
            <w:left w:w="108" w:type="dxa"/>
            <w:bottom w:w="0" w:type="dxa"/>
            <w:right w:w="108" w:type="dxa"/>
          </w:tblCellMar>
        </w:tblPrEx>
        <w:trPr>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2D61BEB6">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nICDP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19DE0CA2">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0.56 ± 0.13</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76976563">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0.59 ± 0.13</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29196C32">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0.59 ± 0.15</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4F587CE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0.861</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10BD63DF">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0.894</w:t>
            </w:r>
          </w:p>
        </w:tc>
      </w:tr>
      <w:tr w14:paraId="75982EBC">
        <w:tblPrEx>
          <w:tblCellMar>
            <w:top w:w="0" w:type="dxa"/>
            <w:left w:w="108" w:type="dxa"/>
            <w:bottom w:w="0" w:type="dxa"/>
            <w:right w:w="108" w:type="dxa"/>
          </w:tblCellMar>
        </w:tblPrEx>
        <w:trPr>
          <w:trHeight w:val="90" w:hRule="atLeast"/>
          <w:tblHeader/>
          <w:jc w:val="center"/>
        </w:trPr>
        <w:tc>
          <w:tcPr>
            <w:tcW w:w="1035" w:type="dxa"/>
            <w:tcBorders>
              <w:top w:val="nil"/>
              <w:left w:val="nil"/>
              <w:bottom w:val="nil"/>
              <w:right w:val="nil"/>
            </w:tcBorders>
            <w:shd w:val="clear" w:color="auto" w:fill="FFFFFF"/>
            <w:tcMar>
              <w:top w:w="0" w:type="dxa"/>
              <w:left w:w="0" w:type="dxa"/>
              <w:bottom w:w="0" w:type="dxa"/>
              <w:right w:w="0" w:type="dxa"/>
            </w:tcMar>
            <w:vAlign w:val="center"/>
          </w:tcPr>
          <w:p w14:paraId="278B692B">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lang w:eastAsia="en-US"/>
              </w:rPr>
              <w:t>40kev</w:t>
            </w:r>
            <w:r>
              <w:rPr>
                <w:rFonts w:ascii="Times New Roman" w:hAnsi="Times New Roman" w:eastAsia="宋体" w:cs="Times New Roman"/>
                <w:color w:val="000000"/>
                <w:kern w:val="0"/>
                <w:sz w:val="18"/>
                <w:szCs w:val="18"/>
              </w:rPr>
              <w:t>D</w:t>
            </w:r>
            <w:r>
              <w:rPr>
                <w:rFonts w:ascii="Times New Roman" w:hAnsi="Times New Roman" w:eastAsia="宋体" w:cs="Times New Roman"/>
                <w:color w:val="000000"/>
                <w:kern w:val="0"/>
                <w:sz w:val="18"/>
                <w:szCs w:val="18"/>
                <w:lang w:eastAsia="en-US"/>
              </w:rPr>
              <w:t>P</w:t>
            </w:r>
          </w:p>
        </w:tc>
        <w:tc>
          <w:tcPr>
            <w:tcW w:w="1667" w:type="dxa"/>
            <w:tcBorders>
              <w:top w:val="nil"/>
              <w:left w:val="nil"/>
              <w:bottom w:val="nil"/>
              <w:right w:val="nil"/>
            </w:tcBorders>
            <w:shd w:val="clear" w:color="auto" w:fill="FFFFFF"/>
            <w:tcMar>
              <w:top w:w="0" w:type="dxa"/>
              <w:left w:w="0" w:type="dxa"/>
              <w:bottom w:w="0" w:type="dxa"/>
              <w:right w:w="0" w:type="dxa"/>
            </w:tcMar>
            <w:vAlign w:val="center"/>
          </w:tcPr>
          <w:p w14:paraId="2A4E6CD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171.16 ± 39.89</w:t>
            </w:r>
          </w:p>
        </w:tc>
        <w:tc>
          <w:tcPr>
            <w:tcW w:w="1768" w:type="dxa"/>
            <w:tcBorders>
              <w:top w:val="nil"/>
              <w:left w:val="nil"/>
              <w:bottom w:val="nil"/>
              <w:right w:val="nil"/>
            </w:tcBorders>
            <w:shd w:val="clear" w:color="auto" w:fill="FFFFFF"/>
            <w:tcMar>
              <w:top w:w="0" w:type="dxa"/>
              <w:left w:w="0" w:type="dxa"/>
              <w:bottom w:w="0" w:type="dxa"/>
              <w:right w:w="0" w:type="dxa"/>
            </w:tcMar>
            <w:vAlign w:val="center"/>
          </w:tcPr>
          <w:p w14:paraId="1DB336C0">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172.19 ± 38.55</w:t>
            </w:r>
          </w:p>
        </w:tc>
        <w:tc>
          <w:tcPr>
            <w:tcW w:w="1601" w:type="dxa"/>
            <w:tcBorders>
              <w:top w:val="nil"/>
              <w:left w:val="nil"/>
              <w:bottom w:val="nil"/>
              <w:right w:val="nil"/>
            </w:tcBorders>
            <w:shd w:val="clear" w:color="auto" w:fill="FFFFFF"/>
            <w:tcMar>
              <w:top w:w="0" w:type="dxa"/>
              <w:left w:w="0" w:type="dxa"/>
              <w:bottom w:w="0" w:type="dxa"/>
              <w:right w:w="0" w:type="dxa"/>
            </w:tcMar>
            <w:vAlign w:val="center"/>
          </w:tcPr>
          <w:p w14:paraId="7F481CC4">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164.06 ± 43.75</w:t>
            </w:r>
          </w:p>
        </w:tc>
        <w:tc>
          <w:tcPr>
            <w:tcW w:w="1780" w:type="dxa"/>
            <w:tcBorders>
              <w:top w:val="nil"/>
              <w:left w:val="nil"/>
              <w:bottom w:val="nil"/>
              <w:right w:val="nil"/>
            </w:tcBorders>
            <w:shd w:val="clear" w:color="auto" w:fill="FFFFFF"/>
            <w:tcMar>
              <w:top w:w="0" w:type="dxa"/>
              <w:left w:w="0" w:type="dxa"/>
              <w:bottom w:w="0" w:type="dxa"/>
              <w:right w:w="0" w:type="dxa"/>
            </w:tcMar>
            <w:vAlign w:val="center"/>
          </w:tcPr>
          <w:p w14:paraId="0C84942D">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0.869</w:t>
            </w:r>
          </w:p>
        </w:tc>
        <w:tc>
          <w:tcPr>
            <w:tcW w:w="1390" w:type="dxa"/>
            <w:tcBorders>
              <w:top w:val="nil"/>
              <w:left w:val="nil"/>
              <w:bottom w:val="nil"/>
              <w:right w:val="nil"/>
            </w:tcBorders>
            <w:shd w:val="clear" w:color="auto" w:fill="FFFFFF"/>
            <w:tcMar>
              <w:top w:w="0" w:type="dxa"/>
              <w:left w:w="0" w:type="dxa"/>
              <w:bottom w:w="0" w:type="dxa"/>
              <w:right w:w="0" w:type="dxa"/>
            </w:tcMar>
            <w:vAlign w:val="center"/>
          </w:tcPr>
          <w:p w14:paraId="55353752">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0.826</w:t>
            </w:r>
          </w:p>
        </w:tc>
      </w:tr>
      <w:tr w14:paraId="5CEEDD0F">
        <w:tblPrEx>
          <w:tblCellMar>
            <w:top w:w="0" w:type="dxa"/>
            <w:left w:w="108" w:type="dxa"/>
            <w:bottom w:w="0" w:type="dxa"/>
            <w:right w:w="108" w:type="dxa"/>
          </w:tblCellMar>
        </w:tblPrEx>
        <w:trPr>
          <w:tblHeader/>
          <w:jc w:val="center"/>
        </w:trPr>
        <w:tc>
          <w:tcPr>
            <w:tcW w:w="1035" w:type="dxa"/>
            <w:tcBorders>
              <w:top w:val="nil"/>
              <w:left w:val="nil"/>
              <w:bottom w:val="single" w:color="auto" w:sz="12" w:space="0"/>
              <w:right w:val="nil"/>
            </w:tcBorders>
            <w:shd w:val="clear" w:color="auto" w:fill="FFFFFF"/>
            <w:tcMar>
              <w:top w:w="0" w:type="dxa"/>
              <w:left w:w="0" w:type="dxa"/>
              <w:bottom w:w="0" w:type="dxa"/>
              <w:right w:w="0" w:type="dxa"/>
            </w:tcMar>
            <w:vAlign w:val="center"/>
          </w:tcPr>
          <w:p w14:paraId="6A45DC5A">
            <w:pPr>
              <w:keepNext/>
              <w:widowControl/>
              <w:pBdr>
                <w:top w:val="none" w:color="000000" w:sz="0" w:space="0"/>
                <w:left w:val="none" w:color="000000" w:sz="0" w:space="0"/>
                <w:bottom w:val="none" w:color="000000" w:sz="0" w:space="0"/>
                <w:right w:val="none" w:color="000000" w:sz="0" w:space="0"/>
              </w:pBdr>
              <w:snapToGrid w:val="0"/>
              <w:spacing w:line="360" w:lineRule="auto"/>
              <w:jc w:val="center"/>
              <w:rPr>
                <w:rFonts w:ascii="Times New Roman" w:hAnsi="Times New Roman" w:eastAsia="宋体" w:cs="Times New Roman"/>
                <w:color w:val="000000"/>
                <w:kern w:val="0"/>
                <w:sz w:val="18"/>
                <w:szCs w:val="18"/>
                <w:lang w:eastAsia="en-US"/>
              </w:rPr>
            </w:pPr>
            <w:r>
              <w:rPr>
                <w:rFonts w:ascii="Times New Roman" w:hAnsi="Times New Roman" w:eastAsia="宋体" w:cs="Times New Roman"/>
                <w:color w:val="000000"/>
                <w:kern w:val="0"/>
                <w:sz w:val="18"/>
                <w:szCs w:val="18"/>
              </w:rPr>
              <w:t>7</w:t>
            </w:r>
            <w:r>
              <w:rPr>
                <w:rFonts w:ascii="Times New Roman" w:hAnsi="Times New Roman" w:eastAsia="宋体" w:cs="Times New Roman"/>
                <w:color w:val="000000"/>
                <w:kern w:val="0"/>
                <w:sz w:val="18"/>
                <w:szCs w:val="18"/>
                <w:lang w:eastAsia="en-US"/>
              </w:rPr>
              <w:t>0kev</w:t>
            </w:r>
            <w:r>
              <w:rPr>
                <w:rFonts w:ascii="Times New Roman" w:hAnsi="Times New Roman" w:eastAsia="宋体" w:cs="Times New Roman"/>
                <w:color w:val="000000"/>
                <w:kern w:val="0"/>
                <w:sz w:val="18"/>
                <w:szCs w:val="18"/>
              </w:rPr>
              <w:t>D</w:t>
            </w:r>
            <w:r>
              <w:rPr>
                <w:rFonts w:ascii="Times New Roman" w:hAnsi="Times New Roman" w:eastAsia="宋体" w:cs="Times New Roman"/>
                <w:color w:val="000000"/>
                <w:kern w:val="0"/>
                <w:sz w:val="18"/>
                <w:szCs w:val="18"/>
                <w:lang w:eastAsia="en-US"/>
              </w:rPr>
              <w:t>P</w:t>
            </w:r>
          </w:p>
        </w:tc>
        <w:tc>
          <w:tcPr>
            <w:tcW w:w="1667" w:type="dxa"/>
            <w:tcBorders>
              <w:top w:val="nil"/>
              <w:left w:val="nil"/>
              <w:bottom w:val="single" w:color="auto" w:sz="12" w:space="0"/>
              <w:right w:val="nil"/>
            </w:tcBorders>
            <w:shd w:val="clear" w:color="auto" w:fill="FFFFFF"/>
            <w:tcMar>
              <w:top w:w="0" w:type="dxa"/>
              <w:left w:w="0" w:type="dxa"/>
              <w:bottom w:w="0" w:type="dxa"/>
              <w:right w:w="0" w:type="dxa"/>
            </w:tcMar>
            <w:vAlign w:val="center"/>
          </w:tcPr>
          <w:p w14:paraId="152364DB">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73.98 ± 15.80</w:t>
            </w:r>
          </w:p>
        </w:tc>
        <w:tc>
          <w:tcPr>
            <w:tcW w:w="1768" w:type="dxa"/>
            <w:tcBorders>
              <w:top w:val="nil"/>
              <w:left w:val="nil"/>
              <w:bottom w:val="single" w:color="auto" w:sz="12" w:space="0"/>
              <w:right w:val="nil"/>
            </w:tcBorders>
            <w:shd w:val="clear" w:color="auto" w:fill="FFFFFF"/>
            <w:tcMar>
              <w:top w:w="0" w:type="dxa"/>
              <w:left w:w="0" w:type="dxa"/>
              <w:bottom w:w="0" w:type="dxa"/>
              <w:right w:w="0" w:type="dxa"/>
            </w:tcMar>
            <w:vAlign w:val="center"/>
          </w:tcPr>
          <w:p w14:paraId="09E0D837">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74.74 ± 15.30</w:t>
            </w:r>
          </w:p>
        </w:tc>
        <w:tc>
          <w:tcPr>
            <w:tcW w:w="1601" w:type="dxa"/>
            <w:tcBorders>
              <w:top w:val="nil"/>
              <w:left w:val="nil"/>
              <w:bottom w:val="single" w:color="auto" w:sz="12" w:space="0"/>
              <w:right w:val="nil"/>
            </w:tcBorders>
            <w:shd w:val="clear" w:color="auto" w:fill="FFFFFF"/>
            <w:tcMar>
              <w:top w:w="0" w:type="dxa"/>
              <w:left w:w="0" w:type="dxa"/>
              <w:bottom w:w="0" w:type="dxa"/>
              <w:right w:w="0" w:type="dxa"/>
            </w:tcMar>
            <w:vAlign w:val="center"/>
          </w:tcPr>
          <w:p w14:paraId="11D3615E">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71.63 ± 15.07</w:t>
            </w:r>
          </w:p>
        </w:tc>
        <w:tc>
          <w:tcPr>
            <w:tcW w:w="1780" w:type="dxa"/>
            <w:tcBorders>
              <w:top w:val="nil"/>
              <w:left w:val="nil"/>
              <w:bottom w:val="single" w:color="auto" w:sz="12" w:space="0"/>
              <w:right w:val="nil"/>
            </w:tcBorders>
            <w:shd w:val="clear" w:color="auto" w:fill="FFFFFF"/>
            <w:tcMar>
              <w:top w:w="0" w:type="dxa"/>
              <w:left w:w="0" w:type="dxa"/>
              <w:bottom w:w="0" w:type="dxa"/>
              <w:right w:w="0" w:type="dxa"/>
            </w:tcMar>
            <w:vAlign w:val="center"/>
          </w:tcPr>
          <w:p w14:paraId="754B0D24">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0.817</w:t>
            </w:r>
          </w:p>
        </w:tc>
        <w:tc>
          <w:tcPr>
            <w:tcW w:w="1390" w:type="dxa"/>
            <w:tcBorders>
              <w:top w:val="nil"/>
              <w:left w:val="nil"/>
              <w:bottom w:val="single" w:color="auto" w:sz="12" w:space="0"/>
              <w:right w:val="nil"/>
            </w:tcBorders>
            <w:shd w:val="clear" w:color="auto" w:fill="FFFFFF"/>
            <w:tcMar>
              <w:top w:w="0" w:type="dxa"/>
              <w:left w:w="0" w:type="dxa"/>
              <w:bottom w:w="0" w:type="dxa"/>
              <w:right w:w="0" w:type="dxa"/>
            </w:tcMar>
            <w:vAlign w:val="center"/>
          </w:tcPr>
          <w:p w14:paraId="5B440E8B">
            <w:pPr>
              <w:keepNext/>
              <w:snapToGrid w:val="0"/>
              <w:spacing w:line="360" w:lineRule="auto"/>
              <w:jc w:val="center"/>
              <w:rPr>
                <w:rFonts w:ascii="Times New Roman" w:hAnsi="Times New Roman" w:cs="Times New Roman"/>
                <w:sz w:val="18"/>
                <w:szCs w:val="18"/>
              </w:rPr>
            </w:pPr>
            <w:r>
              <w:rPr>
                <w:rFonts w:ascii="Times New Roman" w:hAnsi="Times New Roman" w:cs="Times New Roman"/>
                <w:sz w:val="18"/>
                <w:szCs w:val="18"/>
              </w:rPr>
              <w:t>0.844</w:t>
            </w:r>
          </w:p>
        </w:tc>
      </w:tr>
    </w:tbl>
    <w:p w14:paraId="52A37E3C">
      <w:pPr>
        <w:rPr>
          <w:rFonts w:ascii="Times New Roman" w:hAnsi="Times New Roman" w:eastAsia="宋体" w:cs="Times New Roman"/>
          <w:i/>
          <w:iCs/>
          <w:kern w:val="0"/>
          <w:sz w:val="20"/>
          <w:szCs w:val="21"/>
        </w:rPr>
      </w:pPr>
      <w:r>
        <w:rPr>
          <w:rFonts w:ascii="Times New Roman" w:hAnsi="Times New Roman" w:eastAsia="宋体" w:cs="Times New Roman"/>
          <w:i/>
          <w:iCs/>
          <w:sz w:val="20"/>
          <w:szCs w:val="20"/>
        </w:rPr>
        <w:t xml:space="preserve">The consistency of spectral CT parameters was excellent, with intraobserver ICC values ranging from 0.722 to 0.959 and interobserver ICC values ranging from 0.780 to 0.958. </w:t>
      </w:r>
    </w:p>
    <w:p w14:paraId="652EB250">
      <w:pPr>
        <w:spacing w:line="360" w:lineRule="auto"/>
        <w:jc w:val="left"/>
        <w:rPr>
          <w:rFonts w:ascii="Times New Roman" w:hAnsi="Times New Roman" w:eastAsia="宋体" w:cs="Times New Roman"/>
          <w:sz w:val="24"/>
        </w:rPr>
      </w:pPr>
    </w:p>
    <w:p w14:paraId="4B7BA431">
      <w:pPr>
        <w:spacing w:line="360" w:lineRule="auto"/>
        <w:jc w:val="left"/>
        <w:rPr>
          <w:rFonts w:ascii="Times New Roman" w:hAnsi="Times New Roman" w:cs="Times New Roman"/>
          <w:b/>
          <w:bCs/>
          <w:sz w:val="28"/>
          <w:szCs w:val="36"/>
        </w:rPr>
      </w:pPr>
      <w:r>
        <w:rPr>
          <w:rFonts w:ascii="Times New Roman" w:hAnsi="Times New Roman" w:eastAsia="宋体" w:cs="Times New Roman"/>
          <w:sz w:val="24"/>
        </w:rPr>
        <w:t>The two observers demonstrated high interreader agreement in assessing the ctSI, ctEMVI, ctOPM, and ctLVI statuses, with κ values of 0.68,0.752, 0.711 and 0.701 respectively.</w:t>
      </w:r>
    </w:p>
    <w:p w14:paraId="6156D2AD">
      <w:pPr>
        <w:spacing w:after="156" w:afterLines="50" w:line="360" w:lineRule="auto"/>
        <w:rPr>
          <w:rFonts w:ascii="Times New Roman" w:hAnsi="Times New Roman" w:eastAsia="宋体" w:cs="Times New Roman"/>
          <w:kern w:val="0"/>
          <w:sz w:val="24"/>
        </w:rPr>
      </w:pPr>
      <w:r>
        <w:rPr>
          <w:rFonts w:ascii="Times New Roman" w:hAnsi="Times New Roman" w:eastAsia="宋体" w:cs="Times New Roman"/>
          <w:b/>
          <w:bCs/>
          <w:kern w:val="0"/>
          <w:sz w:val="24"/>
        </w:rPr>
        <w:t xml:space="preserve">Supplementary Table </w:t>
      </w:r>
      <w:r>
        <w:rPr>
          <w:rFonts w:hint="eastAsia" w:ascii="Times New Roman" w:hAnsi="Times New Roman" w:eastAsia="宋体" w:cs="Times New Roman"/>
          <w:b/>
          <w:bCs/>
          <w:kern w:val="0"/>
          <w:sz w:val="24"/>
          <w:lang w:val="en-US" w:eastAsia="zh-CN"/>
        </w:rPr>
        <w:t>S</w:t>
      </w:r>
      <w:r>
        <w:rPr>
          <w:rFonts w:ascii="Times New Roman" w:hAnsi="Times New Roman" w:eastAsia="宋体" w:cs="Times New Roman"/>
          <w:b/>
          <w:bCs/>
          <w:kern w:val="0"/>
          <w:sz w:val="24"/>
        </w:rPr>
        <w:t xml:space="preserve">6: </w:t>
      </w:r>
      <w:r>
        <w:rPr>
          <w:rFonts w:ascii="Times New Roman" w:hAnsi="Times New Roman" w:eastAsia="宋体" w:cs="Times New Roman"/>
          <w:kern w:val="0"/>
          <w:sz w:val="24"/>
        </w:rPr>
        <w:t>Variance inflation factor (VIF) values of variables before and after variable exclusion(A VIF value greater than 5 indicates potential multicollinearity)</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3584"/>
        <w:gridCol w:w="3399"/>
      </w:tblGrid>
      <w:tr w14:paraId="6983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36" w:type="dxa"/>
            <w:tcBorders>
              <w:top w:val="single" w:color="000000" w:sz="12" w:space="0"/>
              <w:left w:val="nil"/>
              <w:bottom w:val="single" w:color="000000" w:sz="4" w:space="0"/>
              <w:right w:val="nil"/>
              <w:tl2br w:val="nil"/>
            </w:tcBorders>
            <w:shd w:val="clear" w:color="auto" w:fill="FFFFFF"/>
            <w:vAlign w:val="center"/>
          </w:tcPr>
          <w:p w14:paraId="5ADD1FBF">
            <w:pPr>
              <w:snapToGrid w:val="0"/>
              <w:jc w:val="center"/>
              <w:rPr>
                <w:rFonts w:ascii="Times New Roman" w:hAnsi="Times New Roman" w:eastAsia="宋体" w:cs="Times New Roman"/>
                <w:b/>
                <w:kern w:val="0"/>
                <w:sz w:val="24"/>
              </w:rPr>
            </w:pPr>
            <w:r>
              <w:rPr>
                <w:rFonts w:ascii="Times New Roman" w:hAnsi="Times New Roman" w:eastAsia="宋体" w:cs="Times New Roman"/>
                <w:b/>
                <w:kern w:val="0"/>
                <w:sz w:val="24"/>
              </w:rPr>
              <w:t>Variable</w:t>
            </w:r>
          </w:p>
        </w:tc>
        <w:tc>
          <w:tcPr>
            <w:tcW w:w="3584" w:type="dxa"/>
            <w:tcBorders>
              <w:top w:val="single" w:color="000000" w:sz="12" w:space="0"/>
              <w:left w:val="nil"/>
              <w:bottom w:val="single" w:color="000000" w:sz="4" w:space="0"/>
              <w:right w:val="nil"/>
            </w:tcBorders>
            <w:shd w:val="clear" w:color="auto" w:fill="FFFFFF"/>
            <w:vAlign w:val="center"/>
          </w:tcPr>
          <w:p w14:paraId="7017C79D">
            <w:pPr>
              <w:snapToGrid w:val="0"/>
              <w:jc w:val="center"/>
              <w:rPr>
                <w:rFonts w:ascii="Times New Roman" w:hAnsi="Times New Roman" w:eastAsia="宋体" w:cs="Times New Roman"/>
                <w:b/>
                <w:kern w:val="0"/>
                <w:sz w:val="24"/>
              </w:rPr>
            </w:pPr>
            <w:r>
              <w:rPr>
                <w:rFonts w:ascii="Times New Roman" w:hAnsi="Times New Roman" w:eastAsia="宋体" w:cs="Times New Roman"/>
                <w:b/>
                <w:kern w:val="0"/>
                <w:sz w:val="24"/>
              </w:rPr>
              <w:t>VIF (Before Exclusion)</w:t>
            </w:r>
          </w:p>
        </w:tc>
        <w:tc>
          <w:tcPr>
            <w:tcW w:w="3399" w:type="dxa"/>
            <w:tcBorders>
              <w:top w:val="single" w:color="000000" w:sz="12" w:space="0"/>
              <w:left w:val="nil"/>
              <w:bottom w:val="single" w:color="000000" w:sz="4" w:space="0"/>
              <w:right w:val="nil"/>
            </w:tcBorders>
            <w:shd w:val="clear" w:color="auto" w:fill="FFFFFF"/>
            <w:vAlign w:val="center"/>
          </w:tcPr>
          <w:p w14:paraId="5B51BB15">
            <w:pPr>
              <w:snapToGrid w:val="0"/>
              <w:jc w:val="center"/>
              <w:rPr>
                <w:rFonts w:ascii="Times New Roman" w:hAnsi="Times New Roman" w:eastAsia="宋体" w:cs="Times New Roman"/>
                <w:b/>
                <w:kern w:val="0"/>
                <w:sz w:val="24"/>
              </w:rPr>
            </w:pPr>
            <w:r>
              <w:rPr>
                <w:rFonts w:ascii="Times New Roman" w:hAnsi="Times New Roman" w:eastAsia="宋体" w:cs="Times New Roman"/>
                <w:b/>
                <w:kern w:val="0"/>
                <w:sz w:val="24"/>
              </w:rPr>
              <w:t>VIF (After Exclusion)</w:t>
            </w:r>
          </w:p>
        </w:tc>
      </w:tr>
      <w:tr w14:paraId="0AC9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single" w:color="000000" w:sz="4" w:space="0"/>
              <w:left w:val="nil"/>
              <w:bottom w:val="nil"/>
              <w:right w:val="nil"/>
            </w:tcBorders>
            <w:shd w:val="clear" w:color="auto" w:fill="FFFFFF"/>
            <w:vAlign w:val="center"/>
          </w:tcPr>
          <w:p w14:paraId="62D4974B">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ctSI</w:t>
            </w:r>
          </w:p>
        </w:tc>
        <w:tc>
          <w:tcPr>
            <w:tcW w:w="3584" w:type="dxa"/>
            <w:tcBorders>
              <w:top w:val="single" w:color="000000" w:sz="4" w:space="0"/>
              <w:left w:val="nil"/>
              <w:bottom w:val="nil"/>
              <w:right w:val="nil"/>
            </w:tcBorders>
            <w:shd w:val="clear" w:color="auto" w:fill="FFFFFF"/>
            <w:vAlign w:val="center"/>
          </w:tcPr>
          <w:p w14:paraId="10BD03EC">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1.861</w:t>
            </w:r>
          </w:p>
        </w:tc>
        <w:tc>
          <w:tcPr>
            <w:tcW w:w="3399" w:type="dxa"/>
            <w:tcBorders>
              <w:top w:val="single" w:color="000000" w:sz="4" w:space="0"/>
              <w:left w:val="nil"/>
              <w:bottom w:val="nil"/>
              <w:right w:val="nil"/>
            </w:tcBorders>
            <w:shd w:val="clear" w:color="auto" w:fill="FFFFFF"/>
            <w:vAlign w:val="center"/>
          </w:tcPr>
          <w:p w14:paraId="3E4C28E3">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1.851</w:t>
            </w:r>
          </w:p>
        </w:tc>
      </w:tr>
      <w:tr w14:paraId="0DB1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6813B649">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ctEMVI</w:t>
            </w:r>
          </w:p>
        </w:tc>
        <w:tc>
          <w:tcPr>
            <w:tcW w:w="3584" w:type="dxa"/>
            <w:tcBorders>
              <w:top w:val="nil"/>
              <w:left w:val="nil"/>
              <w:bottom w:val="nil"/>
              <w:right w:val="nil"/>
            </w:tcBorders>
            <w:shd w:val="clear" w:color="auto" w:fill="FFFFFF"/>
            <w:vAlign w:val="center"/>
          </w:tcPr>
          <w:p w14:paraId="5745067B">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1.590</w:t>
            </w:r>
          </w:p>
        </w:tc>
        <w:tc>
          <w:tcPr>
            <w:tcW w:w="3399" w:type="dxa"/>
            <w:tcBorders>
              <w:top w:val="nil"/>
              <w:left w:val="nil"/>
              <w:bottom w:val="nil"/>
              <w:right w:val="nil"/>
            </w:tcBorders>
            <w:shd w:val="clear" w:color="auto" w:fill="FFFFFF"/>
            <w:vAlign w:val="center"/>
          </w:tcPr>
          <w:p w14:paraId="0E166F1C">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1.568</w:t>
            </w:r>
          </w:p>
        </w:tc>
      </w:tr>
      <w:tr w14:paraId="7CBA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61B796E8">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ctOPM</w:t>
            </w:r>
          </w:p>
        </w:tc>
        <w:tc>
          <w:tcPr>
            <w:tcW w:w="3584" w:type="dxa"/>
            <w:tcBorders>
              <w:top w:val="nil"/>
              <w:left w:val="nil"/>
              <w:bottom w:val="nil"/>
              <w:right w:val="nil"/>
            </w:tcBorders>
            <w:shd w:val="clear" w:color="auto" w:fill="FFFFFF"/>
            <w:vAlign w:val="center"/>
          </w:tcPr>
          <w:p w14:paraId="5B253824">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1.121</w:t>
            </w:r>
          </w:p>
        </w:tc>
        <w:tc>
          <w:tcPr>
            <w:tcW w:w="3399" w:type="dxa"/>
            <w:tcBorders>
              <w:top w:val="nil"/>
              <w:left w:val="nil"/>
              <w:bottom w:val="nil"/>
              <w:right w:val="nil"/>
            </w:tcBorders>
            <w:shd w:val="clear" w:color="auto" w:fill="FFFFFF"/>
            <w:vAlign w:val="center"/>
          </w:tcPr>
          <w:p w14:paraId="3DE7B291">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1.122</w:t>
            </w:r>
          </w:p>
        </w:tc>
      </w:tr>
      <w:tr w14:paraId="3644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0EE92C0B">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ctLVI</w:t>
            </w:r>
          </w:p>
        </w:tc>
        <w:tc>
          <w:tcPr>
            <w:tcW w:w="3584" w:type="dxa"/>
            <w:tcBorders>
              <w:top w:val="nil"/>
              <w:left w:val="nil"/>
              <w:bottom w:val="nil"/>
              <w:right w:val="nil"/>
            </w:tcBorders>
            <w:shd w:val="clear" w:color="auto" w:fill="FFFFFF"/>
            <w:vAlign w:val="center"/>
          </w:tcPr>
          <w:p w14:paraId="224B612A">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1.347</w:t>
            </w:r>
          </w:p>
        </w:tc>
        <w:tc>
          <w:tcPr>
            <w:tcW w:w="3399" w:type="dxa"/>
            <w:tcBorders>
              <w:top w:val="nil"/>
              <w:left w:val="nil"/>
              <w:bottom w:val="nil"/>
              <w:right w:val="nil"/>
            </w:tcBorders>
            <w:shd w:val="clear" w:color="auto" w:fill="FFFFFF"/>
            <w:vAlign w:val="center"/>
          </w:tcPr>
          <w:p w14:paraId="40DB4074">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1.329</w:t>
            </w:r>
          </w:p>
        </w:tc>
      </w:tr>
      <w:tr w14:paraId="0F25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7DA84E97">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ICAP</w:t>
            </w:r>
          </w:p>
        </w:tc>
        <w:tc>
          <w:tcPr>
            <w:tcW w:w="3584" w:type="dxa"/>
            <w:tcBorders>
              <w:top w:val="nil"/>
              <w:left w:val="nil"/>
              <w:bottom w:val="nil"/>
              <w:right w:val="nil"/>
            </w:tcBorders>
            <w:shd w:val="clear" w:color="auto" w:fill="FFFFFF"/>
            <w:vAlign w:val="center"/>
          </w:tcPr>
          <w:p w14:paraId="3CDC030C">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7.079</w:t>
            </w:r>
          </w:p>
        </w:tc>
        <w:tc>
          <w:tcPr>
            <w:tcW w:w="3399" w:type="dxa"/>
            <w:tcBorders>
              <w:top w:val="nil"/>
              <w:left w:val="nil"/>
              <w:bottom w:val="nil"/>
              <w:right w:val="nil"/>
            </w:tcBorders>
            <w:shd w:val="clear" w:color="auto" w:fill="FFFFFF"/>
            <w:vAlign w:val="center"/>
          </w:tcPr>
          <w:p w14:paraId="5F6DB781">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Excluded</w:t>
            </w:r>
          </w:p>
        </w:tc>
      </w:tr>
      <w:tr w14:paraId="5A33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32D2513A">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nICAP</w:t>
            </w:r>
          </w:p>
        </w:tc>
        <w:tc>
          <w:tcPr>
            <w:tcW w:w="3584" w:type="dxa"/>
            <w:tcBorders>
              <w:top w:val="nil"/>
              <w:left w:val="nil"/>
              <w:bottom w:val="nil"/>
              <w:right w:val="nil"/>
            </w:tcBorders>
            <w:shd w:val="clear" w:color="auto" w:fill="FFFFFF"/>
            <w:vAlign w:val="center"/>
          </w:tcPr>
          <w:p w14:paraId="4982F630">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2.626</w:t>
            </w:r>
          </w:p>
        </w:tc>
        <w:tc>
          <w:tcPr>
            <w:tcW w:w="3399" w:type="dxa"/>
            <w:tcBorders>
              <w:top w:val="nil"/>
              <w:left w:val="nil"/>
              <w:bottom w:val="nil"/>
              <w:right w:val="nil"/>
            </w:tcBorders>
            <w:shd w:val="clear" w:color="auto" w:fill="FFFFFF"/>
            <w:vAlign w:val="center"/>
          </w:tcPr>
          <w:p w14:paraId="402B5A4B">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1.571</w:t>
            </w:r>
          </w:p>
        </w:tc>
      </w:tr>
      <w:tr w14:paraId="2C3A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0C99E67E">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ICVP</w:t>
            </w:r>
          </w:p>
        </w:tc>
        <w:tc>
          <w:tcPr>
            <w:tcW w:w="3584" w:type="dxa"/>
            <w:tcBorders>
              <w:top w:val="nil"/>
              <w:left w:val="nil"/>
              <w:bottom w:val="nil"/>
              <w:right w:val="nil"/>
            </w:tcBorders>
            <w:shd w:val="clear" w:color="auto" w:fill="FFFFFF"/>
            <w:vAlign w:val="center"/>
          </w:tcPr>
          <w:p w14:paraId="072C1970">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5.810</w:t>
            </w:r>
          </w:p>
        </w:tc>
        <w:tc>
          <w:tcPr>
            <w:tcW w:w="3399" w:type="dxa"/>
            <w:tcBorders>
              <w:top w:val="nil"/>
              <w:left w:val="nil"/>
              <w:bottom w:val="nil"/>
              <w:right w:val="nil"/>
            </w:tcBorders>
            <w:shd w:val="clear" w:color="auto" w:fill="FFFFFF"/>
            <w:vAlign w:val="center"/>
          </w:tcPr>
          <w:p w14:paraId="41D890DD">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2.964</w:t>
            </w:r>
          </w:p>
        </w:tc>
      </w:tr>
      <w:tr w14:paraId="1068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5346E149">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nICVP</w:t>
            </w:r>
          </w:p>
        </w:tc>
        <w:tc>
          <w:tcPr>
            <w:tcW w:w="3584" w:type="dxa"/>
            <w:tcBorders>
              <w:top w:val="nil"/>
              <w:left w:val="nil"/>
              <w:bottom w:val="nil"/>
              <w:right w:val="nil"/>
            </w:tcBorders>
            <w:shd w:val="clear" w:color="auto" w:fill="FFFFFF"/>
            <w:vAlign w:val="center"/>
          </w:tcPr>
          <w:p w14:paraId="613DA09C">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3.553</w:t>
            </w:r>
          </w:p>
        </w:tc>
        <w:tc>
          <w:tcPr>
            <w:tcW w:w="3399" w:type="dxa"/>
            <w:tcBorders>
              <w:top w:val="nil"/>
              <w:left w:val="nil"/>
              <w:bottom w:val="nil"/>
              <w:right w:val="nil"/>
            </w:tcBorders>
            <w:shd w:val="clear" w:color="auto" w:fill="FFFFFF"/>
            <w:vAlign w:val="center"/>
          </w:tcPr>
          <w:p w14:paraId="14475A84">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3.219</w:t>
            </w:r>
          </w:p>
        </w:tc>
      </w:tr>
      <w:tr w14:paraId="51EC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nil"/>
              <w:right w:val="nil"/>
            </w:tcBorders>
            <w:shd w:val="clear" w:color="auto" w:fill="FFFFFF"/>
            <w:vAlign w:val="center"/>
          </w:tcPr>
          <w:p w14:paraId="066A54BC">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AEF</w:t>
            </w:r>
          </w:p>
        </w:tc>
        <w:tc>
          <w:tcPr>
            <w:tcW w:w="3584" w:type="dxa"/>
            <w:tcBorders>
              <w:top w:val="nil"/>
              <w:left w:val="nil"/>
              <w:bottom w:val="nil"/>
              <w:right w:val="nil"/>
            </w:tcBorders>
            <w:shd w:val="clear" w:color="auto" w:fill="FFFFFF"/>
            <w:vAlign w:val="center"/>
          </w:tcPr>
          <w:p w14:paraId="38415829">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3.349</w:t>
            </w:r>
          </w:p>
        </w:tc>
        <w:tc>
          <w:tcPr>
            <w:tcW w:w="3399" w:type="dxa"/>
            <w:tcBorders>
              <w:top w:val="nil"/>
              <w:left w:val="nil"/>
              <w:bottom w:val="nil"/>
              <w:right w:val="nil"/>
            </w:tcBorders>
            <w:shd w:val="clear" w:color="auto" w:fill="FFFFFF"/>
            <w:vAlign w:val="center"/>
          </w:tcPr>
          <w:p w14:paraId="3DDFE8A6">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1.496</w:t>
            </w:r>
          </w:p>
        </w:tc>
      </w:tr>
      <w:tr w14:paraId="6394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Borders>
              <w:top w:val="nil"/>
              <w:left w:val="nil"/>
              <w:bottom w:val="single" w:color="000000" w:sz="12" w:space="0"/>
              <w:right w:val="nil"/>
            </w:tcBorders>
            <w:shd w:val="clear" w:color="auto" w:fill="FFFFFF"/>
            <w:vAlign w:val="center"/>
          </w:tcPr>
          <w:p w14:paraId="0A644F0B">
            <w:pPr>
              <w:snapToGrid w:val="0"/>
              <w:jc w:val="left"/>
              <w:rPr>
                <w:rFonts w:ascii="Times New Roman" w:hAnsi="Times New Roman" w:eastAsia="宋体" w:cs="Times New Roman"/>
                <w:kern w:val="0"/>
                <w:sz w:val="24"/>
              </w:rPr>
            </w:pPr>
            <w:r>
              <w:rPr>
                <w:rFonts w:ascii="Times New Roman" w:hAnsi="Times New Roman" w:eastAsia="宋体" w:cs="Times New Roman"/>
                <w:kern w:val="0"/>
                <w:sz w:val="24"/>
              </w:rPr>
              <w:t>NLR</w:t>
            </w:r>
          </w:p>
        </w:tc>
        <w:tc>
          <w:tcPr>
            <w:tcW w:w="3584" w:type="dxa"/>
            <w:tcBorders>
              <w:top w:val="nil"/>
              <w:left w:val="nil"/>
              <w:bottom w:val="single" w:color="000000" w:sz="12" w:space="0"/>
              <w:right w:val="nil"/>
            </w:tcBorders>
            <w:shd w:val="clear" w:color="auto" w:fill="FFFFFF"/>
            <w:vAlign w:val="center"/>
          </w:tcPr>
          <w:p w14:paraId="45390727">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1.105</w:t>
            </w:r>
          </w:p>
        </w:tc>
        <w:tc>
          <w:tcPr>
            <w:tcW w:w="3399" w:type="dxa"/>
            <w:tcBorders>
              <w:top w:val="nil"/>
              <w:left w:val="nil"/>
              <w:bottom w:val="single" w:color="000000" w:sz="12" w:space="0"/>
              <w:right w:val="nil"/>
            </w:tcBorders>
            <w:shd w:val="clear" w:color="auto" w:fill="FFFFFF"/>
            <w:vAlign w:val="center"/>
          </w:tcPr>
          <w:p w14:paraId="37D438D0">
            <w:pPr>
              <w:snapToGrid w:val="0"/>
              <w:jc w:val="center"/>
              <w:rPr>
                <w:rFonts w:ascii="Times New Roman" w:hAnsi="Times New Roman" w:eastAsia="宋体" w:cs="Times New Roman"/>
                <w:kern w:val="0"/>
                <w:sz w:val="24"/>
              </w:rPr>
            </w:pPr>
            <w:r>
              <w:rPr>
                <w:rFonts w:ascii="Times New Roman" w:hAnsi="Times New Roman" w:eastAsia="宋体" w:cs="Times New Roman"/>
                <w:kern w:val="0"/>
                <w:sz w:val="24"/>
              </w:rPr>
              <w:t>1.084</w:t>
            </w:r>
          </w:p>
        </w:tc>
      </w:tr>
    </w:tbl>
    <w:p w14:paraId="4B99C391">
      <w:pPr>
        <w:rPr>
          <w:rFonts w:ascii="Times New Roman" w:hAnsi="Times New Roman" w:cs="Times New Roman"/>
          <w:kern w:val="0"/>
          <w:sz w:val="24"/>
        </w:rPr>
        <w:sectPr>
          <w:pgSz w:w="11906" w:h="16838"/>
          <w:pgMar w:top="1440" w:right="1800" w:bottom="1440" w:left="1800" w:header="851" w:footer="992" w:gutter="0"/>
          <w:cols w:space="425" w:num="1"/>
          <w:docGrid w:type="lines" w:linePitch="312" w:charSpace="0"/>
        </w:sectPr>
      </w:pPr>
    </w:p>
    <w:p w14:paraId="64F07148">
      <w:pPr>
        <w:widowControl/>
        <w:spacing w:after="156" w:afterLines="50" w:line="360" w:lineRule="auto"/>
        <w:jc w:val="left"/>
        <w:rPr>
          <w:rFonts w:ascii="Times New Roman" w:hAnsi="Times New Roman" w:eastAsia="宋体" w:cs="Times New Roman"/>
          <w:b/>
          <w:bCs/>
          <w:sz w:val="24"/>
        </w:rPr>
      </w:pPr>
      <w:r>
        <w:rPr>
          <w:rFonts w:ascii="Times New Roman" w:hAnsi="Times New Roman" w:eastAsia="宋体" w:cs="Times New Roman"/>
          <w:b/>
          <w:bCs/>
          <w:color w:val="000000"/>
          <w:kern w:val="0"/>
          <w:sz w:val="24"/>
        </w:rPr>
        <w:t xml:space="preserve">Supplementary Table </w:t>
      </w:r>
      <w:r>
        <w:rPr>
          <w:rFonts w:hint="eastAsia" w:ascii="Times New Roman" w:hAnsi="Times New Roman" w:eastAsia="宋体" w:cs="Times New Roman"/>
          <w:b/>
          <w:bCs/>
          <w:color w:val="000000"/>
          <w:kern w:val="0"/>
          <w:sz w:val="24"/>
          <w:lang w:val="en-US" w:eastAsia="zh-CN"/>
        </w:rPr>
        <w:t>S</w:t>
      </w:r>
      <w:r>
        <w:rPr>
          <w:rFonts w:ascii="Times New Roman" w:hAnsi="Times New Roman" w:eastAsia="宋体" w:cs="Times New Roman"/>
          <w:b/>
          <w:bCs/>
          <w:color w:val="000000"/>
          <w:kern w:val="0"/>
          <w:sz w:val="24"/>
        </w:rPr>
        <w:t xml:space="preserve">7: </w:t>
      </w:r>
      <w:r>
        <w:rPr>
          <w:rFonts w:ascii="Times New Roman" w:hAnsi="Times New Roman" w:eastAsia="宋体" w:cs="Times New Roman"/>
          <w:color w:val="000000"/>
          <w:kern w:val="0"/>
          <w:sz w:val="24"/>
        </w:rPr>
        <w:t>Comparison of the predictive efficacy of eight models</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212"/>
        <w:gridCol w:w="1491"/>
        <w:gridCol w:w="1491"/>
        <w:gridCol w:w="1381"/>
        <w:gridCol w:w="878"/>
        <w:gridCol w:w="878"/>
      </w:tblGrid>
      <w:tr w14:paraId="0C30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188" w:type="dxa"/>
            <w:tcBorders>
              <w:top w:val="single" w:color="auto" w:sz="12" w:space="0"/>
              <w:left w:val="nil"/>
              <w:bottom w:val="single" w:color="000000" w:sz="6" w:space="0"/>
              <w:right w:val="nil"/>
            </w:tcBorders>
            <w:vAlign w:val="center"/>
          </w:tcPr>
          <w:p w14:paraId="7736CEAA">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sz w:val="24"/>
              </w:rPr>
              <w:t>Models</w:t>
            </w:r>
          </w:p>
        </w:tc>
        <w:tc>
          <w:tcPr>
            <w:tcW w:w="1212" w:type="dxa"/>
            <w:tcBorders>
              <w:top w:val="single" w:color="auto" w:sz="12" w:space="0"/>
              <w:left w:val="nil"/>
              <w:bottom w:val="single" w:color="000000" w:sz="6" w:space="0"/>
              <w:right w:val="nil"/>
            </w:tcBorders>
            <w:vAlign w:val="center"/>
          </w:tcPr>
          <w:p w14:paraId="0CA34519">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kern w:val="0"/>
                <w:sz w:val="24"/>
                <w:lang w:bidi="ar"/>
              </w:rPr>
              <w:t>Sets</w:t>
            </w:r>
          </w:p>
        </w:tc>
        <w:tc>
          <w:tcPr>
            <w:tcW w:w="1491" w:type="dxa"/>
            <w:tcBorders>
              <w:top w:val="single" w:color="auto" w:sz="12" w:space="0"/>
              <w:left w:val="nil"/>
              <w:bottom w:val="single" w:color="000000" w:sz="6" w:space="0"/>
              <w:right w:val="nil"/>
            </w:tcBorders>
            <w:vAlign w:val="center"/>
          </w:tcPr>
          <w:p w14:paraId="6E9E94F0">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kern w:val="0"/>
                <w:sz w:val="24"/>
                <w:lang w:bidi="ar"/>
              </w:rPr>
              <w:t>Sensitivity</w:t>
            </w:r>
          </w:p>
        </w:tc>
        <w:tc>
          <w:tcPr>
            <w:tcW w:w="1491" w:type="dxa"/>
            <w:tcBorders>
              <w:top w:val="single" w:color="auto" w:sz="12" w:space="0"/>
              <w:left w:val="nil"/>
              <w:bottom w:val="single" w:color="000000" w:sz="6" w:space="0"/>
              <w:right w:val="nil"/>
            </w:tcBorders>
            <w:vAlign w:val="center"/>
          </w:tcPr>
          <w:p w14:paraId="54C4B89E">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kern w:val="0"/>
                <w:sz w:val="24"/>
                <w:lang w:bidi="ar"/>
              </w:rPr>
              <w:t>Specificity</w:t>
            </w:r>
          </w:p>
        </w:tc>
        <w:tc>
          <w:tcPr>
            <w:tcW w:w="1381" w:type="dxa"/>
            <w:tcBorders>
              <w:top w:val="single" w:color="auto" w:sz="12" w:space="0"/>
              <w:left w:val="nil"/>
              <w:bottom w:val="single" w:color="000000" w:sz="6" w:space="0"/>
              <w:right w:val="nil"/>
            </w:tcBorders>
            <w:vAlign w:val="center"/>
          </w:tcPr>
          <w:p w14:paraId="19EB61F0">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kern w:val="0"/>
                <w:sz w:val="24"/>
                <w:lang w:bidi="ar"/>
              </w:rPr>
              <w:t>Accuracy</w:t>
            </w:r>
          </w:p>
        </w:tc>
        <w:tc>
          <w:tcPr>
            <w:tcW w:w="878" w:type="dxa"/>
            <w:tcBorders>
              <w:top w:val="single" w:color="auto" w:sz="12" w:space="0"/>
              <w:left w:val="nil"/>
              <w:bottom w:val="single" w:color="000000" w:sz="6" w:space="0"/>
              <w:right w:val="nil"/>
            </w:tcBorders>
            <w:vAlign w:val="center"/>
          </w:tcPr>
          <w:p w14:paraId="7618F42C">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kern w:val="0"/>
                <w:sz w:val="24"/>
                <w:lang w:bidi="ar"/>
              </w:rPr>
              <w:t>PPV</w:t>
            </w:r>
          </w:p>
        </w:tc>
        <w:tc>
          <w:tcPr>
            <w:tcW w:w="878" w:type="dxa"/>
            <w:tcBorders>
              <w:top w:val="single" w:color="auto" w:sz="12" w:space="0"/>
              <w:left w:val="nil"/>
              <w:bottom w:val="single" w:color="000000" w:sz="6" w:space="0"/>
              <w:right w:val="nil"/>
            </w:tcBorders>
            <w:vAlign w:val="center"/>
          </w:tcPr>
          <w:p w14:paraId="365C40D5">
            <w:pPr>
              <w:widowControl/>
              <w:snapToGrid w:val="0"/>
              <w:spacing w:line="360" w:lineRule="auto"/>
              <w:jc w:val="center"/>
              <w:textAlignment w:val="center"/>
              <w:rPr>
                <w:rFonts w:ascii="Times New Roman" w:hAnsi="Times New Roman" w:eastAsia="宋体" w:cs="Times New Roman"/>
                <w:b/>
                <w:bCs/>
                <w:sz w:val="24"/>
              </w:rPr>
            </w:pPr>
            <w:r>
              <w:rPr>
                <w:rFonts w:ascii="Times New Roman" w:hAnsi="Times New Roman" w:eastAsia="宋体" w:cs="Times New Roman"/>
                <w:b/>
                <w:bCs/>
                <w:kern w:val="0"/>
                <w:sz w:val="24"/>
                <w:lang w:bidi="ar"/>
              </w:rPr>
              <w:t>NPV</w:t>
            </w:r>
          </w:p>
        </w:tc>
      </w:tr>
      <w:tr w14:paraId="2E8C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single" w:color="000000" w:sz="6" w:space="0"/>
              <w:left w:val="nil"/>
              <w:bottom w:val="nil"/>
              <w:right w:val="nil"/>
            </w:tcBorders>
            <w:vAlign w:val="center"/>
          </w:tcPr>
          <w:p w14:paraId="298FC3A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1</w:t>
            </w:r>
          </w:p>
        </w:tc>
        <w:tc>
          <w:tcPr>
            <w:tcW w:w="1212" w:type="dxa"/>
            <w:tcBorders>
              <w:top w:val="single" w:color="000000" w:sz="6" w:space="0"/>
              <w:left w:val="nil"/>
              <w:bottom w:val="nil"/>
              <w:right w:val="nil"/>
            </w:tcBorders>
            <w:vAlign w:val="center"/>
          </w:tcPr>
          <w:p w14:paraId="0B51BF0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single" w:color="000000" w:sz="6" w:space="0"/>
              <w:left w:val="nil"/>
              <w:bottom w:val="nil"/>
              <w:right w:val="nil"/>
            </w:tcBorders>
            <w:vAlign w:val="center"/>
          </w:tcPr>
          <w:p w14:paraId="5A193AF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0.600</w:t>
            </w:r>
          </w:p>
        </w:tc>
        <w:tc>
          <w:tcPr>
            <w:tcW w:w="1491" w:type="dxa"/>
            <w:tcBorders>
              <w:top w:val="single" w:color="000000" w:sz="6" w:space="0"/>
              <w:left w:val="nil"/>
              <w:bottom w:val="nil"/>
              <w:right w:val="nil"/>
            </w:tcBorders>
            <w:vAlign w:val="center"/>
          </w:tcPr>
          <w:p w14:paraId="14F7F90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0.844</w:t>
            </w:r>
          </w:p>
        </w:tc>
        <w:tc>
          <w:tcPr>
            <w:tcW w:w="1381" w:type="dxa"/>
            <w:tcBorders>
              <w:top w:val="single" w:color="000000" w:sz="6" w:space="0"/>
              <w:left w:val="nil"/>
              <w:bottom w:val="nil"/>
              <w:right w:val="nil"/>
            </w:tcBorders>
            <w:vAlign w:val="center"/>
          </w:tcPr>
          <w:p w14:paraId="0818B56B">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0.700</w:t>
            </w:r>
          </w:p>
        </w:tc>
        <w:tc>
          <w:tcPr>
            <w:tcW w:w="878" w:type="dxa"/>
            <w:tcBorders>
              <w:top w:val="single" w:color="000000" w:sz="6" w:space="0"/>
              <w:left w:val="nil"/>
              <w:bottom w:val="nil"/>
              <w:right w:val="nil"/>
            </w:tcBorders>
            <w:vAlign w:val="center"/>
          </w:tcPr>
          <w:p w14:paraId="36F48EBB">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0.848</w:t>
            </w:r>
          </w:p>
        </w:tc>
        <w:tc>
          <w:tcPr>
            <w:tcW w:w="878" w:type="dxa"/>
            <w:tcBorders>
              <w:top w:val="single" w:color="000000" w:sz="6" w:space="0"/>
              <w:left w:val="nil"/>
              <w:bottom w:val="nil"/>
              <w:right w:val="nil"/>
            </w:tcBorders>
            <w:vAlign w:val="center"/>
          </w:tcPr>
          <w:p w14:paraId="5F14730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0.594</w:t>
            </w:r>
          </w:p>
        </w:tc>
      </w:tr>
      <w:tr w14:paraId="0C46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6464E561">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0DC0A0F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31EBFEB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0.571</w:t>
            </w:r>
          </w:p>
        </w:tc>
        <w:tc>
          <w:tcPr>
            <w:tcW w:w="1491" w:type="dxa"/>
            <w:tcBorders>
              <w:top w:val="nil"/>
              <w:left w:val="nil"/>
              <w:bottom w:val="nil"/>
              <w:right w:val="nil"/>
            </w:tcBorders>
            <w:vAlign w:val="center"/>
          </w:tcPr>
          <w:p w14:paraId="4596B9C5">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0.700</w:t>
            </w:r>
          </w:p>
        </w:tc>
        <w:tc>
          <w:tcPr>
            <w:tcW w:w="1381" w:type="dxa"/>
            <w:tcBorders>
              <w:top w:val="nil"/>
              <w:left w:val="nil"/>
              <w:bottom w:val="nil"/>
              <w:right w:val="nil"/>
            </w:tcBorders>
            <w:vAlign w:val="center"/>
          </w:tcPr>
          <w:p w14:paraId="4261A2DE">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0.625</w:t>
            </w:r>
          </w:p>
        </w:tc>
        <w:tc>
          <w:tcPr>
            <w:tcW w:w="878" w:type="dxa"/>
            <w:tcBorders>
              <w:top w:val="nil"/>
              <w:left w:val="nil"/>
              <w:bottom w:val="nil"/>
              <w:right w:val="nil"/>
            </w:tcBorders>
            <w:vAlign w:val="center"/>
          </w:tcPr>
          <w:p w14:paraId="36B1F27E">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0.727</w:t>
            </w:r>
          </w:p>
        </w:tc>
        <w:tc>
          <w:tcPr>
            <w:tcW w:w="878" w:type="dxa"/>
            <w:tcBorders>
              <w:top w:val="nil"/>
              <w:left w:val="nil"/>
              <w:bottom w:val="nil"/>
              <w:right w:val="nil"/>
            </w:tcBorders>
            <w:vAlign w:val="center"/>
          </w:tcPr>
          <w:p w14:paraId="63B0AF6D">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0.538</w:t>
            </w:r>
          </w:p>
        </w:tc>
      </w:tr>
      <w:tr w14:paraId="5FAD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14F6ADD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2</w:t>
            </w:r>
          </w:p>
        </w:tc>
        <w:tc>
          <w:tcPr>
            <w:tcW w:w="1212" w:type="dxa"/>
            <w:tcBorders>
              <w:top w:val="nil"/>
              <w:left w:val="nil"/>
              <w:bottom w:val="nil"/>
              <w:right w:val="nil"/>
            </w:tcBorders>
            <w:vAlign w:val="center"/>
          </w:tcPr>
          <w:p w14:paraId="56772A3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349BE43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0.754</w:t>
            </w:r>
          </w:p>
        </w:tc>
        <w:tc>
          <w:tcPr>
            <w:tcW w:w="1491" w:type="dxa"/>
            <w:tcBorders>
              <w:top w:val="nil"/>
              <w:left w:val="nil"/>
              <w:bottom w:val="nil"/>
              <w:right w:val="nil"/>
            </w:tcBorders>
            <w:vAlign w:val="center"/>
          </w:tcPr>
          <w:p w14:paraId="5B8ED01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0.867</w:t>
            </w:r>
          </w:p>
        </w:tc>
        <w:tc>
          <w:tcPr>
            <w:tcW w:w="1381" w:type="dxa"/>
            <w:tcBorders>
              <w:top w:val="nil"/>
              <w:left w:val="nil"/>
              <w:bottom w:val="nil"/>
              <w:right w:val="nil"/>
            </w:tcBorders>
            <w:vAlign w:val="center"/>
          </w:tcPr>
          <w:p w14:paraId="10D218D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0.800</w:t>
            </w:r>
          </w:p>
        </w:tc>
        <w:tc>
          <w:tcPr>
            <w:tcW w:w="878" w:type="dxa"/>
            <w:tcBorders>
              <w:top w:val="nil"/>
              <w:left w:val="nil"/>
              <w:bottom w:val="nil"/>
              <w:right w:val="nil"/>
            </w:tcBorders>
            <w:vAlign w:val="center"/>
          </w:tcPr>
          <w:p w14:paraId="670EB336">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0.891</w:t>
            </w:r>
          </w:p>
        </w:tc>
        <w:tc>
          <w:tcPr>
            <w:tcW w:w="878" w:type="dxa"/>
            <w:tcBorders>
              <w:top w:val="nil"/>
              <w:left w:val="nil"/>
              <w:bottom w:val="nil"/>
              <w:right w:val="nil"/>
            </w:tcBorders>
            <w:vAlign w:val="center"/>
          </w:tcPr>
          <w:p w14:paraId="39FDFBAE">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0.709</w:t>
            </w:r>
          </w:p>
        </w:tc>
      </w:tr>
      <w:tr w14:paraId="6258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0CC9CB0A">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347EF69B">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05C7661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c>
          <w:tcPr>
            <w:tcW w:w="1491" w:type="dxa"/>
            <w:tcBorders>
              <w:top w:val="nil"/>
              <w:left w:val="nil"/>
              <w:bottom w:val="nil"/>
              <w:right w:val="nil"/>
            </w:tcBorders>
            <w:vAlign w:val="center"/>
          </w:tcPr>
          <w:p w14:paraId="4DA4224C">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0.700</w:t>
            </w:r>
          </w:p>
        </w:tc>
        <w:tc>
          <w:tcPr>
            <w:tcW w:w="1381" w:type="dxa"/>
            <w:tcBorders>
              <w:top w:val="nil"/>
              <w:left w:val="nil"/>
              <w:bottom w:val="nil"/>
              <w:right w:val="nil"/>
            </w:tcBorders>
            <w:vAlign w:val="center"/>
          </w:tcPr>
          <w:p w14:paraId="2CC4A25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0.729</w:t>
            </w:r>
          </w:p>
        </w:tc>
        <w:tc>
          <w:tcPr>
            <w:tcW w:w="878" w:type="dxa"/>
            <w:tcBorders>
              <w:top w:val="nil"/>
              <w:left w:val="nil"/>
              <w:bottom w:val="nil"/>
              <w:right w:val="nil"/>
            </w:tcBorders>
            <w:vAlign w:val="center"/>
          </w:tcPr>
          <w:p w14:paraId="0E93B5B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0.778</w:t>
            </w:r>
          </w:p>
        </w:tc>
        <w:tc>
          <w:tcPr>
            <w:tcW w:w="878" w:type="dxa"/>
            <w:tcBorders>
              <w:top w:val="nil"/>
              <w:left w:val="nil"/>
              <w:bottom w:val="nil"/>
              <w:right w:val="nil"/>
            </w:tcBorders>
            <w:vAlign w:val="center"/>
          </w:tcPr>
          <w:p w14:paraId="53AE575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0.667</w:t>
            </w:r>
          </w:p>
        </w:tc>
      </w:tr>
      <w:tr w14:paraId="4786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76BD3516">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3</w:t>
            </w:r>
          </w:p>
        </w:tc>
        <w:tc>
          <w:tcPr>
            <w:tcW w:w="1212" w:type="dxa"/>
            <w:tcBorders>
              <w:top w:val="nil"/>
              <w:left w:val="nil"/>
              <w:bottom w:val="nil"/>
              <w:right w:val="nil"/>
            </w:tcBorders>
            <w:vAlign w:val="center"/>
          </w:tcPr>
          <w:p w14:paraId="53AA83E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4F9318F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0.554</w:t>
            </w:r>
          </w:p>
        </w:tc>
        <w:tc>
          <w:tcPr>
            <w:tcW w:w="1491" w:type="dxa"/>
            <w:tcBorders>
              <w:top w:val="nil"/>
              <w:left w:val="nil"/>
              <w:bottom w:val="nil"/>
              <w:right w:val="nil"/>
            </w:tcBorders>
            <w:vAlign w:val="center"/>
          </w:tcPr>
          <w:p w14:paraId="5930E88F">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0.933</w:t>
            </w:r>
          </w:p>
        </w:tc>
        <w:tc>
          <w:tcPr>
            <w:tcW w:w="1381" w:type="dxa"/>
            <w:tcBorders>
              <w:top w:val="nil"/>
              <w:left w:val="nil"/>
              <w:bottom w:val="nil"/>
              <w:right w:val="nil"/>
            </w:tcBorders>
            <w:vAlign w:val="center"/>
          </w:tcPr>
          <w:p w14:paraId="44569E5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0.709</w:t>
            </w:r>
          </w:p>
        </w:tc>
        <w:tc>
          <w:tcPr>
            <w:tcW w:w="878" w:type="dxa"/>
            <w:tcBorders>
              <w:top w:val="nil"/>
              <w:left w:val="nil"/>
              <w:bottom w:val="nil"/>
              <w:right w:val="nil"/>
            </w:tcBorders>
            <w:vAlign w:val="center"/>
          </w:tcPr>
          <w:p w14:paraId="4A04B0F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0.923</w:t>
            </w:r>
          </w:p>
        </w:tc>
        <w:tc>
          <w:tcPr>
            <w:tcW w:w="878" w:type="dxa"/>
            <w:tcBorders>
              <w:top w:val="nil"/>
              <w:left w:val="nil"/>
              <w:bottom w:val="nil"/>
              <w:right w:val="nil"/>
            </w:tcBorders>
            <w:vAlign w:val="center"/>
          </w:tcPr>
          <w:p w14:paraId="3105D344">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0.592</w:t>
            </w:r>
          </w:p>
        </w:tc>
      </w:tr>
      <w:tr w14:paraId="3A09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12FD2E33">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15E21EDD">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1EC6D0F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0.571</w:t>
            </w:r>
          </w:p>
        </w:tc>
        <w:tc>
          <w:tcPr>
            <w:tcW w:w="1491" w:type="dxa"/>
            <w:tcBorders>
              <w:top w:val="nil"/>
              <w:left w:val="nil"/>
              <w:bottom w:val="nil"/>
              <w:right w:val="nil"/>
            </w:tcBorders>
            <w:vAlign w:val="center"/>
          </w:tcPr>
          <w:p w14:paraId="4C4A5A0F">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0.800</w:t>
            </w:r>
          </w:p>
        </w:tc>
        <w:tc>
          <w:tcPr>
            <w:tcW w:w="1381" w:type="dxa"/>
            <w:tcBorders>
              <w:top w:val="nil"/>
              <w:left w:val="nil"/>
              <w:bottom w:val="nil"/>
              <w:right w:val="nil"/>
            </w:tcBorders>
            <w:vAlign w:val="center"/>
          </w:tcPr>
          <w:p w14:paraId="5B6DC73E">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0.667</w:t>
            </w:r>
          </w:p>
        </w:tc>
        <w:tc>
          <w:tcPr>
            <w:tcW w:w="878" w:type="dxa"/>
            <w:tcBorders>
              <w:top w:val="nil"/>
              <w:left w:val="nil"/>
              <w:bottom w:val="nil"/>
              <w:right w:val="nil"/>
            </w:tcBorders>
            <w:vAlign w:val="center"/>
          </w:tcPr>
          <w:p w14:paraId="1D816E8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0.800</w:t>
            </w:r>
          </w:p>
        </w:tc>
        <w:tc>
          <w:tcPr>
            <w:tcW w:w="878" w:type="dxa"/>
            <w:tcBorders>
              <w:top w:val="nil"/>
              <w:left w:val="nil"/>
              <w:bottom w:val="nil"/>
              <w:right w:val="nil"/>
            </w:tcBorders>
            <w:vAlign w:val="center"/>
          </w:tcPr>
          <w:p w14:paraId="097A75E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0.571</w:t>
            </w:r>
          </w:p>
        </w:tc>
      </w:tr>
      <w:tr w14:paraId="450B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0A149E3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4</w:t>
            </w:r>
          </w:p>
        </w:tc>
        <w:tc>
          <w:tcPr>
            <w:tcW w:w="1212" w:type="dxa"/>
            <w:tcBorders>
              <w:top w:val="nil"/>
              <w:left w:val="nil"/>
              <w:bottom w:val="nil"/>
              <w:right w:val="nil"/>
            </w:tcBorders>
            <w:vAlign w:val="center"/>
          </w:tcPr>
          <w:p w14:paraId="5405639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6DC97A2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0.662</w:t>
            </w:r>
          </w:p>
        </w:tc>
        <w:tc>
          <w:tcPr>
            <w:tcW w:w="1491" w:type="dxa"/>
            <w:tcBorders>
              <w:top w:val="nil"/>
              <w:left w:val="nil"/>
              <w:bottom w:val="nil"/>
              <w:right w:val="nil"/>
            </w:tcBorders>
            <w:vAlign w:val="center"/>
          </w:tcPr>
          <w:p w14:paraId="655F36A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0.933</w:t>
            </w:r>
          </w:p>
        </w:tc>
        <w:tc>
          <w:tcPr>
            <w:tcW w:w="1381" w:type="dxa"/>
            <w:tcBorders>
              <w:top w:val="nil"/>
              <w:left w:val="nil"/>
              <w:bottom w:val="nil"/>
              <w:right w:val="nil"/>
            </w:tcBorders>
            <w:vAlign w:val="center"/>
          </w:tcPr>
          <w:p w14:paraId="10BF9509">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0.773</w:t>
            </w:r>
          </w:p>
        </w:tc>
        <w:tc>
          <w:tcPr>
            <w:tcW w:w="878" w:type="dxa"/>
            <w:tcBorders>
              <w:top w:val="nil"/>
              <w:left w:val="nil"/>
              <w:bottom w:val="nil"/>
              <w:right w:val="nil"/>
            </w:tcBorders>
            <w:vAlign w:val="center"/>
          </w:tcPr>
          <w:p w14:paraId="20C525E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0.935</w:t>
            </w:r>
          </w:p>
        </w:tc>
        <w:tc>
          <w:tcPr>
            <w:tcW w:w="878" w:type="dxa"/>
            <w:tcBorders>
              <w:top w:val="nil"/>
              <w:left w:val="nil"/>
              <w:bottom w:val="nil"/>
              <w:right w:val="nil"/>
            </w:tcBorders>
            <w:vAlign w:val="center"/>
          </w:tcPr>
          <w:p w14:paraId="464AF7A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0.656</w:t>
            </w:r>
          </w:p>
        </w:tc>
      </w:tr>
      <w:tr w14:paraId="1CE8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53E4730A">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7E1E2AE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666021A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0.643</w:t>
            </w:r>
          </w:p>
        </w:tc>
        <w:tc>
          <w:tcPr>
            <w:tcW w:w="1491" w:type="dxa"/>
            <w:tcBorders>
              <w:top w:val="nil"/>
              <w:left w:val="nil"/>
              <w:bottom w:val="nil"/>
              <w:right w:val="nil"/>
            </w:tcBorders>
            <w:vAlign w:val="center"/>
          </w:tcPr>
          <w:p w14:paraId="10F7DFC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0.650</w:t>
            </w:r>
          </w:p>
        </w:tc>
        <w:tc>
          <w:tcPr>
            <w:tcW w:w="1381" w:type="dxa"/>
            <w:tcBorders>
              <w:top w:val="nil"/>
              <w:left w:val="nil"/>
              <w:bottom w:val="nil"/>
              <w:right w:val="nil"/>
            </w:tcBorders>
            <w:vAlign w:val="center"/>
          </w:tcPr>
          <w:p w14:paraId="104FD206">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0.646</w:t>
            </w:r>
          </w:p>
        </w:tc>
        <w:tc>
          <w:tcPr>
            <w:tcW w:w="878" w:type="dxa"/>
            <w:tcBorders>
              <w:top w:val="nil"/>
              <w:left w:val="nil"/>
              <w:bottom w:val="nil"/>
              <w:right w:val="nil"/>
            </w:tcBorders>
            <w:vAlign w:val="center"/>
          </w:tcPr>
          <w:p w14:paraId="6138DAA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0.720</w:t>
            </w:r>
          </w:p>
        </w:tc>
        <w:tc>
          <w:tcPr>
            <w:tcW w:w="878" w:type="dxa"/>
            <w:tcBorders>
              <w:top w:val="nil"/>
              <w:left w:val="nil"/>
              <w:bottom w:val="nil"/>
              <w:right w:val="nil"/>
            </w:tcBorders>
            <w:vAlign w:val="center"/>
          </w:tcPr>
          <w:p w14:paraId="5D298539">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0.565</w:t>
            </w:r>
          </w:p>
        </w:tc>
      </w:tr>
      <w:tr w14:paraId="20C2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25D7558D">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5</w:t>
            </w:r>
          </w:p>
        </w:tc>
        <w:tc>
          <w:tcPr>
            <w:tcW w:w="1212" w:type="dxa"/>
            <w:tcBorders>
              <w:top w:val="nil"/>
              <w:left w:val="nil"/>
              <w:bottom w:val="nil"/>
              <w:right w:val="nil"/>
            </w:tcBorders>
            <w:vAlign w:val="center"/>
          </w:tcPr>
          <w:p w14:paraId="50F9CE9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1A76BAC4">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0.708</w:t>
            </w:r>
          </w:p>
        </w:tc>
        <w:tc>
          <w:tcPr>
            <w:tcW w:w="1491" w:type="dxa"/>
            <w:tcBorders>
              <w:top w:val="nil"/>
              <w:left w:val="nil"/>
              <w:bottom w:val="nil"/>
              <w:right w:val="nil"/>
            </w:tcBorders>
            <w:vAlign w:val="center"/>
          </w:tcPr>
          <w:p w14:paraId="57E7B11E">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0.911</w:t>
            </w:r>
          </w:p>
        </w:tc>
        <w:tc>
          <w:tcPr>
            <w:tcW w:w="1381" w:type="dxa"/>
            <w:tcBorders>
              <w:top w:val="nil"/>
              <w:left w:val="nil"/>
              <w:bottom w:val="nil"/>
              <w:right w:val="nil"/>
            </w:tcBorders>
            <w:vAlign w:val="center"/>
          </w:tcPr>
          <w:p w14:paraId="6E82A36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0.791</w:t>
            </w:r>
          </w:p>
        </w:tc>
        <w:tc>
          <w:tcPr>
            <w:tcW w:w="878" w:type="dxa"/>
            <w:tcBorders>
              <w:top w:val="nil"/>
              <w:left w:val="nil"/>
              <w:bottom w:val="nil"/>
              <w:right w:val="nil"/>
            </w:tcBorders>
            <w:vAlign w:val="center"/>
          </w:tcPr>
          <w:p w14:paraId="24C3F95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0.920</w:t>
            </w:r>
          </w:p>
        </w:tc>
        <w:tc>
          <w:tcPr>
            <w:tcW w:w="878" w:type="dxa"/>
            <w:tcBorders>
              <w:top w:val="nil"/>
              <w:left w:val="nil"/>
              <w:bottom w:val="nil"/>
              <w:right w:val="nil"/>
            </w:tcBorders>
            <w:vAlign w:val="center"/>
          </w:tcPr>
          <w:p w14:paraId="0D4164BC">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0.683</w:t>
            </w:r>
          </w:p>
        </w:tc>
      </w:tr>
      <w:tr w14:paraId="69FB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5898FE73">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00666716">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738D5A4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0.714</w:t>
            </w:r>
          </w:p>
        </w:tc>
        <w:tc>
          <w:tcPr>
            <w:tcW w:w="1491" w:type="dxa"/>
            <w:tcBorders>
              <w:top w:val="nil"/>
              <w:left w:val="nil"/>
              <w:bottom w:val="nil"/>
              <w:right w:val="nil"/>
            </w:tcBorders>
            <w:vAlign w:val="center"/>
          </w:tcPr>
          <w:p w14:paraId="10CD6B34">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0.700</w:t>
            </w:r>
          </w:p>
        </w:tc>
        <w:tc>
          <w:tcPr>
            <w:tcW w:w="1381" w:type="dxa"/>
            <w:tcBorders>
              <w:top w:val="nil"/>
              <w:left w:val="nil"/>
              <w:bottom w:val="nil"/>
              <w:right w:val="nil"/>
            </w:tcBorders>
            <w:vAlign w:val="center"/>
          </w:tcPr>
          <w:p w14:paraId="33967319">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0.708</w:t>
            </w:r>
          </w:p>
        </w:tc>
        <w:tc>
          <w:tcPr>
            <w:tcW w:w="878" w:type="dxa"/>
            <w:tcBorders>
              <w:top w:val="nil"/>
              <w:left w:val="nil"/>
              <w:bottom w:val="nil"/>
              <w:right w:val="nil"/>
            </w:tcBorders>
            <w:vAlign w:val="center"/>
          </w:tcPr>
          <w:p w14:paraId="2DCA4B5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0.769</w:t>
            </w:r>
          </w:p>
        </w:tc>
        <w:tc>
          <w:tcPr>
            <w:tcW w:w="878" w:type="dxa"/>
            <w:tcBorders>
              <w:top w:val="nil"/>
              <w:left w:val="nil"/>
              <w:bottom w:val="nil"/>
              <w:right w:val="nil"/>
            </w:tcBorders>
            <w:vAlign w:val="center"/>
          </w:tcPr>
          <w:p w14:paraId="44B835F9">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0.636</w:t>
            </w:r>
          </w:p>
        </w:tc>
      </w:tr>
      <w:tr w14:paraId="49A9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6A9B537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6</w:t>
            </w:r>
          </w:p>
        </w:tc>
        <w:tc>
          <w:tcPr>
            <w:tcW w:w="1212" w:type="dxa"/>
            <w:tcBorders>
              <w:top w:val="nil"/>
              <w:left w:val="nil"/>
              <w:bottom w:val="nil"/>
              <w:right w:val="nil"/>
            </w:tcBorders>
            <w:vAlign w:val="center"/>
          </w:tcPr>
          <w:p w14:paraId="63DD37E5">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38B6333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0.785</w:t>
            </w:r>
          </w:p>
        </w:tc>
        <w:tc>
          <w:tcPr>
            <w:tcW w:w="1491" w:type="dxa"/>
            <w:tcBorders>
              <w:top w:val="nil"/>
              <w:left w:val="nil"/>
              <w:bottom w:val="nil"/>
              <w:right w:val="nil"/>
            </w:tcBorders>
            <w:vAlign w:val="center"/>
          </w:tcPr>
          <w:p w14:paraId="40D7BBD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0.800</w:t>
            </w:r>
          </w:p>
        </w:tc>
        <w:tc>
          <w:tcPr>
            <w:tcW w:w="1381" w:type="dxa"/>
            <w:tcBorders>
              <w:top w:val="nil"/>
              <w:left w:val="nil"/>
              <w:bottom w:val="nil"/>
              <w:right w:val="nil"/>
            </w:tcBorders>
            <w:vAlign w:val="center"/>
          </w:tcPr>
          <w:p w14:paraId="2F4D1DE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0.791</w:t>
            </w:r>
          </w:p>
        </w:tc>
        <w:tc>
          <w:tcPr>
            <w:tcW w:w="878" w:type="dxa"/>
            <w:tcBorders>
              <w:top w:val="nil"/>
              <w:left w:val="nil"/>
              <w:bottom w:val="nil"/>
              <w:right w:val="nil"/>
            </w:tcBorders>
            <w:vAlign w:val="center"/>
          </w:tcPr>
          <w:p w14:paraId="3C815D7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0.850</w:t>
            </w:r>
          </w:p>
        </w:tc>
        <w:tc>
          <w:tcPr>
            <w:tcW w:w="878" w:type="dxa"/>
            <w:tcBorders>
              <w:top w:val="nil"/>
              <w:left w:val="nil"/>
              <w:bottom w:val="nil"/>
              <w:right w:val="nil"/>
            </w:tcBorders>
            <w:vAlign w:val="center"/>
          </w:tcPr>
          <w:p w14:paraId="49EAA42C">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0.720</w:t>
            </w:r>
          </w:p>
        </w:tc>
      </w:tr>
      <w:tr w14:paraId="2D91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74EF5A35">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1D64A68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39556BE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0.857</w:t>
            </w:r>
          </w:p>
        </w:tc>
        <w:tc>
          <w:tcPr>
            <w:tcW w:w="1491" w:type="dxa"/>
            <w:tcBorders>
              <w:top w:val="nil"/>
              <w:left w:val="nil"/>
              <w:bottom w:val="nil"/>
              <w:right w:val="nil"/>
            </w:tcBorders>
            <w:vAlign w:val="center"/>
          </w:tcPr>
          <w:p w14:paraId="1D183A4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0.600</w:t>
            </w:r>
          </w:p>
        </w:tc>
        <w:tc>
          <w:tcPr>
            <w:tcW w:w="1381" w:type="dxa"/>
            <w:tcBorders>
              <w:top w:val="nil"/>
              <w:left w:val="nil"/>
              <w:bottom w:val="nil"/>
              <w:right w:val="nil"/>
            </w:tcBorders>
            <w:vAlign w:val="center"/>
          </w:tcPr>
          <w:p w14:paraId="457FAD3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c>
          <w:tcPr>
            <w:tcW w:w="878" w:type="dxa"/>
            <w:tcBorders>
              <w:top w:val="nil"/>
              <w:left w:val="nil"/>
              <w:bottom w:val="nil"/>
              <w:right w:val="nil"/>
            </w:tcBorders>
            <w:vAlign w:val="center"/>
          </w:tcPr>
          <w:p w14:paraId="4E24525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c>
          <w:tcPr>
            <w:tcW w:w="878" w:type="dxa"/>
            <w:tcBorders>
              <w:top w:val="nil"/>
              <w:left w:val="nil"/>
              <w:bottom w:val="nil"/>
              <w:right w:val="nil"/>
            </w:tcBorders>
            <w:vAlign w:val="center"/>
          </w:tcPr>
          <w:p w14:paraId="6277EB7C">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r>
      <w:tr w14:paraId="37D9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4EA562D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7</w:t>
            </w:r>
          </w:p>
        </w:tc>
        <w:tc>
          <w:tcPr>
            <w:tcW w:w="1212" w:type="dxa"/>
            <w:tcBorders>
              <w:top w:val="nil"/>
              <w:left w:val="nil"/>
              <w:bottom w:val="nil"/>
              <w:right w:val="nil"/>
            </w:tcBorders>
            <w:vAlign w:val="center"/>
          </w:tcPr>
          <w:p w14:paraId="39CE16B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324A5C4C">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0.831</w:t>
            </w:r>
          </w:p>
        </w:tc>
        <w:tc>
          <w:tcPr>
            <w:tcW w:w="1491" w:type="dxa"/>
            <w:tcBorders>
              <w:top w:val="nil"/>
              <w:left w:val="nil"/>
              <w:bottom w:val="nil"/>
              <w:right w:val="nil"/>
            </w:tcBorders>
            <w:vAlign w:val="center"/>
          </w:tcPr>
          <w:p w14:paraId="69C3A61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0.756</w:t>
            </w:r>
          </w:p>
        </w:tc>
        <w:tc>
          <w:tcPr>
            <w:tcW w:w="1381" w:type="dxa"/>
            <w:tcBorders>
              <w:top w:val="nil"/>
              <w:left w:val="nil"/>
              <w:bottom w:val="nil"/>
              <w:right w:val="nil"/>
            </w:tcBorders>
            <w:vAlign w:val="center"/>
          </w:tcPr>
          <w:p w14:paraId="11C71846">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0.800</w:t>
            </w:r>
          </w:p>
        </w:tc>
        <w:tc>
          <w:tcPr>
            <w:tcW w:w="878" w:type="dxa"/>
            <w:tcBorders>
              <w:top w:val="nil"/>
              <w:left w:val="nil"/>
              <w:bottom w:val="nil"/>
              <w:right w:val="nil"/>
            </w:tcBorders>
            <w:vAlign w:val="center"/>
          </w:tcPr>
          <w:p w14:paraId="1DFAE217">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0.831</w:t>
            </w:r>
          </w:p>
        </w:tc>
        <w:tc>
          <w:tcPr>
            <w:tcW w:w="878" w:type="dxa"/>
            <w:tcBorders>
              <w:top w:val="nil"/>
              <w:left w:val="nil"/>
              <w:bottom w:val="nil"/>
              <w:right w:val="nil"/>
            </w:tcBorders>
            <w:vAlign w:val="center"/>
          </w:tcPr>
          <w:p w14:paraId="3CC049B9">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0.756</w:t>
            </w:r>
          </w:p>
        </w:tc>
      </w:tr>
      <w:tr w14:paraId="0620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nil"/>
              <w:right w:val="nil"/>
            </w:tcBorders>
          </w:tcPr>
          <w:p w14:paraId="1D2085AF">
            <w:pPr>
              <w:snapToGrid w:val="0"/>
              <w:spacing w:line="360" w:lineRule="auto"/>
              <w:rPr>
                <w:rFonts w:ascii="Times New Roman" w:hAnsi="Times New Roman" w:eastAsia="宋体" w:cs="Times New Roman"/>
                <w:sz w:val="24"/>
              </w:rPr>
            </w:pPr>
          </w:p>
        </w:tc>
        <w:tc>
          <w:tcPr>
            <w:tcW w:w="1212" w:type="dxa"/>
            <w:tcBorders>
              <w:top w:val="nil"/>
              <w:left w:val="nil"/>
              <w:bottom w:val="nil"/>
              <w:right w:val="nil"/>
            </w:tcBorders>
            <w:vAlign w:val="center"/>
          </w:tcPr>
          <w:p w14:paraId="03B53D8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nil"/>
              <w:right w:val="nil"/>
            </w:tcBorders>
            <w:vAlign w:val="center"/>
          </w:tcPr>
          <w:p w14:paraId="5B062B4C">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0.857</w:t>
            </w:r>
          </w:p>
        </w:tc>
        <w:tc>
          <w:tcPr>
            <w:tcW w:w="1491" w:type="dxa"/>
            <w:tcBorders>
              <w:top w:val="nil"/>
              <w:left w:val="nil"/>
              <w:bottom w:val="nil"/>
              <w:right w:val="nil"/>
            </w:tcBorders>
            <w:vAlign w:val="center"/>
          </w:tcPr>
          <w:p w14:paraId="16B7F8D9">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0.600</w:t>
            </w:r>
          </w:p>
        </w:tc>
        <w:tc>
          <w:tcPr>
            <w:tcW w:w="1381" w:type="dxa"/>
            <w:tcBorders>
              <w:top w:val="nil"/>
              <w:left w:val="nil"/>
              <w:bottom w:val="nil"/>
              <w:right w:val="nil"/>
            </w:tcBorders>
            <w:vAlign w:val="center"/>
          </w:tcPr>
          <w:p w14:paraId="2AD26870">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c>
          <w:tcPr>
            <w:tcW w:w="878" w:type="dxa"/>
            <w:tcBorders>
              <w:top w:val="nil"/>
              <w:left w:val="nil"/>
              <w:bottom w:val="nil"/>
              <w:right w:val="nil"/>
            </w:tcBorders>
            <w:vAlign w:val="center"/>
          </w:tcPr>
          <w:p w14:paraId="64FD4EB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c>
          <w:tcPr>
            <w:tcW w:w="878" w:type="dxa"/>
            <w:tcBorders>
              <w:top w:val="nil"/>
              <w:left w:val="nil"/>
              <w:bottom w:val="nil"/>
              <w:right w:val="nil"/>
            </w:tcBorders>
            <w:vAlign w:val="center"/>
          </w:tcPr>
          <w:p w14:paraId="64C21EB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0.750</w:t>
            </w:r>
          </w:p>
        </w:tc>
      </w:tr>
      <w:tr w14:paraId="34B9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restart"/>
            <w:tcBorders>
              <w:top w:val="nil"/>
              <w:left w:val="nil"/>
              <w:bottom w:val="nil"/>
              <w:right w:val="nil"/>
            </w:tcBorders>
            <w:vAlign w:val="center"/>
          </w:tcPr>
          <w:p w14:paraId="24068D0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Model 8</w:t>
            </w:r>
          </w:p>
        </w:tc>
        <w:tc>
          <w:tcPr>
            <w:tcW w:w="1212" w:type="dxa"/>
            <w:tcBorders>
              <w:top w:val="nil"/>
              <w:left w:val="nil"/>
              <w:bottom w:val="nil"/>
              <w:right w:val="nil"/>
            </w:tcBorders>
            <w:vAlign w:val="center"/>
          </w:tcPr>
          <w:p w14:paraId="2A5C7A04">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Training</w:t>
            </w:r>
          </w:p>
        </w:tc>
        <w:tc>
          <w:tcPr>
            <w:tcW w:w="1491" w:type="dxa"/>
            <w:tcBorders>
              <w:top w:val="nil"/>
              <w:left w:val="nil"/>
              <w:bottom w:val="nil"/>
              <w:right w:val="nil"/>
            </w:tcBorders>
            <w:vAlign w:val="center"/>
          </w:tcPr>
          <w:p w14:paraId="38C1C1B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0.846</w:t>
            </w:r>
          </w:p>
        </w:tc>
        <w:tc>
          <w:tcPr>
            <w:tcW w:w="1491" w:type="dxa"/>
            <w:tcBorders>
              <w:top w:val="nil"/>
              <w:left w:val="nil"/>
              <w:bottom w:val="nil"/>
              <w:right w:val="nil"/>
            </w:tcBorders>
            <w:vAlign w:val="center"/>
          </w:tcPr>
          <w:p w14:paraId="7C30A61F">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0.778</w:t>
            </w:r>
          </w:p>
        </w:tc>
        <w:tc>
          <w:tcPr>
            <w:tcW w:w="1381" w:type="dxa"/>
            <w:tcBorders>
              <w:top w:val="nil"/>
              <w:left w:val="nil"/>
              <w:bottom w:val="nil"/>
              <w:right w:val="nil"/>
            </w:tcBorders>
            <w:vAlign w:val="center"/>
          </w:tcPr>
          <w:p w14:paraId="7161F90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0.818</w:t>
            </w:r>
          </w:p>
        </w:tc>
        <w:tc>
          <w:tcPr>
            <w:tcW w:w="878" w:type="dxa"/>
            <w:tcBorders>
              <w:top w:val="nil"/>
              <w:left w:val="nil"/>
              <w:bottom w:val="nil"/>
              <w:right w:val="nil"/>
            </w:tcBorders>
            <w:vAlign w:val="center"/>
          </w:tcPr>
          <w:p w14:paraId="569AA468">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0.846</w:t>
            </w:r>
          </w:p>
        </w:tc>
        <w:tc>
          <w:tcPr>
            <w:tcW w:w="878" w:type="dxa"/>
            <w:tcBorders>
              <w:top w:val="nil"/>
              <w:left w:val="nil"/>
              <w:bottom w:val="nil"/>
              <w:right w:val="nil"/>
            </w:tcBorders>
            <w:vAlign w:val="center"/>
          </w:tcPr>
          <w:p w14:paraId="05A20C2A">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0.778</w:t>
            </w:r>
          </w:p>
        </w:tc>
      </w:tr>
      <w:tr w14:paraId="64F7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88" w:type="dxa"/>
            <w:vMerge w:val="continue"/>
            <w:tcBorders>
              <w:top w:val="nil"/>
              <w:left w:val="nil"/>
              <w:bottom w:val="single" w:color="auto" w:sz="12" w:space="0"/>
              <w:right w:val="nil"/>
            </w:tcBorders>
          </w:tcPr>
          <w:p w14:paraId="48B1EF40">
            <w:pPr>
              <w:snapToGrid w:val="0"/>
              <w:spacing w:line="360" w:lineRule="auto"/>
              <w:rPr>
                <w:rFonts w:ascii="Times New Roman" w:hAnsi="Times New Roman" w:eastAsia="宋体" w:cs="Times New Roman"/>
                <w:sz w:val="24"/>
              </w:rPr>
            </w:pPr>
          </w:p>
        </w:tc>
        <w:tc>
          <w:tcPr>
            <w:tcW w:w="1212" w:type="dxa"/>
            <w:tcBorders>
              <w:top w:val="nil"/>
              <w:left w:val="nil"/>
              <w:bottom w:val="single" w:color="auto" w:sz="12" w:space="0"/>
              <w:right w:val="nil"/>
            </w:tcBorders>
            <w:vAlign w:val="center"/>
          </w:tcPr>
          <w:p w14:paraId="6D343CD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Testing</w:t>
            </w:r>
          </w:p>
        </w:tc>
        <w:tc>
          <w:tcPr>
            <w:tcW w:w="1491" w:type="dxa"/>
            <w:tcBorders>
              <w:top w:val="nil"/>
              <w:left w:val="nil"/>
              <w:bottom w:val="single" w:color="auto" w:sz="12" w:space="0"/>
              <w:right w:val="nil"/>
            </w:tcBorders>
            <w:vAlign w:val="center"/>
          </w:tcPr>
          <w:p w14:paraId="080E2493">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0.893</w:t>
            </w:r>
          </w:p>
        </w:tc>
        <w:tc>
          <w:tcPr>
            <w:tcW w:w="1491" w:type="dxa"/>
            <w:tcBorders>
              <w:top w:val="nil"/>
              <w:left w:val="nil"/>
              <w:bottom w:val="single" w:color="auto" w:sz="12" w:space="0"/>
              <w:right w:val="nil"/>
            </w:tcBorders>
            <w:vAlign w:val="center"/>
          </w:tcPr>
          <w:p w14:paraId="219DDE9D">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0.600</w:t>
            </w:r>
          </w:p>
        </w:tc>
        <w:tc>
          <w:tcPr>
            <w:tcW w:w="1381" w:type="dxa"/>
            <w:tcBorders>
              <w:top w:val="nil"/>
              <w:left w:val="nil"/>
              <w:bottom w:val="single" w:color="auto" w:sz="12" w:space="0"/>
              <w:right w:val="nil"/>
            </w:tcBorders>
            <w:vAlign w:val="center"/>
          </w:tcPr>
          <w:p w14:paraId="40720441">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0.771</w:t>
            </w:r>
          </w:p>
        </w:tc>
        <w:tc>
          <w:tcPr>
            <w:tcW w:w="878" w:type="dxa"/>
            <w:tcBorders>
              <w:top w:val="nil"/>
              <w:left w:val="nil"/>
              <w:bottom w:val="single" w:color="auto" w:sz="12" w:space="0"/>
              <w:right w:val="nil"/>
            </w:tcBorders>
            <w:vAlign w:val="center"/>
          </w:tcPr>
          <w:p w14:paraId="7119F592">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0.758</w:t>
            </w:r>
          </w:p>
        </w:tc>
        <w:tc>
          <w:tcPr>
            <w:tcW w:w="878" w:type="dxa"/>
            <w:tcBorders>
              <w:top w:val="nil"/>
              <w:left w:val="nil"/>
              <w:bottom w:val="single" w:color="auto" w:sz="12" w:space="0"/>
              <w:right w:val="nil"/>
            </w:tcBorders>
            <w:vAlign w:val="center"/>
          </w:tcPr>
          <w:p w14:paraId="0BEED894">
            <w:pPr>
              <w:widowControl/>
              <w:snapToGrid w:val="0"/>
              <w:spacing w:line="360" w:lineRule="auto"/>
              <w:jc w:val="center"/>
              <w:textAlignment w:val="center"/>
              <w:rPr>
                <w:rFonts w:ascii="Times New Roman" w:hAnsi="Times New Roman" w:eastAsia="宋体" w:cs="Times New Roman"/>
                <w:sz w:val="24"/>
              </w:rPr>
            </w:pPr>
            <w:r>
              <w:rPr>
                <w:rFonts w:ascii="Times New Roman" w:hAnsi="Times New Roman" w:eastAsia="宋体" w:cs="Times New Roman"/>
                <w:color w:val="000000"/>
                <w:kern w:val="0"/>
                <w:sz w:val="24"/>
                <w:lang w:bidi="ar"/>
              </w:rPr>
              <w:t>0.800</w:t>
            </w:r>
          </w:p>
        </w:tc>
      </w:tr>
    </w:tbl>
    <w:p w14:paraId="02385967">
      <w:pPr>
        <w:widowControl/>
        <w:snapToGrid w:val="0"/>
        <w:spacing w:line="360" w:lineRule="auto"/>
        <w:jc w:val="left"/>
        <w:textAlignment w:val="center"/>
        <w:rPr>
          <w:rFonts w:ascii="Times New Roman" w:hAnsi="Times New Roman" w:eastAsia="宋体" w:cs="Times New Roman"/>
          <w:i/>
          <w:iCs/>
          <w:sz w:val="20"/>
          <w:szCs w:val="20"/>
        </w:rPr>
      </w:pPr>
      <w:r>
        <w:rPr>
          <w:rFonts w:ascii="Times New Roman" w:hAnsi="Times New Roman" w:eastAsia="宋体" w:cs="Times New Roman"/>
          <w:i/>
          <w:iCs/>
          <w:sz w:val="20"/>
          <w:szCs w:val="20"/>
        </w:rPr>
        <w:t>The model uses a 0.7 and 0.3 split for the training set and testing set. The training set undergoes 5-fold cross-validation, and grid search is used to determine the best parameters. AUC: area under the curve. PPV:positive predictive value. NPV:negative predictive value.</w:t>
      </w:r>
    </w:p>
    <w:p w14:paraId="46CA806F">
      <w:pPr>
        <w:widowControl/>
        <w:snapToGrid w:val="0"/>
        <w:spacing w:line="360" w:lineRule="auto"/>
        <w:jc w:val="left"/>
        <w:textAlignment w:val="center"/>
        <w:rPr>
          <w:rFonts w:ascii="Times New Roman" w:hAnsi="Times New Roman" w:eastAsia="宋体" w:cs="Times New Roman"/>
          <w:sz w:val="24"/>
          <w:lang w:eastAsia="en-US"/>
        </w:rPr>
      </w:pPr>
    </w:p>
    <w:p w14:paraId="61AE0F1F">
      <w:pPr>
        <w:spacing w:after="156" w:afterLines="50" w:line="360" w:lineRule="auto"/>
        <w:rPr>
          <w:rFonts w:ascii="Times New Roman" w:hAnsi="Times New Roman" w:cs="Times New Roman"/>
          <w:b/>
          <w:bCs/>
          <w:sz w:val="28"/>
          <w:szCs w:val="36"/>
        </w:rPr>
      </w:pPr>
      <w:r>
        <w:rPr>
          <w:rFonts w:ascii="Times New Roman" w:hAnsi="Times New Roman" w:eastAsia="宋体" w:cs="Times New Roman"/>
          <w:b/>
          <w:bCs/>
          <w:color w:val="000000"/>
          <w:kern w:val="0"/>
          <w:sz w:val="24"/>
        </w:rPr>
        <w:t xml:space="preserve">Supplementary Table </w:t>
      </w:r>
      <w:r>
        <w:rPr>
          <w:rFonts w:hint="eastAsia" w:ascii="Times New Roman" w:hAnsi="Times New Roman" w:eastAsia="宋体" w:cs="Times New Roman"/>
          <w:b/>
          <w:bCs/>
          <w:color w:val="000000"/>
          <w:kern w:val="0"/>
          <w:sz w:val="24"/>
          <w:lang w:val="en-US" w:eastAsia="zh-CN"/>
        </w:rPr>
        <w:t>S</w:t>
      </w:r>
      <w:r>
        <w:rPr>
          <w:rFonts w:ascii="Times New Roman" w:hAnsi="Times New Roman" w:eastAsia="宋体" w:cs="Times New Roman"/>
          <w:b/>
          <w:bCs/>
          <w:color w:val="000000"/>
          <w:kern w:val="0"/>
          <w:sz w:val="24"/>
        </w:rPr>
        <w:t xml:space="preserve">8: </w:t>
      </w:r>
      <w:r>
        <w:rPr>
          <w:rFonts w:ascii="Times New Roman" w:hAnsi="Times New Roman" w:eastAsia="宋体" w:cs="Times New Roman"/>
          <w:color w:val="000000"/>
          <w:kern w:val="0"/>
          <w:sz w:val="24"/>
        </w:rPr>
        <w:t>Multivariable Cox proportional hazards analysis of invasive imaging score for relapse-free survival(RFS)</w:t>
      </w:r>
    </w:p>
    <w:tbl>
      <w:tblPr>
        <w:tblStyle w:val="6"/>
        <w:tblW w:w="8853" w:type="dxa"/>
        <w:jc w:val="center"/>
        <w:tblLayout w:type="autofit"/>
        <w:tblCellMar>
          <w:top w:w="0" w:type="dxa"/>
          <w:left w:w="108" w:type="dxa"/>
          <w:bottom w:w="0" w:type="dxa"/>
          <w:right w:w="108" w:type="dxa"/>
        </w:tblCellMar>
      </w:tblPr>
      <w:tblGrid>
        <w:gridCol w:w="2595"/>
        <w:gridCol w:w="1146"/>
        <w:gridCol w:w="2060"/>
        <w:gridCol w:w="1526"/>
        <w:gridCol w:w="1526"/>
      </w:tblGrid>
      <w:tr w14:paraId="743E85BD">
        <w:tblPrEx>
          <w:tblCellMar>
            <w:top w:w="0" w:type="dxa"/>
            <w:left w:w="108" w:type="dxa"/>
            <w:bottom w:w="0" w:type="dxa"/>
            <w:right w:w="108" w:type="dxa"/>
          </w:tblCellMar>
        </w:tblPrEx>
        <w:trPr>
          <w:tblHeader/>
          <w:jc w:val="center"/>
        </w:trPr>
        <w:tc>
          <w:tcPr>
            <w:tcW w:w="2595" w:type="dxa"/>
            <w:tcBorders>
              <w:top w:val="single" w:color="auto" w:sz="12" w:space="0"/>
              <w:left w:val="nil"/>
              <w:bottom w:val="single" w:color="auto" w:sz="6" w:space="0"/>
              <w:right w:val="nil"/>
            </w:tcBorders>
            <w:vAlign w:val="center"/>
          </w:tcPr>
          <w:p w14:paraId="6D86FF36">
            <w:pPr>
              <w:widowControl/>
              <w:snapToGrid w:val="0"/>
              <w:spacing w:after="200"/>
              <w:jc w:val="center"/>
              <w:rPr>
                <w:rFonts w:ascii="Times New Roman" w:hAnsi="Times New Roman" w:eastAsia="MS Mincho" w:cs="Times New Roman"/>
                <w:b/>
                <w:kern w:val="0"/>
                <w:sz w:val="18"/>
                <w:szCs w:val="18"/>
              </w:rPr>
            </w:pPr>
            <w:r>
              <w:rPr>
                <w:rFonts w:ascii="Times New Roman" w:hAnsi="Times New Roman" w:eastAsia="MS Mincho" w:cs="Times New Roman"/>
                <w:b/>
                <w:kern w:val="0"/>
                <w:sz w:val="18"/>
                <w:szCs w:val="18"/>
              </w:rPr>
              <w:t>Model</w:t>
            </w:r>
          </w:p>
        </w:tc>
        <w:tc>
          <w:tcPr>
            <w:tcW w:w="1146" w:type="dxa"/>
            <w:tcBorders>
              <w:top w:val="single" w:color="auto" w:sz="12" w:space="0"/>
              <w:left w:val="nil"/>
              <w:bottom w:val="single" w:color="auto" w:sz="6" w:space="0"/>
              <w:right w:val="nil"/>
            </w:tcBorders>
            <w:vAlign w:val="center"/>
          </w:tcPr>
          <w:p w14:paraId="6EF9AA7C">
            <w:pPr>
              <w:widowControl/>
              <w:snapToGrid w:val="0"/>
              <w:spacing w:after="200"/>
              <w:jc w:val="center"/>
              <w:rPr>
                <w:rFonts w:ascii="Times New Roman" w:hAnsi="Times New Roman" w:eastAsia="MS Mincho" w:cs="Times New Roman"/>
                <w:b/>
                <w:kern w:val="0"/>
                <w:sz w:val="18"/>
                <w:szCs w:val="18"/>
                <w:lang w:eastAsia="en-US"/>
              </w:rPr>
            </w:pPr>
            <w:r>
              <w:rPr>
                <w:rFonts w:ascii="Times New Roman" w:hAnsi="Times New Roman" w:eastAsia="MS Mincho" w:cs="Times New Roman"/>
                <w:b/>
                <w:kern w:val="0"/>
                <w:sz w:val="18"/>
                <w:szCs w:val="18"/>
                <w:lang w:eastAsia="en-US"/>
              </w:rPr>
              <w:t>HR</w:t>
            </w:r>
          </w:p>
        </w:tc>
        <w:tc>
          <w:tcPr>
            <w:tcW w:w="2060" w:type="dxa"/>
            <w:tcBorders>
              <w:top w:val="single" w:color="auto" w:sz="12" w:space="0"/>
              <w:left w:val="nil"/>
              <w:bottom w:val="single" w:color="auto" w:sz="6" w:space="0"/>
              <w:right w:val="nil"/>
            </w:tcBorders>
            <w:vAlign w:val="center"/>
          </w:tcPr>
          <w:p w14:paraId="7B0E383A">
            <w:pPr>
              <w:widowControl/>
              <w:snapToGrid w:val="0"/>
              <w:spacing w:after="200"/>
              <w:jc w:val="center"/>
              <w:rPr>
                <w:rFonts w:ascii="Times New Roman" w:hAnsi="Times New Roman" w:eastAsia="MS Mincho" w:cs="Times New Roman"/>
                <w:b/>
                <w:kern w:val="0"/>
                <w:sz w:val="18"/>
                <w:szCs w:val="18"/>
                <w:lang w:eastAsia="en-US"/>
              </w:rPr>
            </w:pPr>
            <w:r>
              <w:rPr>
                <w:rFonts w:ascii="Times New Roman" w:hAnsi="Times New Roman" w:eastAsia="MS Mincho" w:cs="Times New Roman"/>
                <w:b/>
                <w:kern w:val="0"/>
                <w:sz w:val="18"/>
                <w:szCs w:val="18"/>
                <w:lang w:eastAsia="en-US"/>
              </w:rPr>
              <w:t>95% CI</w:t>
            </w:r>
          </w:p>
        </w:tc>
        <w:tc>
          <w:tcPr>
            <w:tcW w:w="1526" w:type="dxa"/>
            <w:tcBorders>
              <w:top w:val="single" w:color="auto" w:sz="12" w:space="0"/>
              <w:left w:val="nil"/>
              <w:bottom w:val="single" w:color="auto" w:sz="6" w:space="0"/>
              <w:right w:val="nil"/>
            </w:tcBorders>
            <w:vAlign w:val="center"/>
          </w:tcPr>
          <w:p w14:paraId="6B8FF989">
            <w:pPr>
              <w:widowControl/>
              <w:snapToGrid w:val="0"/>
              <w:spacing w:after="200"/>
              <w:jc w:val="center"/>
              <w:rPr>
                <w:rFonts w:ascii="Times New Roman" w:hAnsi="Times New Roman" w:eastAsia="宋体" w:cs="Times New Roman"/>
                <w:b/>
                <w:kern w:val="0"/>
                <w:sz w:val="18"/>
                <w:szCs w:val="18"/>
              </w:rPr>
            </w:pPr>
            <w:r>
              <w:rPr>
                <w:rFonts w:ascii="Times New Roman" w:hAnsi="Times New Roman" w:eastAsia="宋体" w:cs="Times New Roman"/>
                <w:b/>
                <w:kern w:val="0"/>
                <w:sz w:val="18"/>
                <w:szCs w:val="18"/>
              </w:rPr>
              <w:t>P</w:t>
            </w:r>
          </w:p>
        </w:tc>
        <w:tc>
          <w:tcPr>
            <w:tcW w:w="1526" w:type="dxa"/>
            <w:tcBorders>
              <w:top w:val="single" w:color="auto" w:sz="12" w:space="0"/>
              <w:left w:val="nil"/>
              <w:bottom w:val="single" w:color="auto" w:sz="6" w:space="0"/>
              <w:right w:val="nil"/>
            </w:tcBorders>
            <w:vAlign w:val="center"/>
          </w:tcPr>
          <w:p w14:paraId="0D64EF57">
            <w:pPr>
              <w:widowControl/>
              <w:snapToGrid w:val="0"/>
              <w:spacing w:after="200"/>
              <w:jc w:val="center"/>
              <w:rPr>
                <w:rFonts w:ascii="Times New Roman" w:hAnsi="Times New Roman" w:eastAsia="MS Mincho" w:cs="Times New Roman"/>
                <w:b/>
                <w:kern w:val="0"/>
                <w:sz w:val="18"/>
                <w:szCs w:val="18"/>
                <w:lang w:eastAsia="en-US"/>
              </w:rPr>
            </w:pPr>
            <w:r>
              <w:rPr>
                <w:rFonts w:ascii="Times New Roman" w:hAnsi="Times New Roman" w:eastAsia="MS Mincho" w:cs="Times New Roman"/>
                <w:b/>
                <w:kern w:val="0"/>
                <w:sz w:val="18"/>
                <w:szCs w:val="18"/>
                <w:lang w:eastAsia="en-US"/>
              </w:rPr>
              <w:t>C-index</w:t>
            </w:r>
          </w:p>
        </w:tc>
      </w:tr>
      <w:tr w14:paraId="18BC74DB">
        <w:tblPrEx>
          <w:tblCellMar>
            <w:top w:w="0" w:type="dxa"/>
            <w:left w:w="108" w:type="dxa"/>
            <w:bottom w:w="0" w:type="dxa"/>
            <w:right w:w="108" w:type="dxa"/>
          </w:tblCellMar>
        </w:tblPrEx>
        <w:trPr>
          <w:jc w:val="center"/>
        </w:trPr>
        <w:tc>
          <w:tcPr>
            <w:tcW w:w="2595" w:type="dxa"/>
            <w:tcBorders>
              <w:top w:val="single" w:color="auto" w:sz="6" w:space="0"/>
              <w:left w:val="nil"/>
              <w:bottom w:val="nil"/>
              <w:right w:val="nil"/>
            </w:tcBorders>
            <w:vAlign w:val="center"/>
          </w:tcPr>
          <w:p w14:paraId="1D9D9926">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ctSI</w:t>
            </w:r>
          </w:p>
        </w:tc>
        <w:tc>
          <w:tcPr>
            <w:tcW w:w="1146" w:type="dxa"/>
            <w:tcBorders>
              <w:top w:val="single" w:color="auto" w:sz="6" w:space="0"/>
              <w:left w:val="nil"/>
              <w:bottom w:val="nil"/>
              <w:right w:val="nil"/>
            </w:tcBorders>
            <w:vAlign w:val="center"/>
          </w:tcPr>
          <w:p w14:paraId="42091973">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1.85</w:t>
            </w:r>
          </w:p>
        </w:tc>
        <w:tc>
          <w:tcPr>
            <w:tcW w:w="2060" w:type="dxa"/>
            <w:tcBorders>
              <w:top w:val="single" w:color="auto" w:sz="6" w:space="0"/>
              <w:left w:val="nil"/>
              <w:bottom w:val="nil"/>
              <w:right w:val="nil"/>
            </w:tcBorders>
            <w:vAlign w:val="center"/>
          </w:tcPr>
          <w:p w14:paraId="72223807">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0.91–3.78</w:t>
            </w:r>
          </w:p>
        </w:tc>
        <w:tc>
          <w:tcPr>
            <w:tcW w:w="1526" w:type="dxa"/>
            <w:tcBorders>
              <w:top w:val="single" w:color="auto" w:sz="6" w:space="0"/>
              <w:left w:val="nil"/>
              <w:bottom w:val="nil"/>
              <w:right w:val="nil"/>
            </w:tcBorders>
            <w:vAlign w:val="center"/>
          </w:tcPr>
          <w:p w14:paraId="25CC49EC">
            <w:pPr>
              <w:widowControl/>
              <w:snapToGrid w:val="0"/>
              <w:spacing w:after="20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0.09</w:t>
            </w:r>
          </w:p>
        </w:tc>
        <w:tc>
          <w:tcPr>
            <w:tcW w:w="1526" w:type="dxa"/>
            <w:tcBorders>
              <w:top w:val="single" w:color="auto" w:sz="6" w:space="0"/>
              <w:left w:val="nil"/>
              <w:bottom w:val="nil"/>
              <w:right w:val="nil"/>
            </w:tcBorders>
            <w:vAlign w:val="center"/>
          </w:tcPr>
          <w:p w14:paraId="293CB36F">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0.650</w:t>
            </w:r>
          </w:p>
        </w:tc>
      </w:tr>
      <w:tr w14:paraId="092499D9">
        <w:tblPrEx>
          <w:tblCellMar>
            <w:top w:w="0" w:type="dxa"/>
            <w:left w:w="108" w:type="dxa"/>
            <w:bottom w:w="0" w:type="dxa"/>
            <w:right w:w="108" w:type="dxa"/>
          </w:tblCellMar>
        </w:tblPrEx>
        <w:trPr>
          <w:jc w:val="center"/>
        </w:trPr>
        <w:tc>
          <w:tcPr>
            <w:tcW w:w="2595" w:type="dxa"/>
            <w:tcBorders>
              <w:top w:val="nil"/>
              <w:left w:val="nil"/>
              <w:bottom w:val="nil"/>
              <w:right w:val="nil"/>
            </w:tcBorders>
            <w:vAlign w:val="center"/>
          </w:tcPr>
          <w:p w14:paraId="10DBACA2">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ctEMVI</w:t>
            </w:r>
          </w:p>
        </w:tc>
        <w:tc>
          <w:tcPr>
            <w:tcW w:w="1146" w:type="dxa"/>
            <w:tcBorders>
              <w:top w:val="nil"/>
              <w:left w:val="nil"/>
              <w:bottom w:val="nil"/>
              <w:right w:val="nil"/>
            </w:tcBorders>
            <w:vAlign w:val="center"/>
          </w:tcPr>
          <w:p w14:paraId="567A89BC">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5.16</w:t>
            </w:r>
          </w:p>
        </w:tc>
        <w:tc>
          <w:tcPr>
            <w:tcW w:w="2060" w:type="dxa"/>
            <w:tcBorders>
              <w:top w:val="nil"/>
              <w:left w:val="nil"/>
              <w:bottom w:val="nil"/>
              <w:right w:val="nil"/>
            </w:tcBorders>
            <w:vAlign w:val="center"/>
          </w:tcPr>
          <w:p w14:paraId="3602C4B1">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1.97–13.47</w:t>
            </w:r>
          </w:p>
        </w:tc>
        <w:tc>
          <w:tcPr>
            <w:tcW w:w="1526" w:type="dxa"/>
            <w:tcBorders>
              <w:top w:val="nil"/>
              <w:left w:val="nil"/>
              <w:bottom w:val="nil"/>
              <w:right w:val="nil"/>
            </w:tcBorders>
            <w:vAlign w:val="center"/>
          </w:tcPr>
          <w:p w14:paraId="23409A83">
            <w:pPr>
              <w:widowControl/>
              <w:snapToGrid w:val="0"/>
              <w:spacing w:after="200"/>
              <w:jc w:val="center"/>
              <w:rPr>
                <w:rFonts w:ascii="Times New Roman" w:hAnsi="Times New Roman" w:eastAsia="宋体" w:cs="Times New Roman"/>
                <w:kern w:val="0"/>
                <w:sz w:val="18"/>
                <w:szCs w:val="18"/>
              </w:rPr>
            </w:pPr>
            <w:r>
              <w:rPr>
                <w:rFonts w:ascii="Times New Roman" w:hAnsi="Times New Roman" w:eastAsia="Times New Roman" w:cs="Times New Roman"/>
                <w:bCs/>
                <w:color w:val="000000"/>
                <w:kern w:val="0"/>
                <w:sz w:val="18"/>
                <w:szCs w:val="18"/>
                <w:lang w:eastAsia="en-US"/>
              </w:rPr>
              <w:t>&lt;</w:t>
            </w:r>
            <w:r>
              <w:rPr>
                <w:rFonts w:ascii="Times New Roman" w:hAnsi="Times New Roman" w:eastAsia="宋体" w:cs="Times New Roman"/>
                <w:bCs/>
                <w:color w:val="000000"/>
                <w:kern w:val="0"/>
                <w:sz w:val="18"/>
                <w:szCs w:val="18"/>
              </w:rPr>
              <w:t>0</w:t>
            </w:r>
            <w:r>
              <w:rPr>
                <w:rFonts w:ascii="Times New Roman" w:hAnsi="Times New Roman" w:eastAsia="Times New Roman" w:cs="Times New Roman"/>
                <w:bCs/>
                <w:color w:val="000000"/>
                <w:kern w:val="0"/>
                <w:sz w:val="18"/>
                <w:szCs w:val="18"/>
                <w:lang w:eastAsia="en-US"/>
              </w:rPr>
              <w:t>.001</w:t>
            </w:r>
          </w:p>
        </w:tc>
        <w:tc>
          <w:tcPr>
            <w:tcW w:w="1526" w:type="dxa"/>
            <w:tcBorders>
              <w:top w:val="nil"/>
              <w:left w:val="nil"/>
              <w:bottom w:val="nil"/>
              <w:right w:val="nil"/>
            </w:tcBorders>
            <w:vAlign w:val="center"/>
          </w:tcPr>
          <w:p w14:paraId="00744FC3">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0.738</w:t>
            </w:r>
          </w:p>
        </w:tc>
      </w:tr>
      <w:tr w14:paraId="41CD96EC">
        <w:tblPrEx>
          <w:tblCellMar>
            <w:top w:w="0" w:type="dxa"/>
            <w:left w:w="108" w:type="dxa"/>
            <w:bottom w:w="0" w:type="dxa"/>
            <w:right w:w="108" w:type="dxa"/>
          </w:tblCellMar>
        </w:tblPrEx>
        <w:trPr>
          <w:trHeight w:val="384" w:hRule="atLeast"/>
          <w:jc w:val="center"/>
        </w:trPr>
        <w:tc>
          <w:tcPr>
            <w:tcW w:w="2595" w:type="dxa"/>
            <w:tcBorders>
              <w:top w:val="nil"/>
              <w:left w:val="nil"/>
              <w:bottom w:val="nil"/>
              <w:right w:val="nil"/>
            </w:tcBorders>
            <w:vAlign w:val="center"/>
          </w:tcPr>
          <w:p w14:paraId="5C2EE18A">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ctOPM</w:t>
            </w:r>
          </w:p>
        </w:tc>
        <w:tc>
          <w:tcPr>
            <w:tcW w:w="1146" w:type="dxa"/>
            <w:tcBorders>
              <w:top w:val="nil"/>
              <w:left w:val="nil"/>
              <w:bottom w:val="nil"/>
              <w:right w:val="nil"/>
            </w:tcBorders>
            <w:vAlign w:val="center"/>
          </w:tcPr>
          <w:p w14:paraId="0D8F49F5">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7.51</w:t>
            </w:r>
          </w:p>
        </w:tc>
        <w:tc>
          <w:tcPr>
            <w:tcW w:w="2060" w:type="dxa"/>
            <w:tcBorders>
              <w:top w:val="nil"/>
              <w:left w:val="nil"/>
              <w:bottom w:val="nil"/>
              <w:right w:val="nil"/>
            </w:tcBorders>
            <w:vAlign w:val="center"/>
          </w:tcPr>
          <w:p w14:paraId="4D14FD7E">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3.55–15.89</w:t>
            </w:r>
          </w:p>
        </w:tc>
        <w:tc>
          <w:tcPr>
            <w:tcW w:w="1526" w:type="dxa"/>
            <w:tcBorders>
              <w:top w:val="nil"/>
              <w:left w:val="nil"/>
              <w:bottom w:val="nil"/>
              <w:right w:val="nil"/>
            </w:tcBorders>
            <w:vAlign w:val="center"/>
          </w:tcPr>
          <w:p w14:paraId="394D9B2C">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Times New Roman" w:cs="Times New Roman"/>
                <w:bCs/>
                <w:color w:val="000000"/>
                <w:kern w:val="0"/>
                <w:sz w:val="18"/>
                <w:szCs w:val="18"/>
                <w:lang w:eastAsia="en-US"/>
              </w:rPr>
              <w:t>&lt;</w:t>
            </w:r>
            <w:r>
              <w:rPr>
                <w:rFonts w:ascii="Times New Roman" w:hAnsi="Times New Roman" w:eastAsia="宋体" w:cs="Times New Roman"/>
                <w:bCs/>
                <w:color w:val="000000"/>
                <w:kern w:val="0"/>
                <w:sz w:val="18"/>
                <w:szCs w:val="18"/>
              </w:rPr>
              <w:t>0</w:t>
            </w:r>
            <w:r>
              <w:rPr>
                <w:rFonts w:ascii="Times New Roman" w:hAnsi="Times New Roman" w:eastAsia="Times New Roman" w:cs="Times New Roman"/>
                <w:bCs/>
                <w:color w:val="000000"/>
                <w:kern w:val="0"/>
                <w:sz w:val="18"/>
                <w:szCs w:val="18"/>
                <w:lang w:eastAsia="en-US"/>
              </w:rPr>
              <w:t>.001</w:t>
            </w:r>
          </w:p>
        </w:tc>
        <w:tc>
          <w:tcPr>
            <w:tcW w:w="1526" w:type="dxa"/>
            <w:tcBorders>
              <w:top w:val="nil"/>
              <w:left w:val="nil"/>
              <w:bottom w:val="nil"/>
              <w:right w:val="nil"/>
            </w:tcBorders>
            <w:vAlign w:val="center"/>
          </w:tcPr>
          <w:p w14:paraId="7146BD00">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0.782</w:t>
            </w:r>
          </w:p>
        </w:tc>
      </w:tr>
      <w:tr w14:paraId="714F3560">
        <w:tblPrEx>
          <w:tblCellMar>
            <w:top w:w="0" w:type="dxa"/>
            <w:left w:w="108" w:type="dxa"/>
            <w:bottom w:w="0" w:type="dxa"/>
            <w:right w:w="108" w:type="dxa"/>
          </w:tblCellMar>
        </w:tblPrEx>
        <w:trPr>
          <w:jc w:val="center"/>
        </w:trPr>
        <w:tc>
          <w:tcPr>
            <w:tcW w:w="2595" w:type="dxa"/>
            <w:tcBorders>
              <w:top w:val="nil"/>
              <w:left w:val="nil"/>
              <w:bottom w:val="nil"/>
              <w:right w:val="nil"/>
            </w:tcBorders>
            <w:vAlign w:val="center"/>
          </w:tcPr>
          <w:p w14:paraId="0723A132">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ctLVI</w:t>
            </w:r>
          </w:p>
        </w:tc>
        <w:tc>
          <w:tcPr>
            <w:tcW w:w="1146" w:type="dxa"/>
            <w:tcBorders>
              <w:top w:val="nil"/>
              <w:left w:val="nil"/>
              <w:bottom w:val="nil"/>
              <w:right w:val="nil"/>
            </w:tcBorders>
            <w:vAlign w:val="center"/>
          </w:tcPr>
          <w:p w14:paraId="7CEBBD3F">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15.24</w:t>
            </w:r>
          </w:p>
        </w:tc>
        <w:tc>
          <w:tcPr>
            <w:tcW w:w="2060" w:type="dxa"/>
            <w:tcBorders>
              <w:top w:val="nil"/>
              <w:left w:val="nil"/>
              <w:bottom w:val="nil"/>
              <w:right w:val="nil"/>
            </w:tcBorders>
            <w:vAlign w:val="center"/>
          </w:tcPr>
          <w:p w14:paraId="7AC82207">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2.07–112.02</w:t>
            </w:r>
          </w:p>
        </w:tc>
        <w:tc>
          <w:tcPr>
            <w:tcW w:w="1526" w:type="dxa"/>
            <w:tcBorders>
              <w:top w:val="nil"/>
              <w:left w:val="nil"/>
              <w:bottom w:val="nil"/>
              <w:right w:val="nil"/>
            </w:tcBorders>
            <w:vAlign w:val="center"/>
          </w:tcPr>
          <w:p w14:paraId="6ACE6864">
            <w:pPr>
              <w:widowControl/>
              <w:snapToGrid w:val="0"/>
              <w:spacing w:after="20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0.008</w:t>
            </w:r>
          </w:p>
        </w:tc>
        <w:tc>
          <w:tcPr>
            <w:tcW w:w="1526" w:type="dxa"/>
            <w:tcBorders>
              <w:top w:val="nil"/>
              <w:left w:val="nil"/>
              <w:bottom w:val="nil"/>
              <w:right w:val="nil"/>
            </w:tcBorders>
            <w:vAlign w:val="center"/>
          </w:tcPr>
          <w:p w14:paraId="0B87BC4B">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0.717</w:t>
            </w:r>
          </w:p>
        </w:tc>
      </w:tr>
      <w:tr w14:paraId="79C98363">
        <w:tblPrEx>
          <w:tblCellMar>
            <w:top w:w="0" w:type="dxa"/>
            <w:left w:w="108" w:type="dxa"/>
            <w:bottom w:w="0" w:type="dxa"/>
            <w:right w:w="108" w:type="dxa"/>
          </w:tblCellMar>
        </w:tblPrEx>
        <w:trPr>
          <w:jc w:val="center"/>
        </w:trPr>
        <w:tc>
          <w:tcPr>
            <w:tcW w:w="2595" w:type="dxa"/>
            <w:tcBorders>
              <w:top w:val="nil"/>
              <w:left w:val="nil"/>
              <w:bottom w:val="single" w:color="auto" w:sz="12" w:space="0"/>
              <w:right w:val="nil"/>
            </w:tcBorders>
            <w:vAlign w:val="center"/>
          </w:tcPr>
          <w:p w14:paraId="06BFA38E">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Weighted_index</w:t>
            </w:r>
          </w:p>
        </w:tc>
        <w:tc>
          <w:tcPr>
            <w:tcW w:w="1146" w:type="dxa"/>
            <w:tcBorders>
              <w:top w:val="nil"/>
              <w:left w:val="nil"/>
              <w:bottom w:val="single" w:color="auto" w:sz="12" w:space="0"/>
              <w:right w:val="nil"/>
            </w:tcBorders>
            <w:vAlign w:val="center"/>
          </w:tcPr>
          <w:p w14:paraId="00F245D9">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2.63</w:t>
            </w:r>
          </w:p>
        </w:tc>
        <w:tc>
          <w:tcPr>
            <w:tcW w:w="2060" w:type="dxa"/>
            <w:tcBorders>
              <w:top w:val="nil"/>
              <w:left w:val="nil"/>
              <w:bottom w:val="single" w:color="auto" w:sz="12" w:space="0"/>
              <w:right w:val="nil"/>
            </w:tcBorders>
            <w:vAlign w:val="center"/>
          </w:tcPr>
          <w:p w14:paraId="696E3F57">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1.86–3.72</w:t>
            </w:r>
          </w:p>
        </w:tc>
        <w:tc>
          <w:tcPr>
            <w:tcW w:w="1526" w:type="dxa"/>
            <w:tcBorders>
              <w:top w:val="nil"/>
              <w:left w:val="nil"/>
              <w:bottom w:val="single" w:color="auto" w:sz="12" w:space="0"/>
              <w:right w:val="nil"/>
            </w:tcBorders>
            <w:vAlign w:val="center"/>
          </w:tcPr>
          <w:p w14:paraId="4580DE93">
            <w:pPr>
              <w:widowControl/>
              <w:snapToGrid w:val="0"/>
              <w:spacing w:after="200"/>
              <w:jc w:val="center"/>
              <w:rPr>
                <w:rFonts w:ascii="Times New Roman" w:hAnsi="Times New Roman" w:eastAsia="宋体" w:cs="Times New Roman"/>
                <w:kern w:val="0"/>
                <w:sz w:val="18"/>
                <w:szCs w:val="18"/>
              </w:rPr>
            </w:pPr>
            <w:r>
              <w:rPr>
                <w:rFonts w:ascii="Times New Roman" w:hAnsi="Times New Roman" w:eastAsia="Times New Roman" w:cs="Times New Roman"/>
                <w:bCs/>
                <w:color w:val="000000"/>
                <w:kern w:val="0"/>
                <w:sz w:val="18"/>
                <w:szCs w:val="18"/>
                <w:lang w:eastAsia="en-US"/>
              </w:rPr>
              <w:t>&lt;</w:t>
            </w:r>
            <w:r>
              <w:rPr>
                <w:rFonts w:ascii="Times New Roman" w:hAnsi="Times New Roman" w:eastAsia="宋体" w:cs="Times New Roman"/>
                <w:bCs/>
                <w:color w:val="000000"/>
                <w:kern w:val="0"/>
                <w:sz w:val="18"/>
                <w:szCs w:val="18"/>
              </w:rPr>
              <w:t>0</w:t>
            </w:r>
            <w:r>
              <w:rPr>
                <w:rFonts w:ascii="Times New Roman" w:hAnsi="Times New Roman" w:eastAsia="Times New Roman" w:cs="Times New Roman"/>
                <w:bCs/>
                <w:color w:val="000000"/>
                <w:kern w:val="0"/>
                <w:sz w:val="18"/>
                <w:szCs w:val="18"/>
                <w:lang w:eastAsia="en-US"/>
              </w:rPr>
              <w:t>.001</w:t>
            </w:r>
          </w:p>
        </w:tc>
        <w:tc>
          <w:tcPr>
            <w:tcW w:w="1526" w:type="dxa"/>
            <w:tcBorders>
              <w:top w:val="nil"/>
              <w:left w:val="nil"/>
              <w:bottom w:val="single" w:color="auto" w:sz="12" w:space="0"/>
              <w:right w:val="nil"/>
            </w:tcBorders>
            <w:vAlign w:val="center"/>
          </w:tcPr>
          <w:p w14:paraId="7BE776E7">
            <w:pPr>
              <w:widowControl/>
              <w:snapToGrid w:val="0"/>
              <w:spacing w:after="200"/>
              <w:jc w:val="center"/>
              <w:rPr>
                <w:rFonts w:ascii="Times New Roman" w:hAnsi="Times New Roman" w:eastAsia="宋体" w:cs="Times New Roman"/>
                <w:kern w:val="0"/>
                <w:sz w:val="18"/>
                <w:szCs w:val="18"/>
                <w:lang w:eastAsia="en-US"/>
              </w:rPr>
            </w:pPr>
            <w:r>
              <w:rPr>
                <w:rFonts w:ascii="Times New Roman" w:hAnsi="Times New Roman" w:eastAsia="宋体" w:cs="Times New Roman"/>
                <w:kern w:val="0"/>
                <w:sz w:val="18"/>
                <w:szCs w:val="18"/>
                <w:lang w:eastAsia="en-US"/>
              </w:rPr>
              <w:t>0.825</w:t>
            </w:r>
          </w:p>
        </w:tc>
      </w:tr>
    </w:tbl>
    <w:p w14:paraId="42C25664">
      <w:pPr>
        <w:spacing w:line="360" w:lineRule="auto"/>
        <w:rPr>
          <w:rFonts w:ascii="Times New Roman" w:hAnsi="Times New Roman" w:cs="Times New Roman"/>
          <w:sz w:val="28"/>
          <w:szCs w:val="36"/>
        </w:rPr>
      </w:pPr>
    </w:p>
    <w:p w14:paraId="347903AF">
      <w:pPr>
        <w:spacing w:line="360" w:lineRule="auto"/>
        <w:jc w:val="center"/>
        <w:rPr>
          <w:rFonts w:ascii="Times New Roman" w:hAnsi="Times New Roman" w:cs="Times New Roman"/>
          <w:b/>
          <w:bCs/>
          <w:sz w:val="28"/>
          <w:szCs w:val="36"/>
        </w:rPr>
      </w:pPr>
    </w:p>
    <w:p w14:paraId="218F23BF">
      <w:pPr>
        <w:spacing w:line="360" w:lineRule="auto"/>
        <w:jc w:val="center"/>
        <w:rPr>
          <w:rFonts w:ascii="Times New Roman" w:hAnsi="Times New Roman" w:cs="Times New Roman"/>
          <w:b/>
          <w:bCs/>
          <w:sz w:val="28"/>
          <w:szCs w:val="36"/>
        </w:rPr>
      </w:pPr>
      <w:r>
        <w:rPr>
          <w:rFonts w:ascii="Times New Roman" w:hAnsi="Times New Roman" w:cs="Times New Roman"/>
          <w:b/>
          <w:bCs/>
          <w:sz w:val="28"/>
          <w:szCs w:val="36"/>
        </w:rPr>
        <w:t>Supplementary Reference</w:t>
      </w:r>
    </w:p>
    <w:p w14:paraId="0B5B21B1">
      <w:pPr>
        <w:spacing w:line="360" w:lineRule="auto"/>
        <w:jc w:val="center"/>
        <w:rPr>
          <w:rFonts w:ascii="Times New Roman" w:hAnsi="Times New Roman" w:cs="Times New Roman"/>
          <w:b/>
          <w:bCs/>
          <w:sz w:val="28"/>
          <w:szCs w:val="36"/>
        </w:rPr>
      </w:pPr>
    </w:p>
    <w:p w14:paraId="0F404977">
      <w:pPr>
        <w:pStyle w:val="11"/>
        <w:bidi w:val="0"/>
        <w:ind w:left="720" w:hanging="720"/>
        <w:rPr>
          <w:rFonts w:ascii="Calibri" w:hAnsi="Calibri" w:cs="Calibri" w:eastAsiaTheme="minorEastAsia"/>
          <w:kern w:val="2"/>
          <w:szCs w:val="24"/>
          <w:lang w:val="en-US" w:eastAsia="zh-CN" w:bidi="ar-SA"/>
        </w:rPr>
      </w:pPr>
      <w:r>
        <w:rPr>
          <w:rFonts w:ascii="Times New Roman" w:hAnsi="Times New Roman" w:cs="Times New Roman"/>
          <w:sz w:val="28"/>
          <w:szCs w:val="36"/>
        </w:rPr>
        <w:fldChar w:fldCharType="begin"/>
      </w:r>
      <w:r>
        <w:rPr>
          <w:rFonts w:ascii="Times New Roman" w:hAnsi="Times New Roman" w:cs="Times New Roman"/>
          <w:sz w:val="28"/>
          <w:szCs w:val="36"/>
        </w:rPr>
        <w:instrText xml:space="preserve"> ADDIN EN.REFLIST </w:instrText>
      </w:r>
      <w:r>
        <w:rPr>
          <w:rFonts w:ascii="Times New Roman" w:hAnsi="Times New Roman" w:cs="Times New Roman"/>
          <w:sz w:val="28"/>
          <w:szCs w:val="36"/>
        </w:rPr>
        <w:fldChar w:fldCharType="separate"/>
      </w:r>
      <w:bookmarkStart w:id="0" w:name="_GoBack"/>
      <w:bookmarkEnd w:id="0"/>
      <w:r>
        <w:rPr>
          <w:rFonts w:ascii="Calibri" w:hAnsi="Calibri" w:cs="Calibri" w:eastAsiaTheme="minorEastAsia"/>
          <w:kern w:val="2"/>
          <w:szCs w:val="24"/>
          <w:lang w:val="en-US" w:eastAsia="zh-CN" w:bidi="ar-SA"/>
        </w:rPr>
        <w:t>1</w:t>
      </w:r>
      <w:r>
        <w:rPr>
          <w:rFonts w:ascii="Calibri" w:hAnsi="Calibri" w:cs="Calibri" w:eastAsiaTheme="minorEastAsia"/>
          <w:kern w:val="2"/>
          <w:szCs w:val="24"/>
          <w:lang w:val="en-US" w:eastAsia="zh-CN" w:bidi="ar-SA"/>
        </w:rPr>
        <w:tab/>
        <w:t>Li Q, Jiang Z, Zhu Y et al (2025) CT-based scores for extramural vascular invasion and occult peritoneal metastasis correlate with gastric cancer survival. Eur Radiol 35:5733-5747</w:t>
      </w:r>
    </w:p>
    <w:p w14:paraId="11FB4FD3">
      <w:pPr>
        <w:pStyle w:val="11"/>
        <w:bidi w:val="0"/>
        <w:ind w:left="720" w:hanging="720"/>
        <w:rPr>
          <w:rFonts w:ascii="Calibri" w:hAnsi="Calibri" w:cs="Calibri" w:eastAsiaTheme="minorEastAsia"/>
          <w:kern w:val="2"/>
          <w:szCs w:val="24"/>
          <w:lang w:val="en-US" w:eastAsia="zh-CN" w:bidi="ar-SA"/>
        </w:rPr>
      </w:pPr>
      <w:r>
        <w:rPr>
          <w:rFonts w:ascii="Calibri" w:hAnsi="Calibri" w:cs="Calibri" w:eastAsiaTheme="minorEastAsia"/>
          <w:kern w:val="2"/>
          <w:szCs w:val="24"/>
          <w:lang w:val="en-US" w:eastAsia="zh-CN" w:bidi="ar-SA"/>
        </w:rPr>
        <w:t>2</w:t>
      </w:r>
      <w:r>
        <w:rPr>
          <w:rFonts w:ascii="Calibri" w:hAnsi="Calibri" w:cs="Calibri" w:eastAsiaTheme="minorEastAsia"/>
          <w:kern w:val="2"/>
          <w:szCs w:val="24"/>
          <w:lang w:val="en-US" w:eastAsia="zh-CN" w:bidi="ar-SA"/>
        </w:rPr>
        <w:tab/>
        <w:t>Amin MB, Greene FL, Edge SB et al (2017) The Eighth Edition AJCC Cancer Staging Manual: Continuing to build a bridge from a population-based to a more "personalized" approach to cancer staging. CA Cancer J Clin 67:93-99</w:t>
      </w:r>
    </w:p>
    <w:p w14:paraId="6C6D975D">
      <w:pPr>
        <w:pStyle w:val="11"/>
        <w:bidi w:val="0"/>
        <w:ind w:left="720" w:hanging="720"/>
        <w:rPr>
          <w:rFonts w:ascii="Calibri" w:hAnsi="Calibri" w:cs="Calibri" w:eastAsiaTheme="minorEastAsia"/>
          <w:kern w:val="2"/>
          <w:szCs w:val="24"/>
          <w:lang w:val="en-US" w:eastAsia="zh-CN" w:bidi="ar-SA"/>
        </w:rPr>
      </w:pPr>
      <w:r>
        <w:rPr>
          <w:rFonts w:ascii="Calibri" w:hAnsi="Calibri" w:cs="Calibri" w:eastAsiaTheme="minorEastAsia"/>
          <w:kern w:val="2"/>
          <w:szCs w:val="24"/>
          <w:lang w:val="en-US" w:eastAsia="zh-CN" w:bidi="ar-SA"/>
        </w:rPr>
        <w:t>3</w:t>
      </w:r>
      <w:r>
        <w:rPr>
          <w:rFonts w:ascii="Calibri" w:hAnsi="Calibri" w:cs="Calibri" w:eastAsiaTheme="minorEastAsia"/>
          <w:kern w:val="2"/>
          <w:szCs w:val="24"/>
          <w:lang w:val="en-US" w:eastAsia="zh-CN" w:bidi="ar-SA"/>
        </w:rPr>
        <w:tab/>
        <w:t>Lin JX, Desiderio J, Lin JP et al (2020) Multicenter Validation Study of the American Joint Commission on Cancer (8th Edition) for Gastric Cancer: Proposal for a Simplified and Improved TNM Staging System. J Cancer 11:3483-3491</w:t>
      </w:r>
    </w:p>
    <w:p w14:paraId="62C42C6D">
      <w:pPr>
        <w:spacing w:line="360" w:lineRule="auto"/>
        <w:rPr>
          <w:rFonts w:ascii="Times New Roman" w:hAnsi="Times New Roman" w:cs="Times New Roman"/>
          <w:sz w:val="28"/>
          <w:szCs w:val="36"/>
        </w:rPr>
      </w:pPr>
      <w:r>
        <w:rPr>
          <w:rFonts w:ascii="Times New Roman" w:hAnsi="Times New Roman" w:cs="Times New Roman"/>
          <w:sz w:val="28"/>
          <w:szCs w:val="36"/>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CDA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3F06B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53F06B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7AFC5"/>
    <w:multiLevelType w:val="singleLevel"/>
    <w:tmpl w:val="A347AFC5"/>
    <w:lvl w:ilvl="0" w:tentative="0">
      <w:start w:val="1"/>
      <w:numFmt w:val="decimal"/>
      <w:suff w:val="space"/>
      <w:lvlText w:val="%1."/>
      <w:lvlJc w:val="left"/>
    </w:lvl>
  </w:abstractNum>
  <w:abstractNum w:abstractNumId="1">
    <w:nsid w:val="BEC096F4"/>
    <w:multiLevelType w:val="singleLevel"/>
    <w:tmpl w:val="BEC096F4"/>
    <w:lvl w:ilvl="0" w:tentative="0">
      <w:start w:val="1"/>
      <w:numFmt w:val="bullet"/>
      <w:lvlText w:val=""/>
      <w:lvlJc w:val="left"/>
      <w:pPr>
        <w:ind w:left="420" w:hanging="420"/>
      </w:pPr>
      <w:rPr>
        <w:rFonts w:hint="default" w:ascii="Wingdings" w:hAnsi="Wingdings"/>
      </w:rPr>
    </w:lvl>
  </w:abstractNum>
  <w:abstractNum w:abstractNumId="2">
    <w:nsid w:val="CB646E51"/>
    <w:multiLevelType w:val="singleLevel"/>
    <w:tmpl w:val="CB646E51"/>
    <w:lvl w:ilvl="0" w:tentative="0">
      <w:start w:val="1"/>
      <w:numFmt w:val="decimal"/>
      <w:lvlText w:val="(%1)"/>
      <w:lvlJc w:val="left"/>
      <w:pPr>
        <w:tabs>
          <w:tab w:val="left" w:pos="420"/>
        </w:tabs>
        <w:ind w:left="845" w:hanging="425"/>
      </w:pPr>
      <w:rPr>
        <w:rFonts w:hint="default"/>
      </w:rPr>
    </w:lvl>
  </w:abstractNum>
  <w:abstractNum w:abstractNumId="3">
    <w:nsid w:val="D7CB83DC"/>
    <w:multiLevelType w:val="singleLevel"/>
    <w:tmpl w:val="D7CB83DC"/>
    <w:lvl w:ilvl="0" w:tentative="0">
      <w:start w:val="2"/>
      <w:numFmt w:val="decimal"/>
      <w:suff w:val="space"/>
      <w:lvlText w:val="%1."/>
      <w:lvlJc w:val="left"/>
    </w:lvl>
  </w:abstractNum>
  <w:abstractNum w:abstractNumId="4">
    <w:nsid w:val="0FB35A38"/>
    <w:multiLevelType w:val="singleLevel"/>
    <w:tmpl w:val="0FB35A38"/>
    <w:lvl w:ilvl="0" w:tentative="0">
      <w:start w:val="1"/>
      <w:numFmt w:val="decimal"/>
      <w:lvlText w:val="(%1)"/>
      <w:lvlJc w:val="left"/>
      <w:pPr>
        <w:tabs>
          <w:tab w:val="left" w:pos="420"/>
        </w:tabs>
        <w:ind w:left="845" w:hanging="425"/>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 Copy(new&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xze950wp5wr1e9tt2vfwd322a2r9x9vvx5&quot;&gt;emvi-终&lt;record-ids&gt;&lt;item&gt;4&lt;/item&gt;&lt;/record-ids&gt;&lt;/item&gt;&lt;/Libraries&gt;"/>
  </w:docVars>
  <w:rsids>
    <w:rsidRoot w:val="0939419B"/>
    <w:rsid w:val="002410F1"/>
    <w:rsid w:val="003A60E2"/>
    <w:rsid w:val="00930024"/>
    <w:rsid w:val="00C639C0"/>
    <w:rsid w:val="00CB1EB4"/>
    <w:rsid w:val="00CF2BB5"/>
    <w:rsid w:val="00ED5AD7"/>
    <w:rsid w:val="00F966DC"/>
    <w:rsid w:val="012A4E2C"/>
    <w:rsid w:val="016513CA"/>
    <w:rsid w:val="0194674A"/>
    <w:rsid w:val="01C71A8A"/>
    <w:rsid w:val="01E52B01"/>
    <w:rsid w:val="026E0D49"/>
    <w:rsid w:val="02D67B65"/>
    <w:rsid w:val="03015719"/>
    <w:rsid w:val="03840051"/>
    <w:rsid w:val="03F37758"/>
    <w:rsid w:val="04233155"/>
    <w:rsid w:val="044F0764"/>
    <w:rsid w:val="053B6C38"/>
    <w:rsid w:val="05504736"/>
    <w:rsid w:val="05976809"/>
    <w:rsid w:val="05CF7D50"/>
    <w:rsid w:val="065F0BEE"/>
    <w:rsid w:val="06B807E5"/>
    <w:rsid w:val="06E96BF0"/>
    <w:rsid w:val="07481B68"/>
    <w:rsid w:val="07527B34"/>
    <w:rsid w:val="078F6F6B"/>
    <w:rsid w:val="082C148A"/>
    <w:rsid w:val="08805332"/>
    <w:rsid w:val="090B4308"/>
    <w:rsid w:val="0939419B"/>
    <w:rsid w:val="09736C45"/>
    <w:rsid w:val="09774987"/>
    <w:rsid w:val="09DE67B4"/>
    <w:rsid w:val="09E57B43"/>
    <w:rsid w:val="0A122902"/>
    <w:rsid w:val="0A3960E0"/>
    <w:rsid w:val="0A8C4462"/>
    <w:rsid w:val="0B2121A1"/>
    <w:rsid w:val="0B4765DB"/>
    <w:rsid w:val="0B70448E"/>
    <w:rsid w:val="0BA15CEB"/>
    <w:rsid w:val="0C1B4F42"/>
    <w:rsid w:val="0CF002C4"/>
    <w:rsid w:val="0D5E30A2"/>
    <w:rsid w:val="0D6A4AE5"/>
    <w:rsid w:val="0D8145D3"/>
    <w:rsid w:val="0E05225C"/>
    <w:rsid w:val="0EAD731F"/>
    <w:rsid w:val="0EFF16A6"/>
    <w:rsid w:val="0F503CB0"/>
    <w:rsid w:val="0F824086"/>
    <w:rsid w:val="0F9D4A1B"/>
    <w:rsid w:val="0FBD6E6C"/>
    <w:rsid w:val="0FEB2FFC"/>
    <w:rsid w:val="0FFB7896"/>
    <w:rsid w:val="10014FAA"/>
    <w:rsid w:val="108005C5"/>
    <w:rsid w:val="10AB2390"/>
    <w:rsid w:val="10CD1330"/>
    <w:rsid w:val="10FE1DB7"/>
    <w:rsid w:val="112278CE"/>
    <w:rsid w:val="11323E5A"/>
    <w:rsid w:val="11340E0C"/>
    <w:rsid w:val="11361248"/>
    <w:rsid w:val="117444FA"/>
    <w:rsid w:val="12305584"/>
    <w:rsid w:val="12931517"/>
    <w:rsid w:val="13491BE7"/>
    <w:rsid w:val="1359714B"/>
    <w:rsid w:val="13714D3B"/>
    <w:rsid w:val="13C845C2"/>
    <w:rsid w:val="15511B43"/>
    <w:rsid w:val="156D1105"/>
    <w:rsid w:val="15704562"/>
    <w:rsid w:val="16E41182"/>
    <w:rsid w:val="16F76FA7"/>
    <w:rsid w:val="175B1444"/>
    <w:rsid w:val="17CC0594"/>
    <w:rsid w:val="180C0990"/>
    <w:rsid w:val="189746FE"/>
    <w:rsid w:val="18D07C10"/>
    <w:rsid w:val="19092111"/>
    <w:rsid w:val="19BE5CBA"/>
    <w:rsid w:val="1A82066E"/>
    <w:rsid w:val="1B18764C"/>
    <w:rsid w:val="1BDA3BAB"/>
    <w:rsid w:val="1BF14125"/>
    <w:rsid w:val="1C444B9D"/>
    <w:rsid w:val="1CB57848"/>
    <w:rsid w:val="1DCB4E4A"/>
    <w:rsid w:val="1DF74672"/>
    <w:rsid w:val="1E024BEA"/>
    <w:rsid w:val="1E6A4E51"/>
    <w:rsid w:val="1E786D7F"/>
    <w:rsid w:val="1F3F164B"/>
    <w:rsid w:val="1F58270D"/>
    <w:rsid w:val="1F817EB6"/>
    <w:rsid w:val="200B1ACF"/>
    <w:rsid w:val="205904EB"/>
    <w:rsid w:val="20AD03D6"/>
    <w:rsid w:val="20D364EF"/>
    <w:rsid w:val="2129610F"/>
    <w:rsid w:val="21C32C2D"/>
    <w:rsid w:val="22513B6F"/>
    <w:rsid w:val="227710FC"/>
    <w:rsid w:val="23122DE5"/>
    <w:rsid w:val="2393640A"/>
    <w:rsid w:val="23CD36CA"/>
    <w:rsid w:val="24A51F50"/>
    <w:rsid w:val="251D2707"/>
    <w:rsid w:val="257F09F3"/>
    <w:rsid w:val="25826C83"/>
    <w:rsid w:val="25943EAE"/>
    <w:rsid w:val="25A71DF1"/>
    <w:rsid w:val="267527B4"/>
    <w:rsid w:val="26A85D28"/>
    <w:rsid w:val="26B648E9"/>
    <w:rsid w:val="26C16DEA"/>
    <w:rsid w:val="27090EBD"/>
    <w:rsid w:val="273A59F5"/>
    <w:rsid w:val="274243CE"/>
    <w:rsid w:val="27B0758A"/>
    <w:rsid w:val="283F090E"/>
    <w:rsid w:val="28E3573D"/>
    <w:rsid w:val="29051210"/>
    <w:rsid w:val="292D1F85"/>
    <w:rsid w:val="29477A7A"/>
    <w:rsid w:val="298A4F2C"/>
    <w:rsid w:val="29A66A18"/>
    <w:rsid w:val="29AF73CD"/>
    <w:rsid w:val="29C9788B"/>
    <w:rsid w:val="29D12335"/>
    <w:rsid w:val="29D86924"/>
    <w:rsid w:val="2A1C2CB5"/>
    <w:rsid w:val="2A2E0C3A"/>
    <w:rsid w:val="2A346694"/>
    <w:rsid w:val="2A475858"/>
    <w:rsid w:val="2A614B6C"/>
    <w:rsid w:val="2B053749"/>
    <w:rsid w:val="2B057549"/>
    <w:rsid w:val="2B073965"/>
    <w:rsid w:val="2B5116C7"/>
    <w:rsid w:val="2BC8501C"/>
    <w:rsid w:val="2C3167C0"/>
    <w:rsid w:val="2CAD1B18"/>
    <w:rsid w:val="2D1C168E"/>
    <w:rsid w:val="2D3C65BD"/>
    <w:rsid w:val="2DEC0BF0"/>
    <w:rsid w:val="2DF950BB"/>
    <w:rsid w:val="2DFB52D7"/>
    <w:rsid w:val="2E775892"/>
    <w:rsid w:val="2E8452CD"/>
    <w:rsid w:val="2FD951A4"/>
    <w:rsid w:val="2FE83639"/>
    <w:rsid w:val="301378A7"/>
    <w:rsid w:val="30663F74"/>
    <w:rsid w:val="312863E3"/>
    <w:rsid w:val="31374878"/>
    <w:rsid w:val="313F54DB"/>
    <w:rsid w:val="31A07F56"/>
    <w:rsid w:val="31FD5ADC"/>
    <w:rsid w:val="32870EE7"/>
    <w:rsid w:val="32D14858"/>
    <w:rsid w:val="32DA195F"/>
    <w:rsid w:val="330047FF"/>
    <w:rsid w:val="3310712F"/>
    <w:rsid w:val="33182487"/>
    <w:rsid w:val="332350B4"/>
    <w:rsid w:val="336547EE"/>
    <w:rsid w:val="33791178"/>
    <w:rsid w:val="33B27F9C"/>
    <w:rsid w:val="34692F9B"/>
    <w:rsid w:val="34AA710F"/>
    <w:rsid w:val="34DC3FC4"/>
    <w:rsid w:val="352466C3"/>
    <w:rsid w:val="359F0C3E"/>
    <w:rsid w:val="35A22D90"/>
    <w:rsid w:val="35E71A41"/>
    <w:rsid w:val="36301896"/>
    <w:rsid w:val="36372C24"/>
    <w:rsid w:val="36BE6EA2"/>
    <w:rsid w:val="36C02C1A"/>
    <w:rsid w:val="374E0226"/>
    <w:rsid w:val="37D526F5"/>
    <w:rsid w:val="37FD7F7E"/>
    <w:rsid w:val="38166F6B"/>
    <w:rsid w:val="38262F51"/>
    <w:rsid w:val="38877EE4"/>
    <w:rsid w:val="3A6D4E67"/>
    <w:rsid w:val="3A94148E"/>
    <w:rsid w:val="3ACF167E"/>
    <w:rsid w:val="3B5F3601"/>
    <w:rsid w:val="3B6838CC"/>
    <w:rsid w:val="3C153A08"/>
    <w:rsid w:val="3C3C71E7"/>
    <w:rsid w:val="3CCF1E09"/>
    <w:rsid w:val="3E43485C"/>
    <w:rsid w:val="3EBB0897"/>
    <w:rsid w:val="3F143D5A"/>
    <w:rsid w:val="3F7171A7"/>
    <w:rsid w:val="3FCE0156"/>
    <w:rsid w:val="40224945"/>
    <w:rsid w:val="40356427"/>
    <w:rsid w:val="40A92971"/>
    <w:rsid w:val="40E368A3"/>
    <w:rsid w:val="41BD4926"/>
    <w:rsid w:val="41F1637D"/>
    <w:rsid w:val="422619BB"/>
    <w:rsid w:val="42973045"/>
    <w:rsid w:val="432D5ADB"/>
    <w:rsid w:val="443F1622"/>
    <w:rsid w:val="44BC2C73"/>
    <w:rsid w:val="453413AE"/>
    <w:rsid w:val="45576E3F"/>
    <w:rsid w:val="45ED3300"/>
    <w:rsid w:val="468904EC"/>
    <w:rsid w:val="47411B55"/>
    <w:rsid w:val="477171F4"/>
    <w:rsid w:val="479B1265"/>
    <w:rsid w:val="47A90442"/>
    <w:rsid w:val="485A1120"/>
    <w:rsid w:val="4886148F"/>
    <w:rsid w:val="488E4926"/>
    <w:rsid w:val="489E48D3"/>
    <w:rsid w:val="490D062A"/>
    <w:rsid w:val="4950607F"/>
    <w:rsid w:val="49675177"/>
    <w:rsid w:val="4A115AFF"/>
    <w:rsid w:val="4A314103"/>
    <w:rsid w:val="4A4F4589"/>
    <w:rsid w:val="4A677B24"/>
    <w:rsid w:val="4AC22FAD"/>
    <w:rsid w:val="4C4D68A6"/>
    <w:rsid w:val="4C7B1FC6"/>
    <w:rsid w:val="4D5A74CD"/>
    <w:rsid w:val="4DB971B3"/>
    <w:rsid w:val="4DC65200"/>
    <w:rsid w:val="4DEB2922"/>
    <w:rsid w:val="4E45017D"/>
    <w:rsid w:val="4E83546C"/>
    <w:rsid w:val="4EA74993"/>
    <w:rsid w:val="4F455F5A"/>
    <w:rsid w:val="4FB07878"/>
    <w:rsid w:val="4FB7572D"/>
    <w:rsid w:val="4FC76DD2"/>
    <w:rsid w:val="50744D49"/>
    <w:rsid w:val="50845C1D"/>
    <w:rsid w:val="50982DC8"/>
    <w:rsid w:val="511E4CB5"/>
    <w:rsid w:val="512D6CA6"/>
    <w:rsid w:val="513444D8"/>
    <w:rsid w:val="5139564B"/>
    <w:rsid w:val="51621046"/>
    <w:rsid w:val="51A11B6E"/>
    <w:rsid w:val="52B6036C"/>
    <w:rsid w:val="52ED493F"/>
    <w:rsid w:val="52F91162"/>
    <w:rsid w:val="534529CD"/>
    <w:rsid w:val="534C0852"/>
    <w:rsid w:val="53A56FC8"/>
    <w:rsid w:val="53B11E10"/>
    <w:rsid w:val="5402266C"/>
    <w:rsid w:val="5438608E"/>
    <w:rsid w:val="54A13C33"/>
    <w:rsid w:val="54AD082A"/>
    <w:rsid w:val="54CC5154"/>
    <w:rsid w:val="54E51D72"/>
    <w:rsid w:val="55147C23"/>
    <w:rsid w:val="558B6142"/>
    <w:rsid w:val="558E1B65"/>
    <w:rsid w:val="55CF0523"/>
    <w:rsid w:val="55F93F3C"/>
    <w:rsid w:val="55FB0450"/>
    <w:rsid w:val="56024BA5"/>
    <w:rsid w:val="564D4072"/>
    <w:rsid w:val="56570A4D"/>
    <w:rsid w:val="56B66549"/>
    <w:rsid w:val="571C57F3"/>
    <w:rsid w:val="57377899"/>
    <w:rsid w:val="575E2A44"/>
    <w:rsid w:val="5855720E"/>
    <w:rsid w:val="587A107C"/>
    <w:rsid w:val="590D1897"/>
    <w:rsid w:val="598F38D1"/>
    <w:rsid w:val="59C26B25"/>
    <w:rsid w:val="5B9E0ECC"/>
    <w:rsid w:val="5BA504AD"/>
    <w:rsid w:val="5C5123E2"/>
    <w:rsid w:val="5CB564CD"/>
    <w:rsid w:val="5D15428C"/>
    <w:rsid w:val="5DC529E5"/>
    <w:rsid w:val="5DD1099F"/>
    <w:rsid w:val="5E897C12"/>
    <w:rsid w:val="5EE4309A"/>
    <w:rsid w:val="5F2F5ACA"/>
    <w:rsid w:val="5F7A1712"/>
    <w:rsid w:val="5FFC08B7"/>
    <w:rsid w:val="605136F1"/>
    <w:rsid w:val="6088514E"/>
    <w:rsid w:val="60AE1334"/>
    <w:rsid w:val="60D4713E"/>
    <w:rsid w:val="60FB291D"/>
    <w:rsid w:val="61483DB4"/>
    <w:rsid w:val="617F52FC"/>
    <w:rsid w:val="61882403"/>
    <w:rsid w:val="619F14FA"/>
    <w:rsid w:val="61B41449"/>
    <w:rsid w:val="620E5F0D"/>
    <w:rsid w:val="62A0552A"/>
    <w:rsid w:val="62A7162C"/>
    <w:rsid w:val="62C21944"/>
    <w:rsid w:val="62EA1F28"/>
    <w:rsid w:val="63500CFE"/>
    <w:rsid w:val="64426584"/>
    <w:rsid w:val="64526CF8"/>
    <w:rsid w:val="646357A6"/>
    <w:rsid w:val="64A21A2D"/>
    <w:rsid w:val="64A55079"/>
    <w:rsid w:val="65660CAD"/>
    <w:rsid w:val="657131AE"/>
    <w:rsid w:val="65BF03BD"/>
    <w:rsid w:val="67184229"/>
    <w:rsid w:val="67A468F0"/>
    <w:rsid w:val="68C8394A"/>
    <w:rsid w:val="6942558D"/>
    <w:rsid w:val="69AA53DD"/>
    <w:rsid w:val="6A8219B9"/>
    <w:rsid w:val="6AF3097D"/>
    <w:rsid w:val="6B9D4CFC"/>
    <w:rsid w:val="6BA57424"/>
    <w:rsid w:val="6BD149A6"/>
    <w:rsid w:val="6BF47398"/>
    <w:rsid w:val="6CC30793"/>
    <w:rsid w:val="6CE81FA7"/>
    <w:rsid w:val="6D374CDD"/>
    <w:rsid w:val="6D806684"/>
    <w:rsid w:val="6D9D7236"/>
    <w:rsid w:val="6DF901E4"/>
    <w:rsid w:val="6E021E51"/>
    <w:rsid w:val="6E101CDB"/>
    <w:rsid w:val="6EBC7B8F"/>
    <w:rsid w:val="6ED3726E"/>
    <w:rsid w:val="6EDF562C"/>
    <w:rsid w:val="6EE3511C"/>
    <w:rsid w:val="6F507677"/>
    <w:rsid w:val="6FD1766A"/>
    <w:rsid w:val="6FFB0243"/>
    <w:rsid w:val="703D3958"/>
    <w:rsid w:val="707F0E75"/>
    <w:rsid w:val="70C32E37"/>
    <w:rsid w:val="710C022E"/>
    <w:rsid w:val="725D6F93"/>
    <w:rsid w:val="72BD7A32"/>
    <w:rsid w:val="74242EB5"/>
    <w:rsid w:val="74306915"/>
    <w:rsid w:val="74561EEC"/>
    <w:rsid w:val="7458144D"/>
    <w:rsid w:val="750D2EF3"/>
    <w:rsid w:val="75241FEA"/>
    <w:rsid w:val="75610B49"/>
    <w:rsid w:val="75FD74D3"/>
    <w:rsid w:val="763E70DC"/>
    <w:rsid w:val="764C7A4B"/>
    <w:rsid w:val="76BD44A5"/>
    <w:rsid w:val="770C50D1"/>
    <w:rsid w:val="779A2A38"/>
    <w:rsid w:val="78174088"/>
    <w:rsid w:val="784309DA"/>
    <w:rsid w:val="7859644F"/>
    <w:rsid w:val="7904460D"/>
    <w:rsid w:val="79053EE1"/>
    <w:rsid w:val="79EB1329"/>
    <w:rsid w:val="7A564AD6"/>
    <w:rsid w:val="7AA31C03"/>
    <w:rsid w:val="7AD47ACF"/>
    <w:rsid w:val="7AFE32DE"/>
    <w:rsid w:val="7B4E6013"/>
    <w:rsid w:val="7B9A6B62"/>
    <w:rsid w:val="7BB06386"/>
    <w:rsid w:val="7BD06A28"/>
    <w:rsid w:val="7BD86724"/>
    <w:rsid w:val="7BF217AA"/>
    <w:rsid w:val="7BF2699E"/>
    <w:rsid w:val="7CAF663E"/>
    <w:rsid w:val="7CEE22E0"/>
    <w:rsid w:val="7D2343BE"/>
    <w:rsid w:val="7D2749BA"/>
    <w:rsid w:val="7D626059"/>
    <w:rsid w:val="7DB163E5"/>
    <w:rsid w:val="7E002EC9"/>
    <w:rsid w:val="7E8104AE"/>
    <w:rsid w:val="7F1C3F56"/>
    <w:rsid w:val="7FCC7507"/>
    <w:rsid w:val="7FD817DD"/>
    <w:rsid w:val="7FF15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customStyle="1" w:styleId="10">
    <w:name w:val="EndNote Bibliography Title"/>
    <w:qFormat/>
    <w:uiPriority w:val="0"/>
    <w:pPr>
      <w:jc w:val="center"/>
    </w:pPr>
    <w:rPr>
      <w:rFonts w:ascii="Calibri" w:hAnsi="Calibri" w:cs="Calibri" w:eastAsiaTheme="minorEastAsia"/>
      <w:kern w:val="2"/>
      <w:szCs w:val="24"/>
      <w:lang w:val="en-US" w:eastAsia="zh-CN" w:bidi="ar-SA"/>
    </w:rPr>
  </w:style>
  <w:style w:type="paragraph" w:customStyle="1" w:styleId="11">
    <w:name w:val="EndNote Bibliography"/>
    <w:qFormat/>
    <w:uiPriority w:val="0"/>
    <w:pPr>
      <w:jc w:val="both"/>
    </w:pPr>
    <w:rPr>
      <w:rFonts w:ascii="Calibri" w:hAnsi="Calibri" w:cs="Calibri" w:eastAsiaTheme="minorEastAsia"/>
      <w:kern w:val="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719</Words>
  <Characters>4858</Characters>
  <Lines>108</Lines>
  <Paragraphs>30</Paragraphs>
  <TotalTime>1</TotalTime>
  <ScaleCrop>false</ScaleCrop>
  <LinksUpToDate>false</LinksUpToDate>
  <CharactersWithSpaces>5521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2026-02-05T14:00:00Z</dcterms:created>
  <dc:creator>WPS_1744883397</dc:creator>
  <cp:lastModifiedBy>WPS_1744883397</cp:lastModifiedBy>
  <dcterms:modified xsi:type="dcterms:W3CDTF">2026-04-17T16:33:55Z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9ED79D326E7A4432B9B89FDD95453F31_13</vt:lpwstr>
  </property>
  <property fmtid="{D5CDD505-2E9C-101B-9397-08002B2CF9AE}" pid="4" name="KSOTemplateDocerSaveRecord">
    <vt:lpwstr>eyJoZGlkIjoiMWM5MTdhYjQ0OTJjODlhYTYxNzhjNTU5ZmIwNjA5MTYiLCJ1c2VySWQiOiIxNjk1MjE2MjA5In0=</vt:lpwstr>
  </property>
</Properties>
</file>