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458"/>
        <w:gridCol w:w="64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  <w:gridCol w:w="843"/>
      </w:tblGrid>
      <w:tr w:rsidR="001F5211" w:rsidRPr="00D52335" w:rsidTr="003B24A7">
        <w:trPr>
          <w:trHeight w:val="696"/>
          <w:jc w:val="center"/>
        </w:trPr>
        <w:tc>
          <w:tcPr>
            <w:tcW w:w="45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00D52335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Table 1. Characteristics of the studies included in the meta-analysis.</w:t>
            </w:r>
          </w:p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45" w:type="dxa"/>
            <w:tcBorders>
              <w:lef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Jadad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score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3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5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5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4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4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4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4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84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:rsidR="001F5211" w:rsidRPr="00D52335" w:rsidRDefault="001F5211" w:rsidP="003B24A7">
            <w:pPr>
              <w:ind w:left="161" w:hangingChars="100" w:hanging="161"/>
              <w:rPr>
                <w:rFonts w:ascii="Arial" w:eastAsia="SimSun" w:hAnsi="Arial" w:cs="Arial"/>
                <w:sz w:val="16"/>
                <w:szCs w:val="16"/>
              </w:rPr>
            </w:pPr>
            <w:r w:rsidRPr="00D52335">
              <w:rPr>
                <w:rFonts w:ascii="Arial" w:eastAsia="SimSun" w:hAnsi="Arial" w:cs="Arial"/>
                <w:b/>
                <w:bCs/>
                <w:sz w:val="16"/>
                <w:szCs w:val="16"/>
              </w:rPr>
              <w:t>Abbreviations:</w:t>
            </w:r>
            <w:r w:rsidRPr="00D52335">
              <w:rPr>
                <w:rFonts w:ascii="Arial" w:eastAsia="SimSun" w:hAnsi="Arial" w:cs="Arial"/>
                <w:i/>
                <w:iCs/>
                <w:sz w:val="16"/>
                <w:szCs w:val="16"/>
              </w:rPr>
              <w:t xml:space="preserve"> CI</w:t>
            </w:r>
            <w:r w:rsidRPr="00D52335">
              <w:rPr>
                <w:rFonts w:ascii="Arial" w:eastAsia="SimSun" w:hAnsi="Arial" w:cs="Arial"/>
                <w:sz w:val="16"/>
                <w:szCs w:val="16"/>
              </w:rPr>
              <w:t xml:space="preserve"> = conﬁdence interval,</w:t>
            </w:r>
            <w:r w:rsidRPr="00D52335">
              <w:rPr>
                <w:rFonts w:ascii="Arial" w:eastAsia="SimSun" w:hAnsi="Arial" w:cs="Arial"/>
                <w:i/>
                <w:iCs/>
                <w:sz w:val="16"/>
                <w:szCs w:val="16"/>
              </w:rPr>
              <w:t xml:space="preserve"> ORR </w:t>
            </w:r>
            <w:r w:rsidRPr="00D52335">
              <w:rPr>
                <w:rFonts w:ascii="Arial" w:eastAsia="SimSun" w:hAnsi="Arial" w:cs="Arial"/>
                <w:sz w:val="16"/>
                <w:szCs w:val="16"/>
              </w:rPr>
              <w:t xml:space="preserve">= objective response rate, </w:t>
            </w:r>
            <w:r w:rsidRPr="00D52335">
              <w:rPr>
                <w:rFonts w:ascii="Arial" w:eastAsia="SimSun" w:hAnsi="Arial" w:cs="Arial"/>
                <w:i/>
                <w:iCs/>
                <w:sz w:val="16"/>
                <w:szCs w:val="16"/>
              </w:rPr>
              <w:t>mOS</w:t>
            </w:r>
            <w:r w:rsidRPr="00D52335">
              <w:rPr>
                <w:rFonts w:ascii="Arial" w:eastAsia="SimSun" w:hAnsi="Arial" w:cs="Arial"/>
                <w:sz w:val="16"/>
                <w:szCs w:val="16"/>
              </w:rPr>
              <w:t xml:space="preserve"> = median overall survival,</w:t>
            </w:r>
            <w:r w:rsidRPr="00D52335">
              <w:rPr>
                <w:rFonts w:ascii="Arial" w:eastAsia="SimSun" w:hAnsi="Arial" w:cs="Arial"/>
                <w:i/>
                <w:iCs/>
                <w:sz w:val="16"/>
                <w:szCs w:val="16"/>
              </w:rPr>
              <w:t xml:space="preserve"> mPFS </w:t>
            </w:r>
            <w:r w:rsidRPr="00D52335">
              <w:rPr>
                <w:rFonts w:ascii="Arial" w:eastAsia="SimSun" w:hAnsi="Arial" w:cs="Arial"/>
                <w:sz w:val="16"/>
                <w:szCs w:val="16"/>
              </w:rPr>
              <w:t xml:space="preserve">= median progression-free survival, </w:t>
            </w:r>
            <w:r w:rsidRPr="00D52335">
              <w:rPr>
                <w:rFonts w:ascii="Arial" w:eastAsia="SimSun" w:hAnsi="Arial" w:cs="Arial"/>
                <w:i/>
                <w:iCs/>
                <w:sz w:val="16"/>
                <w:szCs w:val="16"/>
              </w:rPr>
              <w:t>mDOR</w:t>
            </w:r>
            <w:r w:rsidRPr="00D52335">
              <w:rPr>
                <w:rFonts w:ascii="Arial" w:eastAsia="SimSun" w:hAnsi="Arial" w:cs="Arial"/>
                <w:sz w:val="16"/>
                <w:szCs w:val="16"/>
              </w:rPr>
              <w:t xml:space="preserve"> = median duration</w:t>
            </w:r>
          </w:p>
          <w:p w:rsidR="001F5211" w:rsidRPr="00D52335" w:rsidRDefault="001F5211" w:rsidP="003B24A7">
            <w:pPr>
              <w:ind w:left="160" w:hangingChars="100" w:hanging="160"/>
              <w:rPr>
                <w:rFonts w:ascii="Arial" w:eastAsia="SimSun" w:hAnsi="Arial" w:cs="Arial"/>
                <w:sz w:val="16"/>
                <w:szCs w:val="16"/>
              </w:rPr>
            </w:pPr>
            <w:r w:rsidRPr="00D52335">
              <w:rPr>
                <w:rFonts w:ascii="Arial" w:eastAsia="SimSun" w:hAnsi="Arial" w:cs="Arial"/>
                <w:sz w:val="16"/>
                <w:szCs w:val="16"/>
              </w:rPr>
              <w:t xml:space="preserve"> of Response, </w:t>
            </w:r>
            <w:r w:rsidRPr="00D52335">
              <w:rPr>
                <w:rFonts w:ascii="Arial" w:eastAsia="SimSun" w:hAnsi="Arial" w:cs="Arial"/>
                <w:i/>
                <w:iCs/>
                <w:sz w:val="16"/>
                <w:szCs w:val="16"/>
              </w:rPr>
              <w:t xml:space="preserve">NA </w:t>
            </w:r>
            <w:r w:rsidRPr="00D52335">
              <w:rPr>
                <w:rFonts w:ascii="Arial" w:eastAsia="SimSun" w:hAnsi="Arial" w:cs="Arial"/>
                <w:sz w:val="16"/>
                <w:szCs w:val="16"/>
              </w:rPr>
              <w:t>= not available</w:t>
            </w:r>
            <w:r w:rsidRPr="00D52335">
              <w:rPr>
                <w:rFonts w:ascii="Arial" w:eastAsia="SimSun" w:hAnsi="Arial" w:cs="Arial" w:hint="eastAsia"/>
                <w:sz w:val="16"/>
                <w:szCs w:val="16"/>
              </w:rPr>
              <w:t xml:space="preserve">, ESCC=Esophageal squamous cell carcinoma, EAC=esophageal adenocarcinoma, </w:t>
            </w:r>
            <w:r w:rsidRPr="00D52335">
              <w:rPr>
                <w:rFonts w:ascii="Arial" w:eastAsia="SimSun" w:hAnsi="Arial" w:cs="Arial"/>
                <w:sz w:val="16"/>
                <w:szCs w:val="16"/>
              </w:rPr>
              <w:t>.</w:t>
            </w:r>
            <w:r w:rsidRPr="00D52335">
              <w:rPr>
                <w:rFonts w:ascii="Arial" w:eastAsia="SimSun" w:hAnsi="Arial" w:cs="Arial" w:hint="eastAsia"/>
                <w:sz w:val="16"/>
                <w:szCs w:val="16"/>
              </w:rPr>
              <w:t>GEJC=gastro-oesophageal junction adenocarcinoma</w:t>
            </w:r>
          </w:p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sz w:val="10"/>
                <w:szCs w:val="10"/>
              </w:rPr>
            </w:pPr>
          </w:p>
        </w:tc>
      </w:tr>
      <w:tr w:rsidR="001F5211" w:rsidRPr="00D52335" w:rsidTr="003B24A7">
        <w:trPr>
          <w:trHeight w:val="1279"/>
          <w:jc w:val="center"/>
        </w:trPr>
        <w:tc>
          <w:tcPr>
            <w:tcW w:w="4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45" w:type="dxa"/>
            <w:tcBorders>
              <w:lef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mDOR (months)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(95% CI)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5.7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0.1-30.6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3.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4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0.0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-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19.5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8.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3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1.2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 xml:space="preserve">+ - 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31.0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+)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6.0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(1.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5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 xml:space="preserve">+ - 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25.0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+)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7.0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(6.1-8.9)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4.6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(4.3-5.5)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9.7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(7.1-13.7)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6.9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(5.6-7.2)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color w:val="000000"/>
                <w:sz w:val="10"/>
                <w:szCs w:val="10"/>
              </w:rPr>
            </w:pPr>
          </w:p>
        </w:tc>
      </w:tr>
      <w:tr w:rsidR="001F5211" w:rsidRPr="00D52335" w:rsidTr="003B24A7">
        <w:trPr>
          <w:trHeight w:val="863"/>
          <w:jc w:val="center"/>
        </w:trPr>
        <w:tc>
          <w:tcPr>
            <w:tcW w:w="4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45" w:type="dxa"/>
            <w:tcBorders>
              <w:lef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ORR(%)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(95% CI)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47.0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42.0-53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.0)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2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7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.0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22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.0-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32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.0)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45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(39·9–50·2)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29.3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(24·7–34·1)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72.1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(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66.7-77.2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62.1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(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56.3-67.6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66.1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45.5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color w:val="000000"/>
                <w:sz w:val="10"/>
                <w:szCs w:val="10"/>
              </w:rPr>
            </w:pPr>
          </w:p>
        </w:tc>
      </w:tr>
      <w:tr w:rsidR="001F5211" w:rsidRPr="00D52335" w:rsidTr="003B24A7">
        <w:trPr>
          <w:trHeight w:val="1112"/>
          <w:jc w:val="center"/>
        </w:trPr>
        <w:tc>
          <w:tcPr>
            <w:tcW w:w="4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45" w:type="dxa"/>
            <w:tcBorders>
              <w:lef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mPFS (month)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(95% CI)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5.8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(5.6-7.0)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5.6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4.3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-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5.9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6·3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(6·2–6·9)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5.8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(5·0–6·0)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6.9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(5.8-7.4)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5.6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(5.5-5.7)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7.2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(7.0-9.6)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5.7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(5.5-6.8)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5.7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(5.6-7.0)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5.5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(5.2-5.6)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color w:val="000000"/>
                <w:sz w:val="10"/>
                <w:szCs w:val="10"/>
              </w:rPr>
            </w:pPr>
          </w:p>
        </w:tc>
      </w:tr>
      <w:tr w:rsidR="001F5211" w:rsidRPr="00D52335" w:rsidTr="003B24A7">
        <w:trPr>
          <w:trHeight w:val="944"/>
          <w:jc w:val="center"/>
        </w:trPr>
        <w:tc>
          <w:tcPr>
            <w:tcW w:w="4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45" w:type="dxa"/>
            <w:tcBorders>
              <w:lef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mOS(month)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(95% CI)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13.2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11.1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-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15.7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10.7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9.4-11.9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12·4 (10·5–14·0)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9·8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(8·8–10·8)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15.3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(12.8-17.3)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12.0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(11.0-13.3)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16.7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(14.8-21.7)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12.5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(11.0-14.5)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17.0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(14.0-NA)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11.0</w:t>
            </w:r>
          </w:p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(10.4-12.6)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12.3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11.3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13.1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12.6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NA</w:t>
            </w: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color w:val="000000"/>
                <w:sz w:val="10"/>
                <w:szCs w:val="10"/>
              </w:rPr>
            </w:pPr>
          </w:p>
        </w:tc>
      </w:tr>
      <w:tr w:rsidR="001F5211" w:rsidRPr="00D52335" w:rsidTr="003B24A7">
        <w:trPr>
          <w:trHeight w:val="950"/>
          <w:jc w:val="center"/>
        </w:trPr>
        <w:tc>
          <w:tcPr>
            <w:tcW w:w="4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45" w:type="dxa"/>
            <w:tcBorders>
              <w:lef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b/>
                <w:bCs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Median follow-up (month)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12.9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12.9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22·6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22·6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sz w:val="13"/>
                <w:szCs w:val="13"/>
              </w:rPr>
              <w:t>10.8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sz w:val="13"/>
                <w:szCs w:val="13"/>
              </w:rPr>
              <w:t>10.8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11.4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11.4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7.4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7.3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13.1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11.1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13.1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11.1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18.8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18.8</w:t>
            </w: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color w:val="000000"/>
                <w:sz w:val="10"/>
                <w:szCs w:val="10"/>
              </w:rPr>
            </w:pPr>
          </w:p>
        </w:tc>
      </w:tr>
      <w:tr w:rsidR="001F5211" w:rsidRPr="00D52335" w:rsidTr="003B24A7">
        <w:trPr>
          <w:trHeight w:val="823"/>
          <w:jc w:val="center"/>
        </w:trPr>
        <w:tc>
          <w:tcPr>
            <w:tcW w:w="4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45" w:type="dxa"/>
            <w:tcBorders>
              <w:lef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b/>
                <w:bCs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Patient Number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321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324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373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376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298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2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98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327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332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257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257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103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108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132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128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60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60</w:t>
            </w: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color w:val="000000"/>
                <w:sz w:val="10"/>
                <w:szCs w:val="10"/>
              </w:rPr>
            </w:pPr>
          </w:p>
        </w:tc>
      </w:tr>
      <w:tr w:rsidR="001F5211" w:rsidRPr="00D52335" w:rsidTr="003B24A7">
        <w:trPr>
          <w:trHeight w:val="2031"/>
          <w:jc w:val="center"/>
        </w:trPr>
        <w:tc>
          <w:tcPr>
            <w:tcW w:w="4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45" w:type="dxa"/>
            <w:tcBorders>
              <w:lef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b/>
                <w:bCs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Treatment Regimen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n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ivolumab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+chemotherapy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chemotherapy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pembrolizumab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+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chemotherapy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Placebo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+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chemotherapy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Camrelizumab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+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chemotherapy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Placebo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+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chemotherapy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sintilimab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+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chemotherapy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placebo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+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chemotherapy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Toripalimab+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chemotherapy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placebo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+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chemotherapy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n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ivolumab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+chemotherapy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chemotherapy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n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ivolumab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+chemotherapy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chemotherapy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sintilimab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+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chemotherapy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placebo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+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chemotherapy</w:t>
            </w: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color w:val="000000"/>
                <w:sz w:val="10"/>
                <w:szCs w:val="10"/>
              </w:rPr>
            </w:pPr>
          </w:p>
        </w:tc>
      </w:tr>
      <w:tr w:rsidR="001F5211" w:rsidRPr="00D52335" w:rsidTr="003B24A7">
        <w:trPr>
          <w:trHeight w:val="982"/>
          <w:jc w:val="center"/>
        </w:trPr>
        <w:tc>
          <w:tcPr>
            <w:tcW w:w="4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45" w:type="dxa"/>
            <w:tcBorders>
              <w:lef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b/>
                <w:bCs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sz w:val="15"/>
                <w:szCs w:val="15"/>
              </w:rPr>
              <w:t>Histology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ESCC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right="113" w:firstLineChars="100" w:firstLine="130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ESCC, EAC, GEJC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ESCC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ESCC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ESCC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EAC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GEJC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GEJC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sz w:val="10"/>
                <w:szCs w:val="10"/>
              </w:rPr>
            </w:pPr>
          </w:p>
        </w:tc>
      </w:tr>
      <w:tr w:rsidR="001F5211" w:rsidRPr="00D52335" w:rsidTr="003B24A7">
        <w:trPr>
          <w:trHeight w:val="718"/>
          <w:jc w:val="center"/>
        </w:trPr>
        <w:tc>
          <w:tcPr>
            <w:tcW w:w="4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45" w:type="dxa"/>
            <w:tcBorders>
              <w:lef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Phase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III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III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III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III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III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III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III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sz w:val="10"/>
                <w:szCs w:val="10"/>
              </w:rPr>
            </w:pPr>
          </w:p>
        </w:tc>
      </w:tr>
      <w:tr w:rsidR="001F5211" w:rsidRPr="00D52335" w:rsidTr="003B24A7">
        <w:trPr>
          <w:trHeight w:val="1407"/>
          <w:jc w:val="center"/>
        </w:trPr>
        <w:tc>
          <w:tcPr>
            <w:tcW w:w="4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45" w:type="dxa"/>
            <w:tcBorders>
              <w:lef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b/>
                <w:bCs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Clinal Trials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Checkmate 648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KEYNOTE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 xml:space="preserve"> 590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ESCORT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-1st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O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rient-15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Jupiter-06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Checkmate 649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O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rient-16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sz w:val="10"/>
                <w:szCs w:val="10"/>
              </w:rPr>
            </w:pPr>
          </w:p>
        </w:tc>
      </w:tr>
      <w:tr w:rsidR="001F5211" w:rsidRPr="00D52335" w:rsidTr="003B24A7">
        <w:trPr>
          <w:trHeight w:val="1494"/>
          <w:jc w:val="center"/>
        </w:trPr>
        <w:tc>
          <w:tcPr>
            <w:tcW w:w="4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645" w:type="dxa"/>
            <w:tcBorders>
              <w:lef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b/>
                <w:bCs/>
                <w:sz w:val="15"/>
                <w:szCs w:val="15"/>
              </w:rPr>
            </w:pPr>
            <w:r w:rsidRPr="00D52335">
              <w:rPr>
                <w:rFonts w:ascii="Arial" w:eastAsia="SimSun" w:hAnsi="Arial" w:cs="Arial"/>
                <w:b/>
                <w:bCs/>
                <w:color w:val="000000"/>
                <w:sz w:val="15"/>
                <w:szCs w:val="15"/>
              </w:rPr>
              <w:t>Reference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sz w:val="13"/>
                <w:szCs w:val="13"/>
              </w:rPr>
              <w:t>Ian</w:t>
            </w: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 xml:space="preserve"> </w:t>
            </w:r>
            <w:r w:rsidRPr="00D52335">
              <w:rPr>
                <w:rFonts w:ascii="Arial" w:eastAsia="SimSun" w:hAnsi="Arial" w:cs="Arial"/>
                <w:sz w:val="13"/>
                <w:szCs w:val="13"/>
              </w:rPr>
              <w:t>Chau</w:t>
            </w: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 xml:space="preserve"> 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et al</w:t>
            </w:r>
            <w:r w:rsidRPr="00D52335">
              <w:rPr>
                <w:rFonts w:ascii="Arial" w:eastAsia="SimSun" w:hAnsi="Arial" w:cs="Arial"/>
                <w:sz w:val="13"/>
                <w:szCs w:val="13"/>
              </w:rPr>
              <w:t xml:space="preserve"> </w:t>
            </w: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2021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Jong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m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u Sun et al 202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>Huiyan Luo et al 202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Calibri" w:eastAsia="SimSun" w:hAnsi="Calibri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Lin Shen</w:t>
            </w:r>
            <w:r w:rsidRPr="00D52335">
              <w:rPr>
                <w:rFonts w:ascii="Arial" w:eastAsia="SimSun" w:hAnsi="Arial" w:cs="Arial"/>
                <w:color w:val="000000"/>
                <w:sz w:val="13"/>
                <w:szCs w:val="13"/>
              </w:rPr>
              <w:t xml:space="preserve"> et al 202</w:t>
            </w: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1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Calibri" w:eastAsia="SimSun" w:hAnsi="Calibri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Ruihua Xu et al 2021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color w:val="000000"/>
                <w:sz w:val="13"/>
                <w:szCs w:val="13"/>
              </w:rPr>
              <w:t>Yelena Y Janjigian 2021</w:t>
            </w: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425" w:type="dxa"/>
            <w:textDirection w:val="btLr"/>
          </w:tcPr>
          <w:p w:rsidR="001F5211" w:rsidRPr="00D52335" w:rsidRDefault="001F5211" w:rsidP="003B24A7">
            <w:pPr>
              <w:spacing w:line="160" w:lineRule="exact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  <w:r w:rsidRPr="00D52335">
              <w:rPr>
                <w:rFonts w:ascii="Arial" w:eastAsia="SimSun" w:hAnsi="Arial" w:cs="Arial" w:hint="eastAsia"/>
                <w:sz w:val="13"/>
                <w:szCs w:val="13"/>
              </w:rPr>
              <w:t>Jianming Xu 2021</w:t>
            </w:r>
          </w:p>
        </w:tc>
        <w:tc>
          <w:tcPr>
            <w:tcW w:w="425" w:type="dxa"/>
            <w:tcBorders>
              <w:right w:val="single" w:sz="4" w:space="0" w:color="auto"/>
            </w:tcBorders>
            <w:textDirection w:val="btLr"/>
          </w:tcPr>
          <w:p w:rsidR="001F5211" w:rsidRPr="00D52335" w:rsidRDefault="001F5211" w:rsidP="003B24A7">
            <w:pPr>
              <w:spacing w:line="160" w:lineRule="exact"/>
              <w:ind w:left="113" w:right="113"/>
              <w:jc w:val="center"/>
              <w:rPr>
                <w:rFonts w:ascii="Arial" w:eastAsia="SimSun" w:hAnsi="Arial" w:cs="Arial"/>
                <w:sz w:val="13"/>
                <w:szCs w:val="13"/>
              </w:rPr>
            </w:pPr>
          </w:p>
        </w:tc>
        <w:tc>
          <w:tcPr>
            <w:tcW w:w="84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:rsidR="001F5211" w:rsidRPr="00D52335" w:rsidRDefault="001F5211" w:rsidP="003B24A7">
            <w:pPr>
              <w:ind w:left="113" w:right="113"/>
              <w:jc w:val="center"/>
              <w:rPr>
                <w:rFonts w:ascii="Arial" w:eastAsia="SimSun" w:hAnsi="Arial" w:cs="Arial"/>
                <w:sz w:val="10"/>
                <w:szCs w:val="10"/>
              </w:rPr>
            </w:pPr>
          </w:p>
        </w:tc>
      </w:tr>
    </w:tbl>
    <w:p w:rsidR="00B57F37" w:rsidRPr="001F5211" w:rsidRDefault="001F5211" w:rsidP="001F5211">
      <w:bookmarkStart w:id="0" w:name="_GoBack"/>
      <w:bookmarkEnd w:id="0"/>
    </w:p>
    <w:sectPr w:rsidR="00B57F37" w:rsidRPr="001F52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211"/>
    <w:rsid w:val="001F5211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CDCAF"/>
  <w15:chartTrackingRefBased/>
  <w15:docId w15:val="{18655BE8-6174-4D25-A71C-569D190FA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5211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1F5211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313</Words>
  <Characters>1786</Characters>
  <Application>Microsoft Office Word</Application>
  <DocSecurity>0</DocSecurity>
  <Lines>14</Lines>
  <Paragraphs>4</Paragraphs>
  <ScaleCrop>false</ScaleCrop>
  <Company>Springer Nature IT</Company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2021-10-06T04:47:00Z</dcterms:created>
  <dcterms:modified xsi:type="dcterms:W3CDTF">2021-10-06T04:48:00Z</dcterms:modified>
</cp:coreProperties>
</file>