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F72BDF" w14:textId="56DEECF2" w:rsidR="00B16F99" w:rsidRPr="00AE43D6" w:rsidRDefault="00B16F99" w:rsidP="00AE43D6">
      <w:pPr>
        <w:spacing w:line="480" w:lineRule="auto"/>
        <w:rPr>
          <w:rFonts w:ascii="Arial" w:hAnsi="Arial" w:cs="Arial"/>
          <w:b/>
          <w:szCs w:val="24"/>
        </w:rPr>
      </w:pPr>
      <w:r w:rsidRPr="00AE43D6">
        <w:rPr>
          <w:rFonts w:ascii="Arial" w:hAnsi="Arial" w:cs="Arial"/>
          <w:b/>
          <w:szCs w:val="24"/>
        </w:rPr>
        <w:t>Supplementary Information for</w:t>
      </w:r>
    </w:p>
    <w:p w14:paraId="135AEE58" w14:textId="4A3964D6" w:rsidR="00B16F99" w:rsidRPr="00AE43D6" w:rsidRDefault="00A614E0" w:rsidP="00AE43D6">
      <w:pPr>
        <w:spacing w:line="480" w:lineRule="auto"/>
        <w:rPr>
          <w:rFonts w:ascii="Arial" w:hAnsi="Arial" w:cs="Arial"/>
          <w:bCs/>
          <w:szCs w:val="24"/>
        </w:rPr>
      </w:pPr>
      <w:r w:rsidRPr="00AE43D6">
        <w:rPr>
          <w:rFonts w:ascii="Arial" w:hAnsi="Arial" w:cs="Arial"/>
          <w:bCs/>
          <w:szCs w:val="24"/>
        </w:rPr>
        <w:t>PPP2R3A affects the function and mechanism of heterogeneous fibroblasts in pulmonary fibrosis</w:t>
      </w:r>
    </w:p>
    <w:p w14:paraId="773A15B7" w14:textId="77777777" w:rsidR="00015F74" w:rsidRPr="00AE43D6" w:rsidRDefault="00015F74" w:rsidP="00AE43D6">
      <w:pPr>
        <w:spacing w:line="480" w:lineRule="auto"/>
        <w:rPr>
          <w:rFonts w:ascii="Arial" w:hAnsi="Arial" w:cs="Arial"/>
          <w:szCs w:val="24"/>
        </w:rPr>
      </w:pPr>
    </w:p>
    <w:p w14:paraId="6985025A" w14:textId="77777777" w:rsidR="00B16F99" w:rsidRPr="00AE43D6" w:rsidRDefault="00B16F99" w:rsidP="00AE43D6">
      <w:pPr>
        <w:spacing w:line="480" w:lineRule="auto"/>
        <w:rPr>
          <w:rFonts w:ascii="Arial" w:hAnsi="Arial" w:cs="Arial"/>
          <w:szCs w:val="24"/>
        </w:rPr>
      </w:pPr>
    </w:p>
    <w:p w14:paraId="0A5FF81B" w14:textId="7C6B1028" w:rsidR="002C030F" w:rsidRPr="00AE43D6" w:rsidRDefault="00A614E0" w:rsidP="00AE43D6">
      <w:pPr>
        <w:spacing w:line="480" w:lineRule="auto"/>
        <w:rPr>
          <w:rFonts w:ascii="Arial" w:hAnsi="Arial" w:cs="Arial"/>
          <w:szCs w:val="24"/>
        </w:rPr>
      </w:pPr>
      <w:proofErr w:type="spellStart"/>
      <w:r w:rsidRPr="00AE43D6">
        <w:rPr>
          <w:rFonts w:ascii="Arial" w:hAnsi="Arial" w:cs="Arial"/>
          <w:szCs w:val="24"/>
        </w:rPr>
        <w:t>Xiaoni</w:t>
      </w:r>
      <w:proofErr w:type="spellEnd"/>
      <w:r w:rsidRPr="00AE43D6">
        <w:rPr>
          <w:rFonts w:ascii="Arial" w:hAnsi="Arial" w:cs="Arial"/>
          <w:szCs w:val="24"/>
        </w:rPr>
        <w:t xml:space="preserve"> Shi, Shaoqi Yang, Wei Luo,</w:t>
      </w:r>
      <w:r w:rsidRPr="00AE43D6">
        <w:rPr>
          <w:rFonts w:ascii="Arial" w:hAnsi="Arial" w:cs="Arial"/>
          <w:szCs w:val="24"/>
          <w:vertAlign w:val="superscript"/>
        </w:rPr>
        <w:t xml:space="preserve"> </w:t>
      </w:r>
      <w:r w:rsidRPr="00AE43D6">
        <w:rPr>
          <w:rFonts w:ascii="Arial" w:hAnsi="Arial" w:cs="Arial"/>
          <w:szCs w:val="24"/>
        </w:rPr>
        <w:t xml:space="preserve">Sha Wang, Jie Huang, </w:t>
      </w:r>
      <w:proofErr w:type="spellStart"/>
      <w:r w:rsidRPr="00AE43D6">
        <w:rPr>
          <w:rFonts w:ascii="Arial" w:hAnsi="Arial" w:cs="Arial"/>
          <w:szCs w:val="24"/>
        </w:rPr>
        <w:t>Mengling</w:t>
      </w:r>
      <w:proofErr w:type="spellEnd"/>
      <w:r w:rsidRPr="00AE43D6">
        <w:rPr>
          <w:rFonts w:ascii="Arial" w:hAnsi="Arial" w:cs="Arial"/>
          <w:szCs w:val="24"/>
        </w:rPr>
        <w:t xml:space="preserve"> Chen, Jing Wang, </w:t>
      </w:r>
      <w:proofErr w:type="spellStart"/>
      <w:r w:rsidRPr="00AE43D6">
        <w:rPr>
          <w:rFonts w:ascii="Arial" w:hAnsi="Arial" w:cs="Arial"/>
          <w:szCs w:val="24"/>
        </w:rPr>
        <w:t>Yusi</w:t>
      </w:r>
      <w:proofErr w:type="spellEnd"/>
      <w:r w:rsidRPr="00AE43D6">
        <w:rPr>
          <w:rFonts w:ascii="Arial" w:hAnsi="Arial" w:cs="Arial"/>
          <w:szCs w:val="24"/>
        </w:rPr>
        <w:t xml:space="preserve"> Cheng, </w:t>
      </w:r>
      <w:proofErr w:type="spellStart"/>
      <w:r w:rsidR="00D420E2" w:rsidRPr="00AE43D6">
        <w:rPr>
          <w:rFonts w:ascii="Arial" w:hAnsi="Arial" w:cs="Arial"/>
          <w:szCs w:val="24"/>
        </w:rPr>
        <w:t>Xinxin</w:t>
      </w:r>
      <w:proofErr w:type="spellEnd"/>
      <w:r w:rsidR="00D420E2" w:rsidRPr="00AE43D6">
        <w:rPr>
          <w:rFonts w:ascii="Arial" w:hAnsi="Arial" w:cs="Arial"/>
          <w:szCs w:val="24"/>
        </w:rPr>
        <w:t xml:space="preserve"> Zhang, </w:t>
      </w:r>
      <w:r w:rsidRPr="00AE43D6">
        <w:rPr>
          <w:rFonts w:ascii="Arial" w:hAnsi="Arial" w:cs="Arial"/>
          <w:szCs w:val="24"/>
        </w:rPr>
        <w:t>Jie Chao</w:t>
      </w:r>
    </w:p>
    <w:p w14:paraId="1EBDE992" w14:textId="77777777" w:rsidR="000F0DCE" w:rsidRPr="00AE43D6" w:rsidRDefault="000F0DCE" w:rsidP="00AE43D6">
      <w:pPr>
        <w:spacing w:line="480" w:lineRule="auto"/>
        <w:rPr>
          <w:rFonts w:ascii="Arial" w:hAnsi="Arial" w:cs="Arial"/>
          <w:szCs w:val="24"/>
        </w:rPr>
      </w:pPr>
    </w:p>
    <w:p w14:paraId="76B63DA2" w14:textId="34CA3E4A" w:rsidR="00943C3C" w:rsidRPr="00AE43D6" w:rsidRDefault="00A614E0" w:rsidP="00AE43D6">
      <w:pPr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szCs w:val="24"/>
        </w:rPr>
        <w:t>Jie Chao</w:t>
      </w:r>
    </w:p>
    <w:p w14:paraId="4DDFC540" w14:textId="23AC5B96" w:rsidR="00A614E0" w:rsidRPr="00AE43D6" w:rsidRDefault="00A614E0" w:rsidP="00AE43D6">
      <w:pPr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szCs w:val="24"/>
        </w:rPr>
        <w:t xml:space="preserve">Email: </w:t>
      </w:r>
      <w:hyperlink r:id="rId8" w:history="1">
        <w:r w:rsidR="002722DB" w:rsidRPr="00AE43D6">
          <w:rPr>
            <w:rStyle w:val="affff5"/>
            <w:rFonts w:ascii="Arial" w:hAnsi="Arial" w:cs="Arial"/>
            <w:szCs w:val="24"/>
          </w:rPr>
          <w:t>chaojie@seu.edu.cn</w:t>
        </w:r>
      </w:hyperlink>
    </w:p>
    <w:p w14:paraId="23D92262" w14:textId="1934F858" w:rsidR="002722DB" w:rsidRPr="00AE43D6" w:rsidRDefault="002722DB" w:rsidP="00AE43D6">
      <w:pPr>
        <w:spacing w:line="480" w:lineRule="auto"/>
        <w:rPr>
          <w:rFonts w:ascii="Arial" w:hAnsi="Arial" w:cs="Arial"/>
          <w:szCs w:val="24"/>
          <w:lang w:eastAsia="zh-CN"/>
        </w:rPr>
      </w:pPr>
      <w:proofErr w:type="spellStart"/>
      <w:r w:rsidRPr="00AE43D6">
        <w:rPr>
          <w:rFonts w:ascii="Arial" w:hAnsi="Arial" w:cs="Arial"/>
          <w:szCs w:val="24"/>
          <w:lang w:eastAsia="zh-CN"/>
        </w:rPr>
        <w:t>Xinxin</w:t>
      </w:r>
      <w:proofErr w:type="spellEnd"/>
      <w:r w:rsidRPr="00AE43D6">
        <w:rPr>
          <w:rFonts w:ascii="Arial" w:hAnsi="Arial" w:cs="Arial"/>
          <w:szCs w:val="24"/>
          <w:lang w:eastAsia="zh-CN"/>
        </w:rPr>
        <w:t xml:space="preserve"> Zhang</w:t>
      </w:r>
    </w:p>
    <w:p w14:paraId="20280842" w14:textId="24EC8DF5" w:rsidR="002722DB" w:rsidRPr="00AE43D6" w:rsidRDefault="002722DB" w:rsidP="00AE43D6">
      <w:pPr>
        <w:spacing w:line="480" w:lineRule="auto"/>
        <w:rPr>
          <w:rFonts w:ascii="Arial" w:hAnsi="Arial" w:cs="Arial"/>
          <w:szCs w:val="24"/>
          <w:lang w:eastAsia="zh-CN"/>
        </w:rPr>
      </w:pPr>
      <w:r w:rsidRPr="00AE43D6">
        <w:rPr>
          <w:rFonts w:ascii="Arial" w:hAnsi="Arial" w:cs="Arial"/>
          <w:szCs w:val="24"/>
          <w:lang w:eastAsia="zh-CN"/>
        </w:rPr>
        <w:t>Email: dky_dl_11@163.com</w:t>
      </w:r>
    </w:p>
    <w:p w14:paraId="1C9F1A38" w14:textId="77777777" w:rsidR="00A614E0" w:rsidRPr="00AE43D6" w:rsidRDefault="00A614E0" w:rsidP="00AE43D6">
      <w:pPr>
        <w:spacing w:line="480" w:lineRule="auto"/>
        <w:rPr>
          <w:rFonts w:ascii="Arial" w:hAnsi="Arial" w:cs="Arial"/>
          <w:bCs/>
          <w:szCs w:val="24"/>
        </w:rPr>
      </w:pPr>
      <w:proofErr w:type="spellStart"/>
      <w:r w:rsidRPr="00AE43D6">
        <w:rPr>
          <w:rFonts w:ascii="Arial" w:hAnsi="Arial" w:cs="Arial"/>
          <w:bCs/>
          <w:szCs w:val="24"/>
        </w:rPr>
        <w:t>Yusi</w:t>
      </w:r>
      <w:proofErr w:type="spellEnd"/>
      <w:r w:rsidRPr="00AE43D6">
        <w:rPr>
          <w:rFonts w:ascii="Arial" w:hAnsi="Arial" w:cs="Arial"/>
          <w:bCs/>
          <w:szCs w:val="24"/>
        </w:rPr>
        <w:t xml:space="preserve"> Cheng</w:t>
      </w:r>
    </w:p>
    <w:p w14:paraId="48676783" w14:textId="1EBD9463" w:rsidR="004779CB" w:rsidRPr="00AE43D6" w:rsidRDefault="00A614E0" w:rsidP="00AE43D6">
      <w:pPr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szCs w:val="24"/>
        </w:rPr>
        <w:t>Email: chengyusi_sky@126.com</w:t>
      </w:r>
    </w:p>
    <w:p w14:paraId="41FAE993" w14:textId="77777777" w:rsidR="002C030F" w:rsidRPr="00AE43D6" w:rsidRDefault="002C030F" w:rsidP="00AE43D6">
      <w:pPr>
        <w:spacing w:line="480" w:lineRule="auto"/>
        <w:rPr>
          <w:rFonts w:ascii="Arial" w:hAnsi="Arial" w:cs="Arial"/>
          <w:szCs w:val="24"/>
        </w:rPr>
      </w:pPr>
    </w:p>
    <w:p w14:paraId="026C4494" w14:textId="77777777" w:rsidR="00A614E0" w:rsidRPr="00AE43D6" w:rsidRDefault="00A614E0" w:rsidP="00AE43D6">
      <w:pPr>
        <w:spacing w:line="480" w:lineRule="auto"/>
        <w:rPr>
          <w:rFonts w:ascii="Arial" w:hAnsi="Arial" w:cs="Arial"/>
          <w:b/>
          <w:szCs w:val="24"/>
        </w:rPr>
      </w:pPr>
      <w:r w:rsidRPr="00AE43D6">
        <w:rPr>
          <w:rFonts w:ascii="Arial" w:hAnsi="Arial" w:cs="Arial"/>
          <w:bCs/>
          <w:szCs w:val="24"/>
        </w:rPr>
        <w:br w:type="page"/>
      </w:r>
    </w:p>
    <w:p w14:paraId="337935C7" w14:textId="5FB0644E" w:rsidR="009A1FB0" w:rsidRPr="00AE43D6" w:rsidRDefault="009A1FB0" w:rsidP="00AE43D6">
      <w:pPr>
        <w:pStyle w:val="SMHeading"/>
        <w:spacing w:line="480" w:lineRule="auto"/>
        <w:rPr>
          <w:rFonts w:ascii="Arial" w:hAnsi="Arial" w:cs="Arial"/>
          <w:lang w:eastAsia="zh-CN"/>
        </w:rPr>
      </w:pPr>
      <w:r w:rsidRPr="00AE43D6">
        <w:rPr>
          <w:rFonts w:ascii="Arial" w:hAnsi="Arial" w:cs="Arial"/>
          <w:lang w:eastAsia="zh-CN"/>
        </w:rPr>
        <w:lastRenderedPageBreak/>
        <w:t>Supplementary method</w:t>
      </w:r>
    </w:p>
    <w:p w14:paraId="100B47AB" w14:textId="15A3F242" w:rsidR="009A1FB0" w:rsidRPr="00AE43D6" w:rsidRDefault="009A1FB0" w:rsidP="00AE43D6">
      <w:pPr>
        <w:spacing w:line="480" w:lineRule="auto"/>
        <w:rPr>
          <w:rFonts w:ascii="Arial" w:hAnsi="Arial" w:cs="Arial"/>
          <w:b/>
          <w:i/>
          <w:color w:val="000000" w:themeColor="text1"/>
          <w:szCs w:val="24"/>
          <w:lang w:eastAsia="zh-CN"/>
        </w:rPr>
      </w:pPr>
      <w:r w:rsidRPr="00AE43D6">
        <w:rPr>
          <w:rFonts w:ascii="Arial" w:hAnsi="Arial" w:cs="Arial"/>
          <w:b/>
          <w:i/>
          <w:color w:val="000000" w:themeColor="text1"/>
          <w:szCs w:val="24"/>
        </w:rPr>
        <w:t>Spatial transcriptomics</w:t>
      </w:r>
      <w:r w:rsidR="00EF49AB" w:rsidRPr="00AE43D6">
        <w:rPr>
          <w:rFonts w:ascii="Arial" w:hAnsi="Arial" w:cs="Arial"/>
          <w:b/>
          <w:i/>
          <w:color w:val="000000" w:themeColor="text1"/>
          <w:szCs w:val="24"/>
        </w:rPr>
        <w:t xml:space="preserve"> </w:t>
      </w:r>
      <w:r w:rsidR="00EF49AB" w:rsidRPr="00AE43D6">
        <w:rPr>
          <w:rFonts w:ascii="Arial" w:hAnsi="Arial" w:cs="Arial"/>
          <w:b/>
          <w:i/>
          <w:color w:val="000000" w:themeColor="text1"/>
          <w:szCs w:val="24"/>
          <w:lang w:eastAsia="zh-CN"/>
        </w:rPr>
        <w:t>(</w:t>
      </w:r>
      <w:r w:rsidRPr="00AE43D6">
        <w:rPr>
          <w:rFonts w:ascii="Arial" w:hAnsi="Arial" w:cs="Arial"/>
          <w:b/>
          <w:i/>
          <w:color w:val="000000" w:themeColor="text1"/>
          <w:szCs w:val="24"/>
        </w:rPr>
        <w:t>GSE183683</w:t>
      </w:r>
      <w:r w:rsidR="00EF49AB" w:rsidRPr="00AE43D6">
        <w:rPr>
          <w:rFonts w:ascii="Arial" w:hAnsi="Arial" w:cs="Arial"/>
          <w:b/>
          <w:i/>
          <w:color w:val="000000" w:themeColor="text1"/>
          <w:szCs w:val="24"/>
          <w:lang w:eastAsia="zh-CN"/>
        </w:rPr>
        <w:t>)</w:t>
      </w:r>
    </w:p>
    <w:p w14:paraId="1BC92112" w14:textId="77777777" w:rsidR="009A1FB0" w:rsidRPr="00AE43D6" w:rsidRDefault="009A1FB0" w:rsidP="00AE43D6">
      <w:pPr>
        <w:spacing w:line="480" w:lineRule="auto"/>
        <w:rPr>
          <w:rFonts w:ascii="Arial" w:hAnsi="Arial" w:cs="Arial"/>
          <w:b/>
          <w:color w:val="000000" w:themeColor="text1"/>
          <w:szCs w:val="24"/>
        </w:rPr>
      </w:pPr>
      <w:r w:rsidRPr="00AE43D6">
        <w:rPr>
          <w:rFonts w:ascii="Arial" w:hAnsi="Arial" w:cs="Arial"/>
          <w:b/>
          <w:color w:val="000000" w:themeColor="text1"/>
          <w:szCs w:val="24"/>
        </w:rPr>
        <w:t>1. Sample collection</w:t>
      </w:r>
    </w:p>
    <w:p w14:paraId="0E0680FD" w14:textId="77777777" w:rsidR="009A1FB0" w:rsidRPr="00AE43D6" w:rsidRDefault="009A1FB0" w:rsidP="00AE43D6">
      <w:pPr>
        <w:spacing w:line="480" w:lineRule="auto"/>
        <w:rPr>
          <w:rFonts w:ascii="Arial" w:hAnsi="Arial" w:cs="Arial"/>
          <w:color w:val="000000" w:themeColor="text1"/>
          <w:szCs w:val="24"/>
        </w:rPr>
      </w:pPr>
      <w:r w:rsidRPr="00AE43D6">
        <w:rPr>
          <w:rFonts w:ascii="Arial" w:hAnsi="Arial" w:cs="Arial"/>
          <w:color w:val="000000" w:themeColor="text1"/>
          <w:szCs w:val="24"/>
        </w:rPr>
        <w:t xml:space="preserve">For </w:t>
      </w:r>
      <w:r w:rsidRPr="00AE43D6">
        <w:rPr>
          <w:rFonts w:ascii="Arial" w:eastAsia="等线" w:hAnsi="Arial" w:cs="Arial"/>
          <w:color w:val="000000"/>
          <w:szCs w:val="24"/>
        </w:rPr>
        <w:t xml:space="preserve">the </w:t>
      </w:r>
      <w:r w:rsidRPr="00AE43D6">
        <w:rPr>
          <w:rFonts w:ascii="Arial" w:hAnsi="Arial" w:cs="Arial"/>
          <w:color w:val="000000" w:themeColor="text1"/>
          <w:szCs w:val="24"/>
        </w:rPr>
        <w:t xml:space="preserve">model group, </w:t>
      </w:r>
      <w:r w:rsidRPr="00AE43D6">
        <w:rPr>
          <w:rFonts w:ascii="Arial" w:eastAsia="等线" w:hAnsi="Arial" w:cs="Arial"/>
          <w:color w:val="000000"/>
          <w:szCs w:val="24"/>
        </w:rPr>
        <w:t>mice with</w:t>
      </w:r>
      <w:r w:rsidRPr="00AE43D6">
        <w:rPr>
          <w:rFonts w:ascii="Arial" w:hAnsi="Arial" w:cs="Arial"/>
          <w:color w:val="000000" w:themeColor="text1"/>
          <w:szCs w:val="24"/>
        </w:rPr>
        <w:t xml:space="preserve"> obvious fibrotic lesions on CT were thought to be a successful model. Lung tissues were trimmed near the hilum in </w:t>
      </w:r>
      <w:r w:rsidRPr="00AE43D6">
        <w:rPr>
          <w:rFonts w:ascii="Arial" w:eastAsia="等线" w:hAnsi="Arial" w:cs="Arial"/>
          <w:color w:val="000000"/>
          <w:szCs w:val="24"/>
        </w:rPr>
        <w:t xml:space="preserve">the </w:t>
      </w:r>
      <w:r w:rsidRPr="00AE43D6">
        <w:rPr>
          <w:rFonts w:ascii="Arial" w:hAnsi="Arial" w:cs="Arial"/>
          <w:color w:val="000000" w:themeColor="text1"/>
          <w:szCs w:val="24"/>
        </w:rPr>
        <w:t xml:space="preserve">horizontal direction and then immediately </w:t>
      </w:r>
      <w:r w:rsidRPr="00AE43D6">
        <w:rPr>
          <w:rFonts w:ascii="Arial" w:eastAsia="等线" w:hAnsi="Arial" w:cs="Arial"/>
          <w:color w:val="000000"/>
          <w:szCs w:val="24"/>
        </w:rPr>
        <w:t>frozen</w:t>
      </w:r>
      <w:r w:rsidRPr="00AE43D6">
        <w:rPr>
          <w:rFonts w:ascii="Arial" w:hAnsi="Arial" w:cs="Arial"/>
          <w:color w:val="000000" w:themeColor="text1"/>
          <w:szCs w:val="24"/>
        </w:rPr>
        <w:t xml:space="preserve"> in OCT on dry ice. These samples were </w:t>
      </w:r>
      <w:r w:rsidRPr="00AE43D6">
        <w:rPr>
          <w:rFonts w:ascii="Arial" w:hAnsi="Arial" w:cs="Arial"/>
          <w:szCs w:val="24"/>
        </w:rPr>
        <w:t xml:space="preserve">stored </w:t>
      </w:r>
      <w:r w:rsidRPr="00AE43D6">
        <w:rPr>
          <w:rFonts w:ascii="Arial" w:hAnsi="Arial" w:cs="Arial"/>
          <w:color w:val="000000" w:themeColor="text1"/>
          <w:szCs w:val="24"/>
        </w:rPr>
        <w:t>at -80</w:t>
      </w:r>
      <w:r w:rsidRPr="00AE43D6">
        <w:rPr>
          <w:rFonts w:ascii="Arial" w:hAnsi="Arial" w:cs="Arial"/>
          <w:szCs w:val="24"/>
        </w:rPr>
        <w:t>°C before next step.</w:t>
      </w:r>
    </w:p>
    <w:p w14:paraId="2A8F2E65" w14:textId="77777777" w:rsidR="009A1FB0" w:rsidRPr="00AE43D6" w:rsidRDefault="009A1FB0" w:rsidP="00AE43D6">
      <w:pPr>
        <w:pStyle w:val="Default"/>
        <w:spacing w:line="480" w:lineRule="auto"/>
        <w:rPr>
          <w:rFonts w:ascii="Arial" w:hAnsi="Arial" w:cs="Arial"/>
          <w:b/>
          <w:bCs/>
        </w:rPr>
      </w:pPr>
      <w:r w:rsidRPr="00AE43D6">
        <w:rPr>
          <w:rFonts w:ascii="Arial" w:hAnsi="Arial" w:cs="Arial"/>
          <w:b/>
        </w:rPr>
        <w:t>2.</w:t>
      </w:r>
      <w:r w:rsidRPr="00AE43D6">
        <w:rPr>
          <w:rFonts w:ascii="Arial" w:hAnsi="Arial" w:cs="Arial"/>
          <w:b/>
          <w:bCs/>
        </w:rPr>
        <w:t xml:space="preserve"> Spatial transcriptomics sequencing</w:t>
      </w:r>
    </w:p>
    <w:p w14:paraId="51F3B347" w14:textId="77777777" w:rsidR="009A1FB0" w:rsidRPr="00AE43D6" w:rsidRDefault="009A1FB0" w:rsidP="00AE43D6">
      <w:pPr>
        <w:pStyle w:val="Default"/>
        <w:spacing w:line="480" w:lineRule="auto"/>
        <w:rPr>
          <w:rFonts w:ascii="Arial" w:hAnsi="Arial" w:cs="Arial"/>
          <w:b/>
          <w:bCs/>
        </w:rPr>
      </w:pPr>
      <w:r w:rsidRPr="00AE43D6">
        <w:rPr>
          <w:rFonts w:ascii="Arial" w:hAnsi="Arial" w:cs="Arial"/>
          <w:b/>
        </w:rPr>
        <w:t xml:space="preserve">2.1 </w:t>
      </w:r>
      <w:r w:rsidRPr="00AE43D6">
        <w:rPr>
          <w:rFonts w:ascii="Arial" w:hAnsi="Arial" w:cs="Arial"/>
          <w:b/>
          <w:bCs/>
        </w:rPr>
        <w:t>Staining and imaging</w:t>
      </w:r>
    </w:p>
    <w:p w14:paraId="0D319BCA" w14:textId="77777777" w:rsidR="009A1FB0" w:rsidRPr="00AE43D6" w:rsidRDefault="009A1FB0" w:rsidP="00AE43D6">
      <w:pPr>
        <w:pStyle w:val="Default"/>
        <w:spacing w:line="480" w:lineRule="auto"/>
        <w:jc w:val="both"/>
        <w:rPr>
          <w:rFonts w:ascii="Arial" w:eastAsia="宋体" w:hAnsi="Arial" w:cs="Arial"/>
        </w:rPr>
      </w:pPr>
      <w:proofErr w:type="spellStart"/>
      <w:r w:rsidRPr="00AE43D6">
        <w:rPr>
          <w:rFonts w:ascii="Arial" w:hAnsi="Arial" w:cs="Arial"/>
        </w:rPr>
        <w:t>Cryosections</w:t>
      </w:r>
      <w:proofErr w:type="spellEnd"/>
      <w:r w:rsidRPr="00AE43D6">
        <w:rPr>
          <w:rFonts w:ascii="Arial" w:hAnsi="Arial" w:cs="Arial"/>
        </w:rPr>
        <w:t xml:space="preserve"> were cut at 10 </w:t>
      </w:r>
      <w:proofErr w:type="spellStart"/>
      <w:r w:rsidRPr="00AE43D6">
        <w:rPr>
          <w:rFonts w:ascii="Arial" w:hAnsi="Arial" w:cs="Arial"/>
        </w:rPr>
        <w:t>μm</w:t>
      </w:r>
      <w:proofErr w:type="spellEnd"/>
      <w:r w:rsidRPr="00AE43D6">
        <w:rPr>
          <w:rFonts w:ascii="Arial" w:hAnsi="Arial" w:cs="Arial"/>
        </w:rPr>
        <w:t xml:space="preserve"> thickness with </w:t>
      </w:r>
      <w:r w:rsidRPr="00AE43D6">
        <w:rPr>
          <w:rFonts w:ascii="Arial" w:eastAsia="等线" w:hAnsi="Arial" w:cs="Arial"/>
        </w:rPr>
        <w:t xml:space="preserve">a </w:t>
      </w:r>
      <w:r w:rsidRPr="00AE43D6">
        <w:rPr>
          <w:rFonts w:ascii="Arial" w:hAnsi="Arial" w:cs="Arial"/>
        </w:rPr>
        <w:t>cryostat (Leica, Germany)</w:t>
      </w:r>
      <w:r w:rsidRPr="00AE43D6">
        <w:rPr>
          <w:rFonts w:ascii="Arial" w:eastAsia="等线" w:hAnsi="Arial" w:cs="Arial"/>
        </w:rPr>
        <w:t xml:space="preserve"> and</w:t>
      </w:r>
      <w:r w:rsidRPr="00AE43D6">
        <w:rPr>
          <w:rFonts w:ascii="Arial" w:hAnsi="Arial" w:cs="Arial"/>
        </w:rPr>
        <w:t xml:space="preserve"> mounted onto GEX arrays. The arrays were placed on </w:t>
      </w:r>
      <w:r w:rsidRPr="00AE43D6">
        <w:rPr>
          <w:rFonts w:ascii="Arial" w:eastAsia="等线" w:hAnsi="Arial" w:cs="Arial"/>
        </w:rPr>
        <w:t xml:space="preserve">a </w:t>
      </w:r>
      <w:r w:rsidRPr="00AE43D6">
        <w:rPr>
          <w:rFonts w:ascii="Arial" w:hAnsi="Arial" w:cs="Arial"/>
        </w:rPr>
        <w:t xml:space="preserve">Thermocycler Adaptor with the active surface facing up and then incubated for 1 min at 37°C, fixed for 30 min with methyl alcohol </w:t>
      </w:r>
      <w:r w:rsidRPr="00AE43D6">
        <w:rPr>
          <w:rFonts w:ascii="Arial" w:eastAsia="宋体" w:hAnsi="Arial" w:cs="Arial"/>
        </w:rPr>
        <w:t>at -20°C, and stained with H&amp;E. Bright field images of the whole slide were acquired on a Leica DMI8 whole-slide scanner at 10x resolution.</w:t>
      </w:r>
    </w:p>
    <w:p w14:paraId="43324490" w14:textId="77777777" w:rsidR="009A1FB0" w:rsidRPr="00AE43D6" w:rsidRDefault="009A1FB0" w:rsidP="00AE43D6">
      <w:pPr>
        <w:pStyle w:val="Default"/>
        <w:spacing w:line="480" w:lineRule="auto"/>
        <w:rPr>
          <w:rFonts w:ascii="Arial" w:eastAsia="宋体" w:hAnsi="Arial" w:cs="Arial"/>
        </w:rPr>
      </w:pPr>
      <w:r w:rsidRPr="00AE43D6">
        <w:rPr>
          <w:rFonts w:ascii="Arial" w:hAnsi="Arial" w:cs="Arial"/>
          <w:b/>
        </w:rPr>
        <w:t xml:space="preserve">2.2 </w:t>
      </w:r>
      <w:r w:rsidRPr="00AE43D6">
        <w:rPr>
          <w:rFonts w:ascii="Arial" w:eastAsia="宋体" w:hAnsi="Arial" w:cs="Arial"/>
          <w:b/>
          <w:bCs/>
        </w:rPr>
        <w:t>Permeabilization and reverse transcription</w:t>
      </w:r>
    </w:p>
    <w:p w14:paraId="7A7D1A48" w14:textId="77777777" w:rsidR="009A1FB0" w:rsidRPr="00AE43D6" w:rsidRDefault="009A1FB0" w:rsidP="00AE43D6">
      <w:pPr>
        <w:pStyle w:val="Default"/>
        <w:spacing w:line="480" w:lineRule="auto"/>
        <w:jc w:val="both"/>
        <w:rPr>
          <w:rFonts w:ascii="Arial" w:eastAsia="宋体" w:hAnsi="Arial" w:cs="Arial"/>
        </w:rPr>
      </w:pPr>
      <w:r w:rsidRPr="00AE43D6">
        <w:rPr>
          <w:rFonts w:ascii="Arial" w:eastAsia="宋体" w:hAnsi="Arial" w:cs="Arial"/>
        </w:rPr>
        <w:t xml:space="preserve">Spatial gene expression analysis was performed using the </w:t>
      </w:r>
      <w:proofErr w:type="spellStart"/>
      <w:r w:rsidRPr="00AE43D6">
        <w:rPr>
          <w:rFonts w:ascii="Arial" w:eastAsia="宋体" w:hAnsi="Arial" w:cs="Arial"/>
        </w:rPr>
        <w:t>Visium</w:t>
      </w:r>
      <w:proofErr w:type="spellEnd"/>
      <w:r w:rsidRPr="00AE43D6">
        <w:rPr>
          <w:rFonts w:ascii="Arial" w:eastAsia="宋体" w:hAnsi="Arial" w:cs="Arial"/>
        </w:rPr>
        <w:t xml:space="preserve"> Spatial Gene Expression Slide and Reagent Kit (10x Genomics, PN-1000184). For each well, a slide cassette was used to create leakproof wells for adding reagents. Then, 70 </w:t>
      </w:r>
      <w:proofErr w:type="spellStart"/>
      <w:r w:rsidRPr="00AE43D6">
        <w:rPr>
          <w:rFonts w:ascii="Arial" w:eastAsia="宋体" w:hAnsi="Arial" w:cs="Arial"/>
        </w:rPr>
        <w:t>μl</w:t>
      </w:r>
      <w:proofErr w:type="spellEnd"/>
      <w:r w:rsidRPr="00AE43D6">
        <w:rPr>
          <w:rFonts w:ascii="Arial" w:eastAsia="宋体" w:hAnsi="Arial" w:cs="Arial"/>
        </w:rPr>
        <w:t xml:space="preserve"> of permeabilization enzyme was added, and the samples were incubated at 37°C</w:t>
      </w:r>
      <w:r w:rsidRPr="00AE43D6">
        <w:rPr>
          <w:rFonts w:ascii="Arial" w:eastAsia="微软雅黑" w:hAnsi="Arial" w:cs="Arial"/>
        </w:rPr>
        <w:t xml:space="preserve">. </w:t>
      </w:r>
      <w:r w:rsidRPr="00AE43D6">
        <w:rPr>
          <w:rFonts w:ascii="Arial" w:hAnsi="Arial" w:cs="Arial"/>
        </w:rPr>
        <w:t>For the NS-7d, SiO2-7d and NS-56d samples, the incubation time was 24 min. Howev</w:t>
      </w:r>
      <w:r w:rsidRPr="00AE43D6">
        <w:rPr>
          <w:rFonts w:ascii="Arial" w:eastAsia="宋体" w:hAnsi="Arial" w:cs="Arial"/>
        </w:rPr>
        <w:t xml:space="preserve">er, for the SiO2-56d group, because of severe lung fibrosis, a 30-min incubation time was used. Each well was washed with 100 </w:t>
      </w:r>
      <w:proofErr w:type="spellStart"/>
      <w:r w:rsidRPr="00AE43D6">
        <w:rPr>
          <w:rFonts w:ascii="Arial" w:eastAsia="宋体" w:hAnsi="Arial" w:cs="Arial"/>
        </w:rPr>
        <w:t>μl</w:t>
      </w:r>
      <w:proofErr w:type="spellEnd"/>
      <w:r w:rsidRPr="00AE43D6">
        <w:rPr>
          <w:rFonts w:ascii="Arial" w:eastAsia="宋体" w:hAnsi="Arial" w:cs="Arial"/>
        </w:rPr>
        <w:t xml:space="preserve"> of SSC, and 75 </w:t>
      </w:r>
      <w:proofErr w:type="spellStart"/>
      <w:r w:rsidRPr="00AE43D6">
        <w:rPr>
          <w:rFonts w:ascii="Arial" w:eastAsia="宋体" w:hAnsi="Arial" w:cs="Arial"/>
        </w:rPr>
        <w:t>μl</w:t>
      </w:r>
      <w:proofErr w:type="spellEnd"/>
      <w:r w:rsidRPr="00AE43D6">
        <w:rPr>
          <w:rFonts w:ascii="Arial" w:eastAsia="宋体" w:hAnsi="Arial" w:cs="Arial"/>
        </w:rPr>
        <w:t xml:space="preserve"> of RT master mix was added for cDNA synthesis (65°C, 15 minutes, hold at 4°C).</w:t>
      </w:r>
    </w:p>
    <w:p w14:paraId="2C66316C" w14:textId="77777777" w:rsidR="009A1FB0" w:rsidRPr="00AE43D6" w:rsidRDefault="009A1FB0" w:rsidP="00AE43D6">
      <w:pPr>
        <w:pStyle w:val="Default"/>
        <w:spacing w:line="480" w:lineRule="auto"/>
        <w:rPr>
          <w:rFonts w:ascii="Arial" w:eastAsia="宋体" w:hAnsi="Arial" w:cs="Arial"/>
        </w:rPr>
      </w:pPr>
      <w:r w:rsidRPr="00AE43D6">
        <w:rPr>
          <w:rFonts w:ascii="Arial" w:eastAsia="宋体" w:hAnsi="Arial" w:cs="Arial"/>
          <w:b/>
          <w:bCs/>
        </w:rPr>
        <w:lastRenderedPageBreak/>
        <w:t>2.3 cDNA library preparation for sequencing</w:t>
      </w:r>
    </w:p>
    <w:p w14:paraId="6782BA0C" w14:textId="77777777" w:rsidR="009A1FB0" w:rsidRPr="00AE43D6" w:rsidRDefault="009A1FB0" w:rsidP="00AE43D6">
      <w:pPr>
        <w:pStyle w:val="Default"/>
        <w:spacing w:line="480" w:lineRule="auto"/>
        <w:jc w:val="both"/>
        <w:rPr>
          <w:rFonts w:ascii="Arial" w:eastAsia="宋体" w:hAnsi="Arial" w:cs="Arial"/>
        </w:rPr>
      </w:pPr>
      <w:r w:rsidRPr="00AE43D6">
        <w:rPr>
          <w:rFonts w:ascii="Arial" w:eastAsia="宋体" w:hAnsi="Arial" w:cs="Arial"/>
        </w:rPr>
        <w:t xml:space="preserve">At the end of first-strand synthesis, RT Master Mix was removed from the wells. Then, 75 </w:t>
      </w:r>
      <w:proofErr w:type="spellStart"/>
      <w:r w:rsidRPr="00AE43D6">
        <w:rPr>
          <w:rFonts w:ascii="Arial" w:eastAsia="宋体" w:hAnsi="Arial" w:cs="Arial"/>
        </w:rPr>
        <w:t>μl</w:t>
      </w:r>
      <w:proofErr w:type="spellEnd"/>
      <w:r w:rsidRPr="00AE43D6">
        <w:rPr>
          <w:rFonts w:ascii="Arial" w:eastAsia="宋体" w:hAnsi="Arial" w:cs="Arial"/>
        </w:rPr>
        <w:t xml:space="preserve"> of 0.08 M KOH was added and incubated for 5 min at room temperature. Then, KOH was removed from the wells, which were washed with 100 µl of EB buffer. Then, 75 </w:t>
      </w:r>
      <w:proofErr w:type="spellStart"/>
      <w:r w:rsidRPr="00AE43D6">
        <w:rPr>
          <w:rFonts w:ascii="Arial" w:eastAsia="宋体" w:hAnsi="Arial" w:cs="Arial"/>
        </w:rPr>
        <w:t>μl</w:t>
      </w:r>
      <w:proofErr w:type="spellEnd"/>
      <w:r w:rsidRPr="00AE43D6">
        <w:rPr>
          <w:rFonts w:ascii="Arial" w:eastAsia="宋体" w:hAnsi="Arial" w:cs="Arial"/>
        </w:rPr>
        <w:t xml:space="preserve"> of Second Strand Mix was added to each well for second-strand synthesis. cDNA amplification (98°C 3 min; 98°C 15 s, 63°C 20 s, 72°C 1 min, 14 cycles; 72°C 1 min, hold at 4°C)</w:t>
      </w:r>
    </w:p>
    <w:p w14:paraId="1D2858F2" w14:textId="77777777" w:rsidR="009A1FB0" w:rsidRPr="00AE43D6" w:rsidRDefault="009A1FB0" w:rsidP="00AE43D6">
      <w:pPr>
        <w:pStyle w:val="Default"/>
        <w:spacing w:line="480" w:lineRule="auto"/>
        <w:jc w:val="both"/>
        <w:rPr>
          <w:rFonts w:ascii="Arial" w:eastAsia="宋体" w:hAnsi="Arial" w:cs="Arial"/>
        </w:rPr>
      </w:pPr>
      <w:r w:rsidRPr="00AE43D6">
        <w:rPr>
          <w:rFonts w:ascii="Arial" w:eastAsia="宋体" w:hAnsi="Arial" w:cs="Arial"/>
          <w:color w:val="FF0000"/>
        </w:rPr>
        <w:t xml:space="preserve"> </w:t>
      </w:r>
      <w:r w:rsidRPr="00AE43D6">
        <w:rPr>
          <w:rFonts w:ascii="Arial" w:eastAsia="宋体" w:hAnsi="Arial" w:cs="Arial"/>
        </w:rPr>
        <w:t xml:space="preserve">was performed on a S1000TM Touch Thermal Cycler (Bio-Rad). According to the manufacturer’s instructions, </w:t>
      </w:r>
      <w:proofErr w:type="spellStart"/>
      <w:r w:rsidRPr="00AE43D6">
        <w:rPr>
          <w:rFonts w:ascii="Arial" w:eastAsia="宋体" w:hAnsi="Arial" w:cs="Arial"/>
        </w:rPr>
        <w:t>Visium</w:t>
      </w:r>
      <w:proofErr w:type="spellEnd"/>
      <w:r w:rsidRPr="00AE43D6">
        <w:rPr>
          <w:rFonts w:ascii="Arial" w:eastAsia="宋体" w:hAnsi="Arial" w:cs="Arial"/>
        </w:rPr>
        <w:t xml:space="preserve"> spatial libraries were constructed using a </w:t>
      </w:r>
      <w:proofErr w:type="spellStart"/>
      <w:r w:rsidRPr="00AE43D6">
        <w:rPr>
          <w:rFonts w:ascii="Arial" w:eastAsia="宋体" w:hAnsi="Arial" w:cs="Arial"/>
        </w:rPr>
        <w:t>Visium</w:t>
      </w:r>
      <w:proofErr w:type="spellEnd"/>
      <w:r w:rsidRPr="00AE43D6">
        <w:rPr>
          <w:rFonts w:ascii="Arial" w:eastAsia="宋体" w:hAnsi="Arial" w:cs="Arial"/>
        </w:rPr>
        <w:t xml:space="preserve"> spatial library construction kit (10x Genomics, PN-1000184</w:t>
      </w:r>
      <w:r w:rsidRPr="00AE43D6">
        <w:rPr>
          <w:rFonts w:ascii="Arial" w:eastAsia="宋体" w:hAnsi="Arial" w:cs="Arial"/>
          <w:color w:val="000000" w:themeColor="text1"/>
        </w:rPr>
        <w:t>).</w:t>
      </w:r>
      <w:r w:rsidRPr="00AE43D6">
        <w:rPr>
          <w:rFonts w:ascii="Arial" w:eastAsia="宋体" w:hAnsi="Arial" w:cs="Arial"/>
          <w:color w:val="FF0000"/>
        </w:rPr>
        <w:t xml:space="preserve"> </w:t>
      </w:r>
      <w:r w:rsidRPr="00AE43D6">
        <w:rPr>
          <w:rFonts w:ascii="Arial" w:eastAsia="宋体" w:hAnsi="Arial" w:cs="Arial"/>
        </w:rPr>
        <w:t xml:space="preserve">The libraries were sequenced using an Illumina NovaSeq6000 sequencer with a sequencing depth of at least 100,000 reads per spot with a paired-end 150 bp (PE150) reading strategy (performed by </w:t>
      </w:r>
      <w:proofErr w:type="spellStart"/>
      <w:r w:rsidRPr="00AE43D6">
        <w:rPr>
          <w:rFonts w:ascii="Arial" w:eastAsia="宋体" w:hAnsi="Arial" w:cs="Arial"/>
        </w:rPr>
        <w:t>CapitalBio</w:t>
      </w:r>
      <w:proofErr w:type="spellEnd"/>
      <w:r w:rsidRPr="00AE43D6">
        <w:rPr>
          <w:rFonts w:ascii="Arial" w:eastAsia="宋体" w:hAnsi="Arial" w:cs="Arial"/>
        </w:rPr>
        <w:t xml:space="preserve"> Technology, Beijing).</w:t>
      </w:r>
    </w:p>
    <w:p w14:paraId="2FE8F5AF" w14:textId="77777777" w:rsidR="009A1FB0" w:rsidRPr="00AE43D6" w:rsidRDefault="009A1FB0" w:rsidP="00AE43D6">
      <w:pPr>
        <w:autoSpaceDE w:val="0"/>
        <w:autoSpaceDN w:val="0"/>
        <w:adjustRightInd w:val="0"/>
        <w:spacing w:line="480" w:lineRule="auto"/>
        <w:rPr>
          <w:rFonts w:ascii="Arial" w:hAnsi="Arial" w:cs="Arial"/>
          <w:b/>
          <w:color w:val="000000"/>
          <w:szCs w:val="24"/>
        </w:rPr>
      </w:pPr>
      <w:r w:rsidRPr="00AE43D6">
        <w:rPr>
          <w:rFonts w:ascii="Arial" w:hAnsi="Arial" w:cs="Arial"/>
          <w:b/>
          <w:color w:val="000000"/>
          <w:szCs w:val="24"/>
        </w:rPr>
        <w:t xml:space="preserve">3. </w:t>
      </w:r>
      <w:r w:rsidRPr="00AE43D6">
        <w:rPr>
          <w:rFonts w:ascii="Arial" w:hAnsi="Arial" w:cs="Arial"/>
          <w:b/>
          <w:szCs w:val="24"/>
        </w:rPr>
        <w:t>Analysis of spatial transcriptomics data</w:t>
      </w:r>
    </w:p>
    <w:p w14:paraId="17261624" w14:textId="77777777" w:rsidR="009A1FB0" w:rsidRPr="00AE43D6" w:rsidRDefault="009A1FB0" w:rsidP="00AE43D6">
      <w:pPr>
        <w:autoSpaceDE w:val="0"/>
        <w:autoSpaceDN w:val="0"/>
        <w:adjustRightInd w:val="0"/>
        <w:spacing w:line="480" w:lineRule="auto"/>
        <w:rPr>
          <w:rFonts w:ascii="Arial" w:hAnsi="Arial" w:cs="Arial"/>
          <w:color w:val="000000"/>
          <w:szCs w:val="24"/>
        </w:rPr>
      </w:pPr>
      <w:r w:rsidRPr="00AE43D6">
        <w:rPr>
          <w:rFonts w:ascii="Arial" w:hAnsi="Arial" w:cs="Arial"/>
          <w:szCs w:val="24"/>
        </w:rPr>
        <w:t xml:space="preserve">The 10X Space Ranger software, which process, align and summarize unique molecular identifier (UMI) counts against mmu10 mouse reference genome for each spot, was used to generate feature-barcode matrix. Only spots overlaying tissue sections were retained for further analysis. Unsupervised clustering was based on </w:t>
      </w:r>
      <w:proofErr w:type="gramStart"/>
      <w:r w:rsidRPr="00AE43D6">
        <w:rPr>
          <w:rFonts w:ascii="Arial" w:hAnsi="Arial" w:cs="Arial"/>
          <w:szCs w:val="24"/>
        </w:rPr>
        <w:t>graph based</w:t>
      </w:r>
      <w:proofErr w:type="gramEnd"/>
      <w:r w:rsidRPr="00AE43D6">
        <w:rPr>
          <w:rFonts w:ascii="Arial" w:hAnsi="Arial" w:cs="Arial"/>
          <w:szCs w:val="24"/>
        </w:rPr>
        <w:t xml:space="preserve"> algorithm with 10 principal components. The </w:t>
      </w:r>
      <w:r w:rsidRPr="00AE43D6">
        <w:rPr>
          <w:rFonts w:ascii="Arial" w:hAnsi="Arial" w:cs="Arial"/>
          <w:i/>
          <w:szCs w:val="24"/>
        </w:rPr>
        <w:t>t</w:t>
      </w:r>
      <w:r w:rsidRPr="00AE43D6">
        <w:rPr>
          <w:rFonts w:ascii="Arial" w:hAnsi="Arial" w:cs="Arial"/>
          <w:szCs w:val="24"/>
        </w:rPr>
        <w:t>-distributed stochastic neighborhood embedding (</w:t>
      </w:r>
      <w:r w:rsidRPr="00AE43D6">
        <w:rPr>
          <w:rFonts w:ascii="Arial" w:hAnsi="Arial" w:cs="Arial"/>
          <w:i/>
          <w:szCs w:val="24"/>
        </w:rPr>
        <w:t>t</w:t>
      </w:r>
      <w:r w:rsidRPr="00AE43D6">
        <w:rPr>
          <w:rFonts w:ascii="Arial" w:hAnsi="Arial" w:cs="Arial"/>
          <w:szCs w:val="24"/>
        </w:rPr>
        <w:t xml:space="preserve">-SNE) was performed to visualize the spots in two-dimensional space. Spatial feature expression plots were generated by Loupe Browser 4.1.0. </w:t>
      </w:r>
    </w:p>
    <w:p w14:paraId="2B2C1535" w14:textId="77777777" w:rsidR="009A1FB0" w:rsidRPr="00AE43D6" w:rsidRDefault="009A1FB0" w:rsidP="00AE43D6">
      <w:pPr>
        <w:spacing w:line="480" w:lineRule="auto"/>
        <w:rPr>
          <w:rFonts w:ascii="Arial" w:hAnsi="Arial" w:cs="Arial"/>
          <w:b/>
          <w:color w:val="000000" w:themeColor="text1"/>
          <w:szCs w:val="24"/>
        </w:rPr>
      </w:pPr>
      <w:r w:rsidRPr="00AE43D6">
        <w:rPr>
          <w:rFonts w:ascii="Arial" w:hAnsi="Arial" w:cs="Arial"/>
          <w:b/>
          <w:i/>
          <w:color w:val="000000" w:themeColor="text1"/>
          <w:szCs w:val="24"/>
        </w:rPr>
        <w:t>Single-cell sequencing (GSE183682)</w:t>
      </w:r>
    </w:p>
    <w:p w14:paraId="55365996" w14:textId="77777777" w:rsidR="009A1FB0" w:rsidRPr="00AE43D6" w:rsidRDefault="009A1FB0" w:rsidP="00AE43D6">
      <w:pPr>
        <w:spacing w:line="480" w:lineRule="auto"/>
        <w:rPr>
          <w:rFonts w:ascii="Arial" w:hAnsi="Arial" w:cs="Arial"/>
          <w:b/>
          <w:color w:val="000000"/>
          <w:szCs w:val="24"/>
        </w:rPr>
      </w:pPr>
      <w:r w:rsidRPr="00AE43D6">
        <w:rPr>
          <w:rFonts w:ascii="Arial" w:hAnsi="Arial" w:cs="Arial"/>
          <w:b/>
          <w:color w:val="000000"/>
          <w:szCs w:val="24"/>
        </w:rPr>
        <w:lastRenderedPageBreak/>
        <w:t>1. Sample collection</w:t>
      </w:r>
    </w:p>
    <w:p w14:paraId="2117A656" w14:textId="77777777" w:rsidR="009A1FB0" w:rsidRPr="00AE43D6" w:rsidRDefault="009A1FB0" w:rsidP="00AE43D6">
      <w:pPr>
        <w:spacing w:line="480" w:lineRule="auto"/>
        <w:rPr>
          <w:rFonts w:ascii="Arial" w:hAnsi="Arial" w:cs="Arial"/>
          <w:color w:val="000000"/>
          <w:szCs w:val="24"/>
        </w:rPr>
      </w:pPr>
      <w:r w:rsidRPr="00AE43D6">
        <w:rPr>
          <w:rFonts w:ascii="Arial" w:hAnsi="Arial" w:cs="Arial"/>
          <w:szCs w:val="24"/>
        </w:rPr>
        <w:t>F</w:t>
      </w:r>
      <w:r w:rsidRPr="00AE43D6">
        <w:rPr>
          <w:rFonts w:ascii="Arial" w:hAnsi="Arial" w:cs="Arial"/>
          <w:color w:val="000000"/>
          <w:szCs w:val="24"/>
        </w:rPr>
        <w:t xml:space="preserve">or the model group (mice instilled with SiO2 suspension), </w:t>
      </w:r>
      <w:r w:rsidRPr="00AE43D6">
        <w:rPr>
          <w:rFonts w:ascii="Arial" w:eastAsia="等线" w:hAnsi="Arial" w:cs="Arial"/>
          <w:color w:val="000000"/>
          <w:szCs w:val="24"/>
        </w:rPr>
        <w:t>mice</w:t>
      </w:r>
      <w:r w:rsidRPr="00AE43D6">
        <w:rPr>
          <w:rFonts w:ascii="Arial" w:hAnsi="Arial" w:cs="Arial"/>
          <w:color w:val="000000"/>
          <w:szCs w:val="24"/>
        </w:rPr>
        <w:t xml:space="preserve"> with obviously high</w:t>
      </w:r>
      <w:r w:rsidRPr="00AE43D6">
        <w:rPr>
          <w:rFonts w:ascii="Arial" w:eastAsia="等线" w:hAnsi="Arial" w:cs="Arial"/>
          <w:color w:val="000000"/>
          <w:szCs w:val="24"/>
        </w:rPr>
        <w:t>-</w:t>
      </w:r>
      <w:r w:rsidRPr="00AE43D6">
        <w:rPr>
          <w:rFonts w:ascii="Arial" w:hAnsi="Arial" w:cs="Arial"/>
          <w:color w:val="000000"/>
          <w:szCs w:val="24"/>
        </w:rPr>
        <w:t xml:space="preserve">density </w:t>
      </w:r>
      <w:r w:rsidRPr="00AE43D6">
        <w:rPr>
          <w:rFonts w:ascii="Arial" w:eastAsia="等线" w:hAnsi="Arial" w:cs="Arial"/>
          <w:color w:val="000000"/>
          <w:szCs w:val="24"/>
        </w:rPr>
        <w:t>shadows</w:t>
      </w:r>
      <w:r w:rsidRPr="00AE43D6">
        <w:rPr>
          <w:rFonts w:ascii="Arial" w:hAnsi="Arial" w:cs="Arial"/>
          <w:color w:val="000000"/>
          <w:szCs w:val="24"/>
        </w:rPr>
        <w:t xml:space="preserve"> on CT were included. Lung samples for single-cell sequencing were collected from four mice, namely</w:t>
      </w:r>
      <w:r w:rsidRPr="00AE43D6">
        <w:rPr>
          <w:rFonts w:ascii="Arial" w:eastAsia="等线" w:hAnsi="Arial" w:cs="Arial"/>
          <w:color w:val="000000"/>
          <w:szCs w:val="24"/>
        </w:rPr>
        <w:t>,</w:t>
      </w:r>
      <w:r w:rsidRPr="00AE43D6">
        <w:rPr>
          <w:rFonts w:ascii="Arial" w:hAnsi="Arial" w:cs="Arial"/>
          <w:color w:val="000000"/>
          <w:szCs w:val="24"/>
        </w:rPr>
        <w:t xml:space="preserve"> the NS-7d, SiO</w:t>
      </w:r>
      <w:r w:rsidRPr="00AE43D6">
        <w:rPr>
          <w:rFonts w:ascii="Arial" w:hAnsi="Arial" w:cs="Arial"/>
          <w:color w:val="000000"/>
          <w:szCs w:val="24"/>
          <w:vertAlign w:val="subscript"/>
        </w:rPr>
        <w:t>2</w:t>
      </w:r>
      <w:r w:rsidRPr="00AE43D6">
        <w:rPr>
          <w:rFonts w:ascii="Arial" w:hAnsi="Arial" w:cs="Arial"/>
          <w:color w:val="000000"/>
          <w:szCs w:val="24"/>
        </w:rPr>
        <w:t>-7d, NS-56d, and SiO</w:t>
      </w:r>
      <w:r w:rsidRPr="00AE43D6">
        <w:rPr>
          <w:rFonts w:ascii="Arial" w:hAnsi="Arial" w:cs="Arial"/>
          <w:color w:val="000000"/>
          <w:szCs w:val="24"/>
          <w:vertAlign w:val="subscript"/>
        </w:rPr>
        <w:t>2</w:t>
      </w:r>
      <w:r w:rsidRPr="00AE43D6">
        <w:rPr>
          <w:rFonts w:ascii="Arial" w:hAnsi="Arial" w:cs="Arial"/>
          <w:color w:val="000000"/>
          <w:szCs w:val="24"/>
        </w:rPr>
        <w:t xml:space="preserve">-56d samples. Whole </w:t>
      </w:r>
      <w:r w:rsidRPr="00AE43D6">
        <w:rPr>
          <w:rFonts w:ascii="Arial" w:eastAsia="等线" w:hAnsi="Arial" w:cs="Arial"/>
          <w:color w:val="000000"/>
          <w:szCs w:val="24"/>
        </w:rPr>
        <w:t>lungs</w:t>
      </w:r>
      <w:r w:rsidRPr="00AE43D6">
        <w:rPr>
          <w:rFonts w:ascii="Arial" w:hAnsi="Arial" w:cs="Arial"/>
          <w:color w:val="000000"/>
          <w:szCs w:val="24"/>
        </w:rPr>
        <w:t xml:space="preserve"> of each mouse </w:t>
      </w:r>
      <w:r w:rsidRPr="00AE43D6">
        <w:rPr>
          <w:rFonts w:ascii="Arial" w:eastAsia="等线" w:hAnsi="Arial" w:cs="Arial"/>
          <w:color w:val="000000"/>
          <w:szCs w:val="24"/>
        </w:rPr>
        <w:t>were</w:t>
      </w:r>
      <w:r w:rsidRPr="00AE43D6">
        <w:rPr>
          <w:rFonts w:ascii="Arial" w:hAnsi="Arial" w:cs="Arial"/>
          <w:color w:val="000000"/>
          <w:szCs w:val="24"/>
        </w:rPr>
        <w:t xml:space="preserve"> removed within 2 min of euthanasia and quickly washed in precooled PBS 3 times.</w:t>
      </w:r>
    </w:p>
    <w:p w14:paraId="2354F8BA" w14:textId="77777777" w:rsidR="009A1FB0" w:rsidRPr="00AE43D6" w:rsidRDefault="009A1FB0" w:rsidP="00AE43D6">
      <w:pPr>
        <w:autoSpaceDE w:val="0"/>
        <w:autoSpaceDN w:val="0"/>
        <w:adjustRightInd w:val="0"/>
        <w:spacing w:line="480" w:lineRule="auto"/>
        <w:rPr>
          <w:rFonts w:ascii="Arial" w:hAnsi="Arial" w:cs="Arial"/>
          <w:b/>
          <w:color w:val="000000"/>
          <w:szCs w:val="24"/>
        </w:rPr>
      </w:pPr>
      <w:r w:rsidRPr="00AE43D6">
        <w:rPr>
          <w:rFonts w:ascii="Arial" w:hAnsi="Arial" w:cs="Arial"/>
          <w:b/>
          <w:color w:val="000000"/>
          <w:szCs w:val="24"/>
        </w:rPr>
        <w:t xml:space="preserve">2. </w:t>
      </w:r>
      <w:proofErr w:type="spellStart"/>
      <w:r w:rsidRPr="00AE43D6">
        <w:rPr>
          <w:rFonts w:ascii="Arial" w:hAnsi="Arial" w:cs="Arial"/>
          <w:b/>
          <w:color w:val="000000"/>
          <w:szCs w:val="24"/>
        </w:rPr>
        <w:t>scRNA</w:t>
      </w:r>
      <w:proofErr w:type="spellEnd"/>
      <w:r w:rsidRPr="00AE43D6">
        <w:rPr>
          <w:rFonts w:ascii="Arial" w:hAnsi="Arial" w:cs="Arial"/>
          <w:b/>
          <w:color w:val="000000"/>
          <w:szCs w:val="24"/>
        </w:rPr>
        <w:t>-seq</w:t>
      </w:r>
    </w:p>
    <w:p w14:paraId="0DD6B5FD" w14:textId="77777777" w:rsidR="009A1FB0" w:rsidRPr="00AE43D6" w:rsidRDefault="009A1FB0" w:rsidP="00AE43D6">
      <w:pPr>
        <w:autoSpaceDE w:val="0"/>
        <w:autoSpaceDN w:val="0"/>
        <w:adjustRightInd w:val="0"/>
        <w:spacing w:line="480" w:lineRule="auto"/>
        <w:rPr>
          <w:rFonts w:ascii="Arial" w:hAnsi="Arial" w:cs="Arial"/>
          <w:b/>
          <w:color w:val="000000"/>
          <w:szCs w:val="24"/>
        </w:rPr>
      </w:pPr>
      <w:r w:rsidRPr="00AE43D6">
        <w:rPr>
          <w:rFonts w:ascii="Arial" w:hAnsi="Arial" w:cs="Arial"/>
          <w:b/>
          <w:color w:val="000000"/>
          <w:szCs w:val="24"/>
        </w:rPr>
        <w:t>2.1 Cell capture and cDNA synthesis</w:t>
      </w:r>
    </w:p>
    <w:p w14:paraId="01106A27" w14:textId="77777777" w:rsidR="009A1FB0" w:rsidRPr="00AE43D6" w:rsidRDefault="009A1FB0" w:rsidP="00AE43D6">
      <w:pPr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i/>
          <w:iCs/>
          <w:color w:val="000000"/>
          <w:szCs w:val="24"/>
        </w:rPr>
      </w:pPr>
      <w:r w:rsidRPr="00AE43D6">
        <w:rPr>
          <w:rFonts w:ascii="Arial" w:hAnsi="Arial" w:cs="Arial"/>
          <w:szCs w:val="24"/>
        </w:rPr>
        <w:t>Whole lung tissue was cut into small pieces (</w:t>
      </w:r>
      <w:r w:rsidRPr="00AE43D6">
        <w:rPr>
          <w:rFonts w:ascii="Arial" w:eastAsia="等线" w:hAnsi="Arial" w:cs="Arial"/>
          <w:szCs w:val="24"/>
        </w:rPr>
        <w:t>approximately</w:t>
      </w:r>
      <w:r w:rsidRPr="00AE43D6">
        <w:rPr>
          <w:rFonts w:ascii="Arial" w:hAnsi="Arial" w:cs="Arial"/>
          <w:szCs w:val="24"/>
        </w:rPr>
        <w:t xml:space="preserve"> 1 mm)</w:t>
      </w:r>
      <w:r w:rsidRPr="00AE43D6">
        <w:rPr>
          <w:rFonts w:ascii="Arial" w:eastAsia="等线" w:hAnsi="Arial" w:cs="Arial"/>
          <w:szCs w:val="24"/>
        </w:rPr>
        <w:t xml:space="preserve"> and</w:t>
      </w:r>
      <w:r w:rsidRPr="00AE43D6">
        <w:rPr>
          <w:rFonts w:ascii="Arial" w:hAnsi="Arial" w:cs="Arial"/>
          <w:szCs w:val="24"/>
        </w:rPr>
        <w:t xml:space="preserve"> dissociated into single cells using </w:t>
      </w:r>
      <w:r w:rsidRPr="00AE43D6">
        <w:rPr>
          <w:rFonts w:ascii="Arial" w:hAnsi="Arial" w:cs="Arial"/>
          <w:color w:val="363636"/>
          <w:szCs w:val="24"/>
          <w:shd w:val="clear" w:color="auto" w:fill="FFFFFF"/>
        </w:rPr>
        <w:t>Lung Dissociation Kit (</w:t>
      </w:r>
      <w:proofErr w:type="spellStart"/>
      <w:r w:rsidRPr="00AE43D6">
        <w:rPr>
          <w:rFonts w:ascii="Arial" w:hAnsi="Arial" w:cs="Arial"/>
          <w:color w:val="363636"/>
          <w:szCs w:val="24"/>
          <w:shd w:val="clear" w:color="auto" w:fill="FFFFFF"/>
        </w:rPr>
        <w:t>Miltenyi</w:t>
      </w:r>
      <w:proofErr w:type="spellEnd"/>
      <w:r w:rsidRPr="00AE43D6">
        <w:rPr>
          <w:rFonts w:ascii="Arial" w:hAnsi="Arial" w:cs="Arial"/>
          <w:color w:val="363636"/>
          <w:szCs w:val="24"/>
          <w:shd w:val="clear" w:color="auto" w:fill="FFFFFF"/>
        </w:rPr>
        <w:t xml:space="preserve"> Biotech, 130-095-927, Germany)</w:t>
      </w:r>
      <w:r w:rsidRPr="00AE43D6">
        <w:rPr>
          <w:rFonts w:ascii="Arial" w:hAnsi="Arial" w:cs="Arial"/>
          <w:szCs w:val="24"/>
        </w:rPr>
        <w:t>. With the Single</w:t>
      </w:r>
      <w:r w:rsidRPr="00AE43D6">
        <w:rPr>
          <w:rFonts w:ascii="Arial" w:eastAsia="等线" w:hAnsi="Arial" w:cs="Arial"/>
          <w:szCs w:val="24"/>
        </w:rPr>
        <w:t>-</w:t>
      </w:r>
      <w:r w:rsidRPr="00AE43D6">
        <w:rPr>
          <w:rFonts w:ascii="Arial" w:hAnsi="Arial" w:cs="Arial"/>
          <w:szCs w:val="24"/>
        </w:rPr>
        <w:t xml:space="preserve">Cell </w:t>
      </w:r>
      <w:r w:rsidRPr="00AE43D6">
        <w:rPr>
          <w:rFonts w:ascii="Arial" w:eastAsia="等线" w:hAnsi="Arial" w:cs="Arial"/>
          <w:szCs w:val="24"/>
        </w:rPr>
        <w:t>5' Library</w:t>
      </w:r>
      <w:r w:rsidRPr="00AE43D6">
        <w:rPr>
          <w:rFonts w:ascii="Arial" w:hAnsi="Arial" w:cs="Arial"/>
          <w:szCs w:val="24"/>
        </w:rPr>
        <w:t xml:space="preserve"> and Gel Bead Kit (10x Genomics, 1000169) and Chromium Single</w:t>
      </w:r>
      <w:r w:rsidRPr="00AE43D6">
        <w:rPr>
          <w:rFonts w:ascii="Arial" w:eastAsia="等线" w:hAnsi="Arial" w:cs="Arial"/>
          <w:szCs w:val="24"/>
        </w:rPr>
        <w:t>-</w:t>
      </w:r>
      <w:r w:rsidRPr="00AE43D6">
        <w:rPr>
          <w:rFonts w:ascii="Arial" w:hAnsi="Arial" w:cs="Arial"/>
          <w:szCs w:val="24"/>
        </w:rPr>
        <w:t xml:space="preserve">Cell G Chip Kit (10x Genomics, 1000120), a cell suspension (300–600 living cells per </w:t>
      </w:r>
      <w:proofErr w:type="spellStart"/>
      <w:r w:rsidRPr="00AE43D6">
        <w:rPr>
          <w:rFonts w:ascii="Arial" w:hAnsi="Arial" w:cs="Arial"/>
          <w:szCs w:val="24"/>
        </w:rPr>
        <w:t>microlitre</w:t>
      </w:r>
      <w:proofErr w:type="spellEnd"/>
      <w:r w:rsidRPr="00AE43D6">
        <w:rPr>
          <w:rFonts w:ascii="Arial" w:hAnsi="Arial" w:cs="Arial"/>
          <w:szCs w:val="24"/>
        </w:rPr>
        <w:t xml:space="preserve"> determined by </w:t>
      </w:r>
      <w:proofErr w:type="spellStart"/>
      <w:r w:rsidRPr="00AE43D6">
        <w:rPr>
          <w:rFonts w:ascii="Arial" w:eastAsia="等线" w:hAnsi="Arial" w:cs="Arial"/>
          <w:szCs w:val="24"/>
        </w:rPr>
        <w:t>CountStar</w:t>
      </w:r>
      <w:proofErr w:type="spellEnd"/>
      <w:r w:rsidRPr="00AE43D6">
        <w:rPr>
          <w:rFonts w:ascii="Arial" w:hAnsi="Arial" w:cs="Arial"/>
          <w:szCs w:val="24"/>
        </w:rPr>
        <w:t xml:space="preserve">) was loaded onto </w:t>
      </w:r>
      <w:r w:rsidRPr="00AE43D6">
        <w:rPr>
          <w:rFonts w:ascii="Arial" w:eastAsia="等线" w:hAnsi="Arial" w:cs="Arial"/>
          <w:szCs w:val="24"/>
        </w:rPr>
        <w:t>a</w:t>
      </w:r>
      <w:r w:rsidRPr="00AE43D6">
        <w:rPr>
          <w:rFonts w:ascii="Arial" w:hAnsi="Arial" w:cs="Arial"/>
          <w:szCs w:val="24"/>
        </w:rPr>
        <w:t xml:space="preserve"> Chromium single</w:t>
      </w:r>
      <w:r w:rsidRPr="00AE43D6">
        <w:rPr>
          <w:rFonts w:ascii="Arial" w:eastAsia="等线" w:hAnsi="Arial" w:cs="Arial"/>
          <w:szCs w:val="24"/>
        </w:rPr>
        <w:t>-</w:t>
      </w:r>
      <w:r w:rsidRPr="00AE43D6">
        <w:rPr>
          <w:rFonts w:ascii="Arial" w:hAnsi="Arial" w:cs="Arial"/>
          <w:szCs w:val="24"/>
        </w:rPr>
        <w:t xml:space="preserve">cell controller (10x Genomics) to generate single-cell gel beads in emulsion (GEMs) according to the manufacturer’s protocol. In short, single cells were suspended in PBS containing 0.04% BSA. </w:t>
      </w:r>
      <w:r w:rsidRPr="00AE43D6">
        <w:rPr>
          <w:rFonts w:ascii="Arial" w:eastAsia="等线" w:hAnsi="Arial" w:cs="Arial"/>
          <w:szCs w:val="24"/>
        </w:rPr>
        <w:t>Approximately</w:t>
      </w:r>
      <w:r w:rsidRPr="00AE43D6">
        <w:rPr>
          <w:rFonts w:ascii="Arial" w:hAnsi="Arial" w:cs="Arial"/>
          <w:szCs w:val="24"/>
        </w:rPr>
        <w:t xml:space="preserve"> 20,000 cells were added to each channel, and the target cell recovery was estimated to be </w:t>
      </w:r>
      <w:r w:rsidRPr="00AE43D6">
        <w:rPr>
          <w:rFonts w:ascii="Arial" w:eastAsia="等线" w:hAnsi="Arial" w:cs="Arial"/>
          <w:szCs w:val="24"/>
        </w:rPr>
        <w:t>approximately</w:t>
      </w:r>
      <w:r w:rsidRPr="00AE43D6">
        <w:rPr>
          <w:rFonts w:ascii="Arial" w:hAnsi="Arial" w:cs="Arial"/>
          <w:szCs w:val="24"/>
        </w:rPr>
        <w:t xml:space="preserve"> 10,000 cells. Captured cells were lysed</w:t>
      </w:r>
      <w:r w:rsidRPr="00AE43D6">
        <w:rPr>
          <w:rFonts w:ascii="Arial" w:eastAsia="等线" w:hAnsi="Arial" w:cs="Arial"/>
          <w:szCs w:val="24"/>
        </w:rPr>
        <w:t>,</w:t>
      </w:r>
      <w:r w:rsidRPr="00AE43D6">
        <w:rPr>
          <w:rFonts w:ascii="Arial" w:hAnsi="Arial" w:cs="Arial"/>
          <w:szCs w:val="24"/>
        </w:rPr>
        <w:t xml:space="preserve"> and the released RNA </w:t>
      </w:r>
      <w:r w:rsidRPr="00AE43D6">
        <w:rPr>
          <w:rFonts w:ascii="Arial" w:eastAsia="等线" w:hAnsi="Arial" w:cs="Arial"/>
          <w:szCs w:val="24"/>
        </w:rPr>
        <w:t>was</w:t>
      </w:r>
      <w:r w:rsidRPr="00AE43D6">
        <w:rPr>
          <w:rFonts w:ascii="Arial" w:hAnsi="Arial" w:cs="Arial"/>
          <w:szCs w:val="24"/>
        </w:rPr>
        <w:t xml:space="preserve"> barcoded through reverse transcription in individual GEMs. Reverse transcription was performed on a S1000TM Touch Thermal Cycler (Bio-Rad) at 53°C for 45 min, followed by 85°C for 5 min and a hold at 4°C. cDNA was generated and then amplified, and quality </w:t>
      </w:r>
      <w:r w:rsidRPr="00AE43D6">
        <w:rPr>
          <w:rFonts w:ascii="Arial" w:eastAsia="等线" w:hAnsi="Arial" w:cs="Arial"/>
          <w:szCs w:val="24"/>
        </w:rPr>
        <w:lastRenderedPageBreak/>
        <w:t xml:space="preserve">was </w:t>
      </w:r>
      <w:r w:rsidRPr="00AE43D6">
        <w:rPr>
          <w:rFonts w:ascii="Arial" w:hAnsi="Arial" w:cs="Arial"/>
          <w:szCs w:val="24"/>
        </w:rPr>
        <w:t xml:space="preserve">assessed using an Agilent 4200 system (performed by </w:t>
      </w:r>
      <w:proofErr w:type="spellStart"/>
      <w:r w:rsidRPr="00AE43D6">
        <w:rPr>
          <w:rFonts w:ascii="Arial" w:hAnsi="Arial" w:cs="Arial"/>
          <w:szCs w:val="24"/>
        </w:rPr>
        <w:t>CapitalBio</w:t>
      </w:r>
      <w:proofErr w:type="spellEnd"/>
      <w:r w:rsidRPr="00AE43D6">
        <w:rPr>
          <w:rFonts w:ascii="Arial" w:hAnsi="Arial" w:cs="Arial"/>
          <w:szCs w:val="24"/>
        </w:rPr>
        <w:t xml:space="preserve"> Technology, Beijing).</w:t>
      </w:r>
    </w:p>
    <w:p w14:paraId="6DC51954" w14:textId="77777777" w:rsidR="009A1FB0" w:rsidRPr="00AE43D6" w:rsidRDefault="009A1FB0" w:rsidP="00AE43D6">
      <w:pPr>
        <w:autoSpaceDE w:val="0"/>
        <w:autoSpaceDN w:val="0"/>
        <w:adjustRightInd w:val="0"/>
        <w:spacing w:line="480" w:lineRule="auto"/>
        <w:rPr>
          <w:rFonts w:ascii="Arial" w:hAnsi="Arial" w:cs="Arial"/>
          <w:b/>
          <w:color w:val="000000"/>
          <w:szCs w:val="24"/>
        </w:rPr>
      </w:pPr>
      <w:r w:rsidRPr="00AE43D6">
        <w:rPr>
          <w:rFonts w:ascii="Arial" w:hAnsi="Arial" w:cs="Arial"/>
          <w:b/>
          <w:color w:val="000000"/>
          <w:szCs w:val="24"/>
        </w:rPr>
        <w:t xml:space="preserve">2.2 </w:t>
      </w:r>
      <w:proofErr w:type="spellStart"/>
      <w:r w:rsidRPr="00AE43D6">
        <w:rPr>
          <w:rFonts w:ascii="Arial" w:hAnsi="Arial" w:cs="Arial"/>
          <w:b/>
          <w:color w:val="000000"/>
          <w:szCs w:val="24"/>
        </w:rPr>
        <w:t>scRNA</w:t>
      </w:r>
      <w:proofErr w:type="spellEnd"/>
      <w:r w:rsidRPr="00AE43D6">
        <w:rPr>
          <w:rFonts w:ascii="Arial" w:hAnsi="Arial" w:cs="Arial"/>
          <w:b/>
          <w:color w:val="000000"/>
          <w:szCs w:val="24"/>
        </w:rPr>
        <w:t>-seq library preparation</w:t>
      </w:r>
    </w:p>
    <w:p w14:paraId="3D69B071" w14:textId="77777777" w:rsidR="009A1FB0" w:rsidRPr="00AE43D6" w:rsidRDefault="009A1FB0" w:rsidP="00AE43D6">
      <w:pPr>
        <w:autoSpaceDE w:val="0"/>
        <w:autoSpaceDN w:val="0"/>
        <w:adjustRightInd w:val="0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szCs w:val="24"/>
        </w:rPr>
        <w:t xml:space="preserve">The </w:t>
      </w:r>
      <w:proofErr w:type="spellStart"/>
      <w:r w:rsidRPr="00AE43D6">
        <w:rPr>
          <w:rFonts w:ascii="Arial" w:eastAsia="等线" w:hAnsi="Arial" w:cs="Arial"/>
          <w:szCs w:val="24"/>
        </w:rPr>
        <w:t>sc</w:t>
      </w:r>
      <w:r w:rsidRPr="00AE43D6">
        <w:rPr>
          <w:rFonts w:ascii="Arial" w:hAnsi="Arial" w:cs="Arial"/>
          <w:szCs w:val="24"/>
        </w:rPr>
        <w:t>RNA</w:t>
      </w:r>
      <w:proofErr w:type="spellEnd"/>
      <w:r w:rsidRPr="00AE43D6">
        <w:rPr>
          <w:rFonts w:ascii="Arial" w:hAnsi="Arial" w:cs="Arial"/>
          <w:szCs w:val="24"/>
        </w:rPr>
        <w:t>-seq libraries were constructed using</w:t>
      </w:r>
      <w:r w:rsidRPr="00AE43D6">
        <w:rPr>
          <w:rFonts w:ascii="Arial" w:eastAsia="等线" w:hAnsi="Arial" w:cs="Arial"/>
          <w:szCs w:val="24"/>
        </w:rPr>
        <w:t xml:space="preserve"> the</w:t>
      </w:r>
      <w:r w:rsidRPr="00AE43D6">
        <w:rPr>
          <w:rFonts w:ascii="Arial" w:hAnsi="Arial" w:cs="Arial"/>
          <w:szCs w:val="24"/>
        </w:rPr>
        <w:t xml:space="preserve"> Single-Cell 5' Library and Gel Bead Kit, Single Cell V(D)J Enrichment Kit, Human T Cell</w:t>
      </w:r>
      <w:r w:rsidRPr="00AE43D6">
        <w:rPr>
          <w:rFonts w:ascii="Arial" w:eastAsia="等线" w:hAnsi="Arial" w:cs="Arial"/>
          <w:szCs w:val="24"/>
        </w:rPr>
        <w:t xml:space="preserve"> </w:t>
      </w:r>
      <w:r w:rsidRPr="00AE43D6">
        <w:rPr>
          <w:rFonts w:ascii="Arial" w:hAnsi="Arial" w:cs="Arial"/>
          <w:szCs w:val="24"/>
        </w:rPr>
        <w:t xml:space="preserve">(1000005) and Single Cell V(D)J Enrichment Kit according to the </w:t>
      </w:r>
      <w:r w:rsidRPr="00AE43D6">
        <w:rPr>
          <w:rFonts w:ascii="Arial" w:eastAsia="等线" w:hAnsi="Arial" w:cs="Arial"/>
          <w:szCs w:val="24"/>
        </w:rPr>
        <w:t>manufacturers’ instructions</w:t>
      </w:r>
      <w:r w:rsidRPr="00AE43D6">
        <w:rPr>
          <w:rFonts w:ascii="Arial" w:hAnsi="Arial" w:cs="Arial"/>
          <w:szCs w:val="24"/>
        </w:rPr>
        <w:t xml:space="preserve">. The libraries were sequenced using an Illumina </w:t>
      </w:r>
      <w:r w:rsidRPr="00AE43D6">
        <w:rPr>
          <w:rFonts w:ascii="Arial" w:eastAsia="等线" w:hAnsi="Arial" w:cs="Arial"/>
          <w:szCs w:val="24"/>
        </w:rPr>
        <w:t>NovaSeq6000</w:t>
      </w:r>
      <w:r w:rsidRPr="00AE43D6">
        <w:rPr>
          <w:rFonts w:ascii="Arial" w:hAnsi="Arial" w:cs="Arial"/>
          <w:szCs w:val="24"/>
        </w:rPr>
        <w:t xml:space="preserve"> sequencer with a sequencing depth of at least 100,000 reads per cell with </w:t>
      </w:r>
      <w:r w:rsidRPr="00AE43D6">
        <w:rPr>
          <w:rFonts w:ascii="Arial" w:eastAsia="等线" w:hAnsi="Arial" w:cs="Arial"/>
          <w:szCs w:val="24"/>
        </w:rPr>
        <w:t>a paired</w:t>
      </w:r>
      <w:r w:rsidRPr="00AE43D6">
        <w:rPr>
          <w:rFonts w:ascii="Arial" w:hAnsi="Arial" w:cs="Arial"/>
          <w:szCs w:val="24"/>
        </w:rPr>
        <w:t xml:space="preserve">-end 150 bp (PE150) reading strategy (performed by </w:t>
      </w:r>
      <w:proofErr w:type="spellStart"/>
      <w:r w:rsidRPr="00AE43D6">
        <w:rPr>
          <w:rFonts w:ascii="Arial" w:hAnsi="Arial" w:cs="Arial"/>
          <w:szCs w:val="24"/>
        </w:rPr>
        <w:t>CapitalBio</w:t>
      </w:r>
      <w:proofErr w:type="spellEnd"/>
      <w:r w:rsidRPr="00AE43D6">
        <w:rPr>
          <w:rFonts w:ascii="Arial" w:hAnsi="Arial" w:cs="Arial"/>
          <w:szCs w:val="24"/>
        </w:rPr>
        <w:t xml:space="preserve"> Technology, Beijing).</w:t>
      </w:r>
    </w:p>
    <w:p w14:paraId="1AA2A6E9" w14:textId="77777777" w:rsidR="009A1FB0" w:rsidRPr="00AE43D6" w:rsidRDefault="009A1FB0" w:rsidP="00AE43D6">
      <w:pPr>
        <w:autoSpaceDE w:val="0"/>
        <w:autoSpaceDN w:val="0"/>
        <w:adjustRightInd w:val="0"/>
        <w:spacing w:line="480" w:lineRule="auto"/>
        <w:rPr>
          <w:rFonts w:ascii="Arial" w:hAnsi="Arial" w:cs="Arial"/>
          <w:b/>
          <w:color w:val="000000"/>
          <w:szCs w:val="24"/>
        </w:rPr>
      </w:pPr>
      <w:r w:rsidRPr="00AE43D6">
        <w:rPr>
          <w:rFonts w:ascii="Arial" w:hAnsi="Arial" w:cs="Arial"/>
          <w:b/>
          <w:color w:val="000000"/>
          <w:szCs w:val="24"/>
        </w:rPr>
        <w:t>3. Data preprocessing</w:t>
      </w:r>
    </w:p>
    <w:p w14:paraId="6CE9F389" w14:textId="77777777" w:rsidR="009A1FB0" w:rsidRPr="00AE43D6" w:rsidRDefault="009A1FB0" w:rsidP="00AE43D6">
      <w:pPr>
        <w:autoSpaceDE w:val="0"/>
        <w:autoSpaceDN w:val="0"/>
        <w:adjustRightInd w:val="0"/>
        <w:spacing w:line="480" w:lineRule="auto"/>
        <w:rPr>
          <w:rFonts w:ascii="Arial" w:hAnsi="Arial" w:cs="Arial"/>
          <w:b/>
          <w:color w:val="000000"/>
          <w:szCs w:val="24"/>
        </w:rPr>
      </w:pPr>
      <w:r w:rsidRPr="00AE43D6">
        <w:rPr>
          <w:rFonts w:ascii="Arial" w:hAnsi="Arial" w:cs="Arial"/>
          <w:b/>
          <w:color w:val="000000"/>
          <w:szCs w:val="24"/>
        </w:rPr>
        <w:t xml:space="preserve">3.1 Analysis of </w:t>
      </w:r>
      <w:proofErr w:type="spellStart"/>
      <w:r w:rsidRPr="00AE43D6">
        <w:rPr>
          <w:rFonts w:ascii="Arial" w:hAnsi="Arial" w:cs="Arial"/>
          <w:b/>
          <w:color w:val="000000"/>
          <w:szCs w:val="24"/>
        </w:rPr>
        <w:t>scRNA</w:t>
      </w:r>
      <w:proofErr w:type="spellEnd"/>
      <w:r w:rsidRPr="00AE43D6">
        <w:rPr>
          <w:rFonts w:ascii="Arial" w:hAnsi="Arial" w:cs="Arial"/>
          <w:b/>
          <w:color w:val="000000"/>
          <w:szCs w:val="24"/>
        </w:rPr>
        <w:t>-seq data</w:t>
      </w:r>
    </w:p>
    <w:p w14:paraId="6630C621" w14:textId="77777777" w:rsidR="009A1FB0" w:rsidRPr="00AE43D6" w:rsidRDefault="009A1FB0" w:rsidP="00AE43D6">
      <w:pPr>
        <w:autoSpaceDE w:val="0"/>
        <w:autoSpaceDN w:val="0"/>
        <w:adjustRightInd w:val="0"/>
        <w:spacing w:line="480" w:lineRule="auto"/>
        <w:rPr>
          <w:rFonts w:ascii="Arial" w:hAnsi="Arial" w:cs="Arial"/>
          <w:color w:val="000000"/>
          <w:szCs w:val="24"/>
        </w:rPr>
      </w:pPr>
      <w:r w:rsidRPr="00AE43D6">
        <w:rPr>
          <w:rFonts w:ascii="Arial" w:hAnsi="Arial" w:cs="Arial"/>
          <w:color w:val="000000"/>
          <w:szCs w:val="24"/>
        </w:rPr>
        <w:t xml:space="preserve">Cell barcode filtering, alignment of reads and UMI counting were performed with Cell Ranger 4.0.0 (https://www.10xgenomics.com/). The </w:t>
      </w:r>
      <w:proofErr w:type="spellStart"/>
      <w:r w:rsidRPr="00AE43D6">
        <w:rPr>
          <w:rFonts w:ascii="Arial" w:hAnsi="Arial" w:cs="Arial"/>
          <w:color w:val="000000"/>
          <w:szCs w:val="24"/>
        </w:rPr>
        <w:t>scRNA</w:t>
      </w:r>
      <w:proofErr w:type="spellEnd"/>
      <w:r w:rsidRPr="00AE43D6">
        <w:rPr>
          <w:rFonts w:ascii="Arial" w:hAnsi="Arial" w:cs="Arial"/>
          <w:color w:val="000000"/>
          <w:szCs w:val="24"/>
        </w:rPr>
        <w:t xml:space="preserve">-seq data for four samples was combined though </w:t>
      </w:r>
      <w:proofErr w:type="spellStart"/>
      <w:r w:rsidRPr="00AE43D6">
        <w:rPr>
          <w:rFonts w:ascii="Arial" w:hAnsi="Arial" w:cs="Arial"/>
          <w:color w:val="000000"/>
          <w:szCs w:val="24"/>
        </w:rPr>
        <w:t>Cellranger</w:t>
      </w:r>
      <w:proofErr w:type="spellEnd"/>
      <w:r w:rsidRPr="00AE43D6">
        <w:rPr>
          <w:rFonts w:ascii="Arial" w:hAnsi="Arial" w:cs="Arial"/>
          <w:color w:val="000000"/>
          <w:szCs w:val="24"/>
        </w:rPr>
        <w:t xml:space="preserve"> </w:t>
      </w:r>
      <w:proofErr w:type="spellStart"/>
      <w:r w:rsidRPr="00AE43D6">
        <w:rPr>
          <w:rFonts w:ascii="Arial" w:hAnsi="Arial" w:cs="Arial"/>
          <w:color w:val="000000"/>
          <w:szCs w:val="24"/>
        </w:rPr>
        <w:t>aggr</w:t>
      </w:r>
      <w:proofErr w:type="spellEnd"/>
      <w:r w:rsidRPr="00AE43D6">
        <w:rPr>
          <w:rFonts w:ascii="Arial" w:hAnsi="Arial" w:cs="Arial"/>
          <w:color w:val="000000"/>
          <w:szCs w:val="24"/>
        </w:rPr>
        <w:t xml:space="preserve">. Principal component analysis (PCA) is performed on the normalized data. Unsupervised clustering was performed by </w:t>
      </w:r>
      <w:proofErr w:type="spellStart"/>
      <w:r w:rsidRPr="00AE43D6">
        <w:rPr>
          <w:rFonts w:ascii="Arial" w:hAnsi="Arial" w:cs="Arial"/>
          <w:color w:val="000000"/>
          <w:szCs w:val="24"/>
        </w:rPr>
        <w:t>Cellranger</w:t>
      </w:r>
      <w:proofErr w:type="spellEnd"/>
      <w:r w:rsidRPr="00AE43D6">
        <w:rPr>
          <w:rFonts w:ascii="Arial" w:hAnsi="Arial" w:cs="Arial"/>
          <w:color w:val="000000"/>
          <w:szCs w:val="24"/>
        </w:rPr>
        <w:t xml:space="preserve"> reanalyze using </w:t>
      </w:r>
      <w:proofErr w:type="gramStart"/>
      <w:r w:rsidRPr="00AE43D6">
        <w:rPr>
          <w:rFonts w:ascii="Arial" w:hAnsi="Arial" w:cs="Arial"/>
          <w:color w:val="000000"/>
          <w:szCs w:val="24"/>
        </w:rPr>
        <w:t>graph based</w:t>
      </w:r>
      <w:proofErr w:type="gramEnd"/>
      <w:r w:rsidRPr="00AE43D6">
        <w:rPr>
          <w:rFonts w:ascii="Arial" w:hAnsi="Arial" w:cs="Arial"/>
          <w:color w:val="000000"/>
          <w:szCs w:val="24"/>
        </w:rPr>
        <w:t xml:space="preserve"> algorithm. The top 10 principal components </w:t>
      </w:r>
      <w:proofErr w:type="gramStart"/>
      <w:r w:rsidRPr="00AE43D6">
        <w:rPr>
          <w:rFonts w:ascii="Arial" w:hAnsi="Arial" w:cs="Arial"/>
          <w:color w:val="000000"/>
          <w:szCs w:val="24"/>
        </w:rPr>
        <w:t>was</w:t>
      </w:r>
      <w:proofErr w:type="gramEnd"/>
      <w:r w:rsidRPr="00AE43D6">
        <w:rPr>
          <w:rFonts w:ascii="Arial" w:hAnsi="Arial" w:cs="Arial"/>
          <w:color w:val="000000"/>
          <w:szCs w:val="24"/>
        </w:rPr>
        <w:t xml:space="preserve"> used for clustering and </w:t>
      </w:r>
      <w:r w:rsidRPr="00AE43D6">
        <w:rPr>
          <w:rFonts w:ascii="Arial" w:hAnsi="Arial" w:cs="Arial"/>
          <w:i/>
          <w:iCs/>
          <w:color w:val="000000"/>
          <w:szCs w:val="24"/>
        </w:rPr>
        <w:t>t</w:t>
      </w:r>
      <w:r w:rsidRPr="00AE43D6">
        <w:rPr>
          <w:rFonts w:ascii="Arial" w:hAnsi="Arial" w:cs="Arial"/>
          <w:color w:val="000000"/>
          <w:szCs w:val="24"/>
        </w:rPr>
        <w:t xml:space="preserve">-SNE projections. The differential expression of genes between clusters were computed by </w:t>
      </w:r>
      <w:proofErr w:type="spellStart"/>
      <w:r w:rsidRPr="00AE43D6">
        <w:rPr>
          <w:rFonts w:ascii="Arial" w:hAnsi="Arial" w:cs="Arial"/>
          <w:color w:val="000000"/>
          <w:szCs w:val="24"/>
        </w:rPr>
        <w:t>sSEq</w:t>
      </w:r>
      <w:proofErr w:type="spellEnd"/>
      <w:r w:rsidRPr="00AE43D6">
        <w:rPr>
          <w:rFonts w:ascii="Arial" w:hAnsi="Arial" w:cs="Arial"/>
          <w:color w:val="000000"/>
          <w:szCs w:val="24"/>
        </w:rPr>
        <w:t xml:space="preserve"> and </w:t>
      </w:r>
      <w:proofErr w:type="spellStart"/>
      <w:proofErr w:type="gramStart"/>
      <w:r w:rsidRPr="00AE43D6">
        <w:rPr>
          <w:rFonts w:ascii="Arial" w:hAnsi="Arial" w:cs="Arial"/>
          <w:color w:val="000000"/>
          <w:szCs w:val="24"/>
        </w:rPr>
        <w:t>edgeR</w:t>
      </w:r>
      <w:proofErr w:type="spellEnd"/>
      <w:r w:rsidRPr="00AE43D6">
        <w:rPr>
          <w:rFonts w:ascii="Arial" w:hAnsi="Arial" w:cs="Arial"/>
          <w:color w:val="000000"/>
          <w:szCs w:val="24"/>
        </w:rPr>
        <w:t xml:space="preserve"> based</w:t>
      </w:r>
      <w:proofErr w:type="gramEnd"/>
      <w:r w:rsidRPr="00AE43D6">
        <w:rPr>
          <w:rFonts w:ascii="Arial" w:hAnsi="Arial" w:cs="Arial"/>
          <w:color w:val="000000"/>
          <w:szCs w:val="24"/>
        </w:rPr>
        <w:t xml:space="preserve"> method. The GO and KEGG functional enrichment analyses of marker genes (</w:t>
      </w:r>
      <w:r w:rsidRPr="00AE43D6">
        <w:rPr>
          <w:rFonts w:ascii="Arial" w:hAnsi="Arial" w:cs="Arial"/>
          <w:szCs w:val="24"/>
        </w:rPr>
        <w:t>FC≥2, P≤0.05</w:t>
      </w:r>
      <w:r w:rsidRPr="00AE43D6">
        <w:rPr>
          <w:rFonts w:ascii="Arial" w:hAnsi="Arial" w:cs="Arial"/>
          <w:color w:val="000000"/>
          <w:szCs w:val="24"/>
        </w:rPr>
        <w:t xml:space="preserve">) in cluster 1 and 6 were performed by R package </w:t>
      </w:r>
      <w:proofErr w:type="spellStart"/>
      <w:r w:rsidRPr="00AE43D6">
        <w:rPr>
          <w:rFonts w:ascii="Arial" w:hAnsi="Arial" w:cs="Arial"/>
          <w:color w:val="000000"/>
          <w:szCs w:val="24"/>
        </w:rPr>
        <w:t>Metascape</w:t>
      </w:r>
      <w:proofErr w:type="spellEnd"/>
      <w:r w:rsidRPr="00AE43D6">
        <w:rPr>
          <w:rFonts w:ascii="Arial" w:hAnsi="Arial" w:cs="Arial"/>
          <w:color w:val="000000"/>
          <w:szCs w:val="24"/>
        </w:rPr>
        <w:t>.</w:t>
      </w:r>
    </w:p>
    <w:p w14:paraId="782DC776" w14:textId="77777777" w:rsidR="009A1FB0" w:rsidRPr="00AE43D6" w:rsidRDefault="009A1FB0" w:rsidP="00AE43D6">
      <w:pPr>
        <w:autoSpaceDE w:val="0"/>
        <w:autoSpaceDN w:val="0"/>
        <w:adjustRightInd w:val="0"/>
        <w:spacing w:line="480" w:lineRule="auto"/>
        <w:rPr>
          <w:rFonts w:ascii="Arial" w:hAnsi="Arial" w:cs="Arial"/>
          <w:b/>
          <w:color w:val="000000"/>
          <w:szCs w:val="24"/>
        </w:rPr>
      </w:pPr>
      <w:r w:rsidRPr="00AE43D6">
        <w:rPr>
          <w:rFonts w:ascii="Arial" w:hAnsi="Arial" w:cs="Arial"/>
          <w:b/>
          <w:color w:val="000000"/>
          <w:szCs w:val="24"/>
        </w:rPr>
        <w:t>3.2 Cell type annotation</w:t>
      </w:r>
    </w:p>
    <w:p w14:paraId="0F49F427" w14:textId="2FF64C91" w:rsidR="009A1FB0" w:rsidRPr="00AE43D6" w:rsidRDefault="009A1FB0" w:rsidP="00AE43D6">
      <w:pPr>
        <w:autoSpaceDE w:val="0"/>
        <w:autoSpaceDN w:val="0"/>
        <w:adjustRightInd w:val="0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color w:val="000000"/>
          <w:szCs w:val="24"/>
        </w:rPr>
        <w:t xml:space="preserve">Cell types were determined by clustering and marker gene expression. </w:t>
      </w:r>
    </w:p>
    <w:p w14:paraId="773EDCFF" w14:textId="171C4B15" w:rsidR="001C0975" w:rsidRPr="00AE43D6" w:rsidRDefault="00A614E0" w:rsidP="00AE43D6">
      <w:pPr>
        <w:pStyle w:val="SMHeading"/>
        <w:spacing w:line="480" w:lineRule="auto"/>
        <w:rPr>
          <w:rFonts w:ascii="Arial" w:hAnsi="Arial" w:cs="Arial"/>
        </w:rPr>
      </w:pPr>
      <w:r w:rsidRPr="00AE43D6">
        <w:rPr>
          <w:rFonts w:ascii="Arial" w:hAnsi="Arial" w:cs="Arial"/>
        </w:rPr>
        <w:lastRenderedPageBreak/>
        <w:t>Supplementary Figures</w:t>
      </w:r>
    </w:p>
    <w:p w14:paraId="28E47948" w14:textId="77777777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noProof/>
          <w:szCs w:val="24"/>
          <w:lang w:eastAsia="zh-CN"/>
        </w:rPr>
        <w:drawing>
          <wp:inline distT="0" distB="0" distL="0" distR="0" wp14:anchorId="373E6230" wp14:editId="6F499B62">
            <wp:extent cx="3954544" cy="6899910"/>
            <wp:effectExtent l="0" t="0" r="825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幻灯片1.TIF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915" b="13953"/>
                    <a:stretch/>
                  </pic:blipFill>
                  <pic:spPr bwMode="auto">
                    <a:xfrm>
                      <a:off x="0" y="0"/>
                      <a:ext cx="3954837" cy="69004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D8703" w14:textId="7F6026EE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b/>
          <w:bCs/>
          <w:szCs w:val="24"/>
        </w:rPr>
        <w:t>Fig. S1.</w:t>
      </w:r>
      <w:r w:rsidRPr="00AE43D6">
        <w:rPr>
          <w:rFonts w:ascii="Arial" w:hAnsi="Arial" w:cs="Arial"/>
          <w:szCs w:val="24"/>
        </w:rPr>
        <w:t xml:space="preserve"> Verification of the Grem1 </w:t>
      </w:r>
      <w:proofErr w:type="spellStart"/>
      <w:r w:rsidRPr="00AE43D6">
        <w:rPr>
          <w:rFonts w:ascii="Arial" w:hAnsi="Arial" w:cs="Arial"/>
          <w:szCs w:val="24"/>
        </w:rPr>
        <w:t>scRNA</w:t>
      </w:r>
      <w:proofErr w:type="spellEnd"/>
      <w:r w:rsidRPr="00AE43D6">
        <w:rPr>
          <w:rFonts w:ascii="Arial" w:hAnsi="Arial" w:cs="Arial"/>
          <w:szCs w:val="24"/>
        </w:rPr>
        <w:t xml:space="preserve">-Seq results. (A) Representative immunohistochemical results show that Grem1 is expressed on fibroblasts, and </w:t>
      </w:r>
      <w:r w:rsidRPr="00AE43D6">
        <w:rPr>
          <w:rFonts w:ascii="Arial" w:hAnsi="Arial" w:cs="Arial"/>
          <w:szCs w:val="24"/>
        </w:rPr>
        <w:lastRenderedPageBreak/>
        <w:t xml:space="preserve">the expression level of the experimental group is higher than that of the control group. Magnification, 40X; scale bar, 20 </w:t>
      </w:r>
      <w:proofErr w:type="spellStart"/>
      <w:r w:rsidRPr="00AE43D6">
        <w:rPr>
          <w:rFonts w:ascii="Arial" w:hAnsi="Arial" w:cs="Arial"/>
          <w:szCs w:val="24"/>
        </w:rPr>
        <w:t>μm</w:t>
      </w:r>
      <w:proofErr w:type="spellEnd"/>
      <w:r w:rsidRPr="00AE43D6">
        <w:rPr>
          <w:rFonts w:ascii="Arial" w:hAnsi="Arial" w:cs="Arial"/>
          <w:szCs w:val="24"/>
        </w:rPr>
        <w:t>.</w:t>
      </w:r>
    </w:p>
    <w:p w14:paraId="02015F5A" w14:textId="77777777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szCs w:val="24"/>
        </w:rPr>
        <w:br w:type="page"/>
      </w:r>
    </w:p>
    <w:p w14:paraId="4C9A3FEB" w14:textId="77777777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noProof/>
          <w:szCs w:val="24"/>
          <w:lang w:eastAsia="zh-CN"/>
        </w:rPr>
        <w:lastRenderedPageBreak/>
        <w:drawing>
          <wp:inline distT="0" distB="0" distL="0" distR="0" wp14:anchorId="75DAF788" wp14:editId="6C572333">
            <wp:extent cx="5486400" cy="45720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幻灯片2.TIF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988"/>
                    <a:stretch/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241F54" w14:textId="50F10DC3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b/>
          <w:bCs/>
          <w:szCs w:val="24"/>
        </w:rPr>
        <w:t>Fig. S2.</w:t>
      </w:r>
      <w:r w:rsidRPr="00AE43D6">
        <w:rPr>
          <w:rFonts w:ascii="Arial" w:hAnsi="Arial" w:cs="Arial"/>
          <w:szCs w:val="24"/>
        </w:rPr>
        <w:t xml:space="preserve"> The optimal concentration of TGF-β1 for treating cells. (A) A representative WB shows that when the concentration of TGF-β1 was 5 ng/ml, the expression of FN1, COL1, and α-SMA was the highest. (B) The statistical results for three experiments show that when the expression of FN1 was the highest, the concentration of TGF-β1 was 5 ng/ml. (C) The statistical results for three experiments show that when the expression of COL1 was the highest, the concentration of TGF-β1 was 5 ng/ml. (D) The statistical results for three experiments show that when the expression of α-SMA was the highest, the concentration of TGF-β1 was 5 ng/ml.</w:t>
      </w:r>
    </w:p>
    <w:p w14:paraId="5FD28A4B" w14:textId="77777777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szCs w:val="24"/>
        </w:rPr>
        <w:br w:type="page"/>
      </w:r>
    </w:p>
    <w:p w14:paraId="29D7E23E" w14:textId="77777777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noProof/>
          <w:szCs w:val="24"/>
          <w:lang w:eastAsia="zh-CN"/>
        </w:rPr>
        <w:lastRenderedPageBreak/>
        <w:drawing>
          <wp:inline distT="0" distB="0" distL="0" distR="0" wp14:anchorId="65EE5309" wp14:editId="02F475B0">
            <wp:extent cx="5161175" cy="4105275"/>
            <wp:effectExtent l="0" t="0" r="190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幻灯片3.TIF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25" b="48807"/>
                    <a:stretch/>
                  </pic:blipFill>
                  <pic:spPr bwMode="auto">
                    <a:xfrm>
                      <a:off x="0" y="0"/>
                      <a:ext cx="5161298" cy="41053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1552C9" w14:textId="26E275B9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b/>
          <w:bCs/>
          <w:szCs w:val="24"/>
        </w:rPr>
        <w:t>Fig. S3.</w:t>
      </w:r>
      <w:r w:rsidRPr="00AE43D6">
        <w:rPr>
          <w:rFonts w:ascii="Arial" w:hAnsi="Arial" w:cs="Arial"/>
          <w:szCs w:val="24"/>
        </w:rPr>
        <w:t xml:space="preserve"> The KEGG analysis showed that in the TGF-β signaling pathway, GREM1 and PP2A are related; related research on PP2A is lacking.</w:t>
      </w:r>
    </w:p>
    <w:p w14:paraId="57159B85" w14:textId="77777777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szCs w:val="24"/>
        </w:rPr>
        <w:br w:type="page"/>
      </w:r>
    </w:p>
    <w:p w14:paraId="4C253B96" w14:textId="678D940F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b/>
          <w:bCs/>
          <w:szCs w:val="24"/>
        </w:rPr>
      </w:pPr>
    </w:p>
    <w:p w14:paraId="4B6BB4CB" w14:textId="77777777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b/>
          <w:bCs/>
          <w:szCs w:val="24"/>
        </w:rPr>
      </w:pPr>
      <w:r w:rsidRPr="00AE43D6">
        <w:rPr>
          <w:rFonts w:ascii="Arial" w:hAnsi="Arial" w:cs="Arial"/>
          <w:b/>
          <w:bCs/>
          <w:noProof/>
          <w:szCs w:val="24"/>
          <w:lang w:eastAsia="zh-CN"/>
        </w:rPr>
        <w:drawing>
          <wp:inline distT="0" distB="0" distL="0" distR="0" wp14:anchorId="1E203FC5" wp14:editId="563B33A5">
            <wp:extent cx="5486400" cy="3794289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幻灯片5.TIF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2686"/>
                    <a:stretch/>
                  </pic:blipFill>
                  <pic:spPr bwMode="auto">
                    <a:xfrm>
                      <a:off x="0" y="0"/>
                      <a:ext cx="5486400" cy="37942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25A475" w14:textId="36039E35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b/>
          <w:bCs/>
          <w:szCs w:val="24"/>
        </w:rPr>
        <w:t>Fig. S</w:t>
      </w:r>
      <w:r w:rsidR="00365798" w:rsidRPr="00AE43D6">
        <w:rPr>
          <w:rFonts w:ascii="Arial" w:hAnsi="Arial" w:cs="Arial"/>
          <w:b/>
          <w:bCs/>
          <w:szCs w:val="24"/>
        </w:rPr>
        <w:t>4</w:t>
      </w:r>
      <w:r w:rsidRPr="00AE43D6">
        <w:rPr>
          <w:rFonts w:ascii="Arial" w:hAnsi="Arial" w:cs="Arial"/>
          <w:b/>
          <w:bCs/>
          <w:szCs w:val="24"/>
        </w:rPr>
        <w:t>.</w:t>
      </w:r>
      <w:r w:rsidRPr="00AE43D6">
        <w:rPr>
          <w:rFonts w:ascii="Arial" w:hAnsi="Arial" w:cs="Arial"/>
          <w:szCs w:val="24"/>
        </w:rPr>
        <w:t xml:space="preserve"> The relationship between GREM1 and PP2A and verification of GREM1 knockdown efficiency. (A) The WB results show that among the three siRNAs, GREM1-siRNA-485 had the highest knockdown efficiency. (B) The </w:t>
      </w:r>
      <w:proofErr w:type="spellStart"/>
      <w:r w:rsidRPr="00AE43D6">
        <w:rPr>
          <w:rFonts w:ascii="Arial" w:hAnsi="Arial" w:cs="Arial"/>
          <w:szCs w:val="24"/>
        </w:rPr>
        <w:t>qRT</w:t>
      </w:r>
      <w:proofErr w:type="spellEnd"/>
      <w:r w:rsidRPr="00AE43D6">
        <w:rPr>
          <w:rFonts w:ascii="Arial" w:hAnsi="Arial" w:cs="Arial"/>
          <w:szCs w:val="24"/>
        </w:rPr>
        <w:t xml:space="preserve">-PCR results showed that among the three siRNAs, GREM1-siRNA-485 was the most efficient, with approximately 70% knockdown. </w:t>
      </w:r>
      <w:r w:rsidRPr="00AE43D6">
        <w:rPr>
          <w:rFonts w:ascii="Arial" w:hAnsi="Arial" w:cs="Arial"/>
          <w:bCs/>
          <w:color w:val="000000"/>
          <w:szCs w:val="24"/>
        </w:rPr>
        <w:t>(</w:t>
      </w:r>
      <w:proofErr w:type="gramStart"/>
      <w:r w:rsidRPr="00AE43D6">
        <w:rPr>
          <w:rFonts w:ascii="Arial" w:hAnsi="Arial" w:cs="Arial"/>
          <w:bCs/>
          <w:color w:val="000000"/>
          <w:szCs w:val="24"/>
        </w:rPr>
        <w:t>C,D</w:t>
      </w:r>
      <w:proofErr w:type="gramEnd"/>
      <w:r w:rsidRPr="00AE43D6">
        <w:rPr>
          <w:rFonts w:ascii="Arial" w:hAnsi="Arial" w:cs="Arial"/>
          <w:bCs/>
          <w:color w:val="000000"/>
          <w:szCs w:val="24"/>
        </w:rPr>
        <w:t xml:space="preserve">) The representative WB results show that knocking down GREM1 can partially reverse the upregulation of PPP2R3A expression induced by TGF-β1. *p&lt;0.05 indicates that the expression of PPP2R3A in the </w:t>
      </w:r>
      <w:proofErr w:type="spellStart"/>
      <w:r w:rsidRPr="00AE43D6">
        <w:rPr>
          <w:rFonts w:ascii="Arial" w:hAnsi="Arial" w:cs="Arial"/>
          <w:bCs/>
          <w:color w:val="000000"/>
          <w:szCs w:val="24"/>
        </w:rPr>
        <w:t>si</w:t>
      </w:r>
      <w:proofErr w:type="spellEnd"/>
      <w:r w:rsidRPr="00AE43D6">
        <w:rPr>
          <w:rFonts w:ascii="Arial" w:hAnsi="Arial" w:cs="Arial"/>
          <w:bCs/>
          <w:color w:val="000000"/>
          <w:szCs w:val="24"/>
        </w:rPr>
        <w:t xml:space="preserve">-Con group after TGF-β1 treatment was higher than that in the control group, and the cell model was successfully established. #p&lt;0.05 indicates that the expression of PPP2R3A in the si-Grem1 group was lower than that in the </w:t>
      </w:r>
      <w:proofErr w:type="spellStart"/>
      <w:r w:rsidRPr="00AE43D6">
        <w:rPr>
          <w:rFonts w:ascii="Arial" w:hAnsi="Arial" w:cs="Arial"/>
          <w:bCs/>
          <w:color w:val="000000"/>
          <w:szCs w:val="24"/>
        </w:rPr>
        <w:t>si</w:t>
      </w:r>
      <w:proofErr w:type="spellEnd"/>
      <w:r w:rsidRPr="00AE43D6">
        <w:rPr>
          <w:rFonts w:ascii="Arial" w:hAnsi="Arial" w:cs="Arial"/>
          <w:bCs/>
          <w:color w:val="000000"/>
          <w:szCs w:val="24"/>
        </w:rPr>
        <w:t>-Con group after TGF-β1 treatment.</w:t>
      </w:r>
      <w:r w:rsidRPr="00AE43D6">
        <w:rPr>
          <w:rFonts w:ascii="Arial" w:hAnsi="Arial" w:cs="Arial"/>
          <w:szCs w:val="24"/>
        </w:rPr>
        <w:br w:type="page"/>
      </w:r>
    </w:p>
    <w:p w14:paraId="28E0F4C3" w14:textId="77777777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noProof/>
          <w:szCs w:val="24"/>
          <w:lang w:eastAsia="zh-CN"/>
        </w:rPr>
        <w:lastRenderedPageBreak/>
        <w:drawing>
          <wp:inline distT="0" distB="0" distL="0" distR="0" wp14:anchorId="38391AEE" wp14:editId="01CAFC13">
            <wp:extent cx="5274310" cy="3992033"/>
            <wp:effectExtent l="0" t="0" r="254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17549" name="幻灯片4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2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920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1A9AA8" w14:textId="60BBDEFA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b/>
          <w:bCs/>
          <w:szCs w:val="24"/>
        </w:rPr>
        <w:t>Fig. S</w:t>
      </w:r>
      <w:r w:rsidR="00365798">
        <w:rPr>
          <w:rFonts w:ascii="Arial" w:hAnsi="Arial" w:cs="Arial"/>
          <w:b/>
          <w:bCs/>
          <w:szCs w:val="24"/>
        </w:rPr>
        <w:t>5</w:t>
      </w:r>
      <w:r w:rsidRPr="00AE43D6">
        <w:rPr>
          <w:rFonts w:ascii="Arial" w:hAnsi="Arial" w:cs="Arial"/>
          <w:b/>
          <w:bCs/>
          <w:szCs w:val="24"/>
        </w:rPr>
        <w:t>.</w:t>
      </w:r>
      <w:r w:rsidRPr="00AE43D6">
        <w:rPr>
          <w:rFonts w:ascii="Arial" w:hAnsi="Arial" w:cs="Arial"/>
          <w:szCs w:val="24"/>
        </w:rPr>
        <w:t xml:space="preserve"> Cells were treated with TGF-β1 to construct the cell model. (A) A representative WB shows that after treating cells with the optimal concentration of TGF-β1 at 5 ng/ml, the expression of the fibrosis-related markers FN1, COL1, and α-SMA increased in a time-dependent manner. (B) *p&lt;0.05 indicates that the increase in FN1 between 0 h and the indicated time point was significant. (C) *p&lt;0.05 indicates that the increase in COL1 between 0 h the indicated time point was significant. (D) *p&lt;0.05 indicates that the increase in α-SMA between 0 h the indicated time point was significant.</w:t>
      </w:r>
    </w:p>
    <w:p w14:paraId="6CABF340" w14:textId="77777777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szCs w:val="24"/>
        </w:rPr>
        <w:br w:type="page"/>
      </w:r>
    </w:p>
    <w:p w14:paraId="5A57913D" w14:textId="77777777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noProof/>
          <w:szCs w:val="24"/>
          <w:lang w:eastAsia="zh-CN"/>
        </w:rPr>
        <w:lastRenderedPageBreak/>
        <w:drawing>
          <wp:inline distT="0" distB="0" distL="0" distR="0" wp14:anchorId="63350FAF" wp14:editId="05A7A1EB">
            <wp:extent cx="5274310" cy="3750733"/>
            <wp:effectExtent l="0" t="0" r="254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361247" name="幻灯片5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507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6BB09E" w14:textId="31F22C8A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b/>
          <w:bCs/>
          <w:szCs w:val="24"/>
        </w:rPr>
        <w:t>Fig. S</w:t>
      </w:r>
      <w:r w:rsidR="00365798">
        <w:rPr>
          <w:rFonts w:ascii="Arial" w:hAnsi="Arial" w:cs="Arial"/>
          <w:b/>
          <w:bCs/>
          <w:szCs w:val="24"/>
        </w:rPr>
        <w:t>6</w:t>
      </w:r>
      <w:r w:rsidRPr="00AE43D6">
        <w:rPr>
          <w:rFonts w:ascii="Arial" w:hAnsi="Arial" w:cs="Arial"/>
          <w:b/>
          <w:bCs/>
          <w:szCs w:val="24"/>
        </w:rPr>
        <w:t>.</w:t>
      </w:r>
      <w:r w:rsidRPr="00AE43D6">
        <w:rPr>
          <w:rFonts w:ascii="Arial" w:hAnsi="Arial" w:cs="Arial"/>
          <w:szCs w:val="24"/>
        </w:rPr>
        <w:t xml:space="preserve"> TGF-β1 can increase cell viability and migration. (A) The CCK-8 assay results show that after TGF-β1 treatment, cell viability increased in a time-dependent manner, reaching a peak at 72 h. *p&lt;0.05 indicates that the difference in cell viability between 0 h the indicated time point was significant. (B) The results of the wound healing experiment show that after TGF-β1 treatment, cell migration was enhanced. (C) *p&lt;0.05 indicates that the difference in cell viability between the TGF-β1 treatment group and the control group was significant.</w:t>
      </w:r>
    </w:p>
    <w:p w14:paraId="7A6386F8" w14:textId="77777777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szCs w:val="24"/>
        </w:rPr>
        <w:br w:type="page"/>
      </w:r>
    </w:p>
    <w:p w14:paraId="7A3DF1C0" w14:textId="77777777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noProof/>
          <w:szCs w:val="24"/>
          <w:lang w:eastAsia="zh-CN"/>
        </w:rPr>
        <w:lastRenderedPageBreak/>
        <w:drawing>
          <wp:inline distT="0" distB="0" distL="0" distR="0" wp14:anchorId="0AFB69B9" wp14:editId="6A139E45">
            <wp:extent cx="5274310" cy="330200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26224" name="幻灯片6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71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0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704C23" w14:textId="74D8D29D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b/>
          <w:bCs/>
          <w:szCs w:val="24"/>
        </w:rPr>
        <w:t>Fig. S</w:t>
      </w:r>
      <w:r w:rsidR="00365798">
        <w:rPr>
          <w:rFonts w:ascii="Arial" w:hAnsi="Arial" w:cs="Arial"/>
          <w:b/>
          <w:bCs/>
          <w:szCs w:val="24"/>
        </w:rPr>
        <w:t>7</w:t>
      </w:r>
      <w:r w:rsidRPr="00AE43D6">
        <w:rPr>
          <w:rFonts w:ascii="Arial" w:hAnsi="Arial" w:cs="Arial"/>
          <w:b/>
          <w:bCs/>
          <w:szCs w:val="24"/>
        </w:rPr>
        <w:t>.</w:t>
      </w:r>
      <w:r w:rsidRPr="00AE43D6">
        <w:rPr>
          <w:rFonts w:ascii="Arial" w:hAnsi="Arial" w:cs="Arial"/>
          <w:szCs w:val="24"/>
        </w:rPr>
        <w:t xml:space="preserve"> Verification of PPP2R3A knockdown efficiency. (A) The </w:t>
      </w:r>
      <w:proofErr w:type="spellStart"/>
      <w:r w:rsidRPr="00AE43D6">
        <w:rPr>
          <w:rFonts w:ascii="Arial" w:hAnsi="Arial" w:cs="Arial"/>
          <w:szCs w:val="24"/>
        </w:rPr>
        <w:t>qRT</w:t>
      </w:r>
      <w:proofErr w:type="spellEnd"/>
      <w:r w:rsidRPr="00AE43D6">
        <w:rPr>
          <w:rFonts w:ascii="Arial" w:hAnsi="Arial" w:cs="Arial"/>
          <w:szCs w:val="24"/>
        </w:rPr>
        <w:t>-PCR results show that among the three siRNAs, PPP2R3A-siRNA-1174 had the highest knockdown efficiency, at approximately 70%. (B) The WB results show that among the three siRNAs, PPP2R3A-siRNA-1174 had the highest knockdown efficiency. (C) The statistical results of three experiments show that PPP2R3A-siRNA-1174 had the highest knockdown efficiency.</w:t>
      </w:r>
    </w:p>
    <w:p w14:paraId="30259815" w14:textId="77777777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szCs w:val="24"/>
        </w:rPr>
        <w:br w:type="page"/>
      </w:r>
    </w:p>
    <w:p w14:paraId="4528F7EA" w14:textId="77777777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noProof/>
          <w:szCs w:val="24"/>
          <w:lang w:eastAsia="zh-CN"/>
        </w:rPr>
        <w:lastRenderedPageBreak/>
        <w:drawing>
          <wp:inline distT="0" distB="0" distL="0" distR="0" wp14:anchorId="0DABA286" wp14:editId="0C869FE9">
            <wp:extent cx="5274310" cy="770953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954604" name="幻灯片7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0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BA552" w14:textId="4AAC355C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b/>
          <w:bCs/>
          <w:szCs w:val="24"/>
        </w:rPr>
        <w:lastRenderedPageBreak/>
        <w:t>Fig. S</w:t>
      </w:r>
      <w:r w:rsidR="00365798">
        <w:rPr>
          <w:rFonts w:ascii="Arial" w:hAnsi="Arial" w:cs="Arial"/>
          <w:b/>
          <w:bCs/>
          <w:szCs w:val="24"/>
        </w:rPr>
        <w:t>8</w:t>
      </w:r>
      <w:r w:rsidRPr="00AE43D6">
        <w:rPr>
          <w:rFonts w:ascii="Arial" w:hAnsi="Arial" w:cs="Arial"/>
          <w:b/>
          <w:bCs/>
          <w:szCs w:val="24"/>
        </w:rPr>
        <w:t>.</w:t>
      </w:r>
      <w:r w:rsidRPr="00AE43D6">
        <w:rPr>
          <w:rFonts w:ascii="Arial" w:hAnsi="Arial" w:cs="Arial"/>
          <w:szCs w:val="24"/>
        </w:rPr>
        <w:t xml:space="preserve"> The signaling pathway of PP2A and calcium ions and the expression of calcium ion-related proteins. (A) In the adrenergic signaling pathway in cardiomyocytes, PP2A is related to the regulation of calcium-related proteins. (B) In the dopaminergic synaptic signaling pathway, PP2A is related to the regulation of calcium-related proteins. (C) The </w:t>
      </w:r>
      <w:proofErr w:type="spellStart"/>
      <w:r w:rsidRPr="00AE43D6">
        <w:rPr>
          <w:rFonts w:ascii="Arial" w:hAnsi="Arial" w:cs="Arial"/>
          <w:szCs w:val="24"/>
        </w:rPr>
        <w:t>scRNA</w:t>
      </w:r>
      <w:proofErr w:type="spellEnd"/>
      <w:r w:rsidRPr="00AE43D6">
        <w:rPr>
          <w:rFonts w:ascii="Arial" w:hAnsi="Arial" w:cs="Arial"/>
          <w:szCs w:val="24"/>
        </w:rPr>
        <w:t>-Seq results show that Camk2a expression did not change significantly in fibroblasts. (D) TGF-β1-treated cells were assessed by a fluorescence microplate reader, and the intracellular calcium ion concentration did not change significantly. (E) The immunofluorescence results showed that after TGF-β1 treatment of the cells, the intracellular calcium ion concentration did not change significantly.</w:t>
      </w:r>
    </w:p>
    <w:p w14:paraId="6CC22868" w14:textId="77777777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szCs w:val="24"/>
        </w:rPr>
        <w:br w:type="page"/>
      </w:r>
    </w:p>
    <w:p w14:paraId="6F951404" w14:textId="77777777" w:rsidR="00A614E0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noProof/>
          <w:szCs w:val="24"/>
          <w:lang w:eastAsia="zh-CN"/>
        </w:rPr>
        <w:lastRenderedPageBreak/>
        <w:drawing>
          <wp:inline distT="0" distB="0" distL="0" distR="0" wp14:anchorId="23B16E16" wp14:editId="68D8FD8F">
            <wp:extent cx="5274310" cy="3458634"/>
            <wp:effectExtent l="0" t="0" r="254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225268" name="幻灯片8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1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586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C22F57" w14:textId="2BC376B7" w:rsidR="007843C9" w:rsidRPr="00AE43D6" w:rsidRDefault="00A614E0" w:rsidP="00AE43D6">
      <w:pPr>
        <w:pStyle w:val="SMcaption"/>
        <w:spacing w:line="480" w:lineRule="auto"/>
        <w:rPr>
          <w:rFonts w:ascii="Arial" w:hAnsi="Arial" w:cs="Arial"/>
          <w:szCs w:val="24"/>
        </w:rPr>
      </w:pPr>
      <w:r w:rsidRPr="00AE43D6">
        <w:rPr>
          <w:rFonts w:ascii="Arial" w:hAnsi="Arial" w:cs="Arial"/>
          <w:b/>
          <w:bCs/>
          <w:szCs w:val="24"/>
        </w:rPr>
        <w:t>Fig. S</w:t>
      </w:r>
      <w:r w:rsidR="00365798">
        <w:rPr>
          <w:rFonts w:ascii="Arial" w:hAnsi="Arial" w:cs="Arial"/>
          <w:b/>
          <w:bCs/>
          <w:szCs w:val="24"/>
        </w:rPr>
        <w:t>9</w:t>
      </w:r>
      <w:r w:rsidRPr="00AE43D6">
        <w:rPr>
          <w:rFonts w:ascii="Arial" w:hAnsi="Arial" w:cs="Arial"/>
          <w:b/>
          <w:bCs/>
          <w:szCs w:val="24"/>
        </w:rPr>
        <w:t>.</w:t>
      </w:r>
      <w:r w:rsidRPr="00AE43D6">
        <w:rPr>
          <w:rFonts w:ascii="Arial" w:hAnsi="Arial" w:cs="Arial"/>
          <w:szCs w:val="24"/>
        </w:rPr>
        <w:t xml:space="preserve"> The relevant signal pathway downstream of PP2A. (A) In the p53 signaling pathway, a branch of the PI3K-Akt signaling pathway, PP2A is related to p53.</w:t>
      </w:r>
      <w:bookmarkStart w:id="0" w:name="_GoBack"/>
      <w:bookmarkEnd w:id="0"/>
    </w:p>
    <w:sectPr w:rsidR="007843C9" w:rsidRPr="00AE43D6" w:rsidSect="00F125EE">
      <w:headerReference w:type="default" r:id="rId18"/>
      <w:footerReference w:type="default" r:id="rId19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F1126A" w16cex:dateUtc="2020-08-26T23:55:00Z"/>
  <w16cex:commentExtensible w16cex:durableId="22F112F1" w16cex:dateUtc="2020-08-26T23:57:00Z"/>
  <w16cex:commentExtensible w16cex:durableId="22F113C6" w16cex:dateUtc="2020-08-27T00:00:00Z"/>
  <w16cex:commentExtensible w16cex:durableId="22F114E9" w16cex:dateUtc="2020-08-27T00:0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6B2863" w14:textId="77777777" w:rsidR="00912163" w:rsidRDefault="00912163">
      <w:r>
        <w:separator/>
      </w:r>
    </w:p>
  </w:endnote>
  <w:endnote w:type="continuationSeparator" w:id="0">
    <w:p w14:paraId="61EDE469" w14:textId="77777777" w:rsidR="00912163" w:rsidRDefault="00912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096907" w14:textId="7EFF20DE" w:rsidR="00F125EE" w:rsidRDefault="00114193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741A7">
      <w:rPr>
        <w:noProof/>
      </w:rPr>
      <w:t>1</w:t>
    </w:r>
    <w:r>
      <w:fldChar w:fldCharType="end"/>
    </w:r>
  </w:p>
  <w:p w14:paraId="180EEFF6" w14:textId="77777777" w:rsidR="00F125EE" w:rsidRDefault="00F125EE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CEB218" w14:textId="77777777" w:rsidR="00912163" w:rsidRDefault="00912163">
      <w:r>
        <w:separator/>
      </w:r>
    </w:p>
  </w:footnote>
  <w:footnote w:type="continuationSeparator" w:id="0">
    <w:p w14:paraId="07A23AD4" w14:textId="77777777" w:rsidR="00912163" w:rsidRDefault="009121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040DC9" w14:textId="77777777" w:rsidR="003A2FD8" w:rsidRPr="005001AC" w:rsidRDefault="003A2FD8" w:rsidP="005001AC">
    <w:pPr>
      <w:jc w:val="right"/>
      <w:rPr>
        <w:sz w:val="20"/>
      </w:rPr>
    </w:pPr>
  </w:p>
  <w:p w14:paraId="0091C365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B963FF"/>
    <w:multiLevelType w:val="hybridMultilevel"/>
    <w:tmpl w:val="43A20FFE"/>
    <w:lvl w:ilvl="0" w:tplc="041866E8">
      <w:start w:val="2020"/>
      <w:numFmt w:val="bullet"/>
      <w:lvlText w:val="–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8D4926"/>
    <w:multiLevelType w:val="hybridMultilevel"/>
    <w:tmpl w:val="2FCC0058"/>
    <w:lvl w:ilvl="0" w:tplc="7FF6799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116BDC"/>
    <w:multiLevelType w:val="hybridMultilevel"/>
    <w:tmpl w:val="1D98BF46"/>
    <w:lvl w:ilvl="0" w:tplc="F40C2976">
      <w:start w:val="2020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2"/>
  </w:num>
  <w:num w:numId="13">
    <w:abstractNumId w:val="1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04B2"/>
    <w:rsid w:val="00015F74"/>
    <w:rsid w:val="00017C53"/>
    <w:rsid w:val="00030840"/>
    <w:rsid w:val="00054C67"/>
    <w:rsid w:val="00065EBD"/>
    <w:rsid w:val="00083B44"/>
    <w:rsid w:val="000850DC"/>
    <w:rsid w:val="000A41E4"/>
    <w:rsid w:val="000C2771"/>
    <w:rsid w:val="000F0DCE"/>
    <w:rsid w:val="00112C5B"/>
    <w:rsid w:val="00114193"/>
    <w:rsid w:val="00115A38"/>
    <w:rsid w:val="0011687B"/>
    <w:rsid w:val="00124F82"/>
    <w:rsid w:val="0016337A"/>
    <w:rsid w:val="00164269"/>
    <w:rsid w:val="001A1BDE"/>
    <w:rsid w:val="001B19D8"/>
    <w:rsid w:val="001C0520"/>
    <w:rsid w:val="001C0975"/>
    <w:rsid w:val="001F0876"/>
    <w:rsid w:val="001F167C"/>
    <w:rsid w:val="001F5E91"/>
    <w:rsid w:val="002077B9"/>
    <w:rsid w:val="00262D72"/>
    <w:rsid w:val="00267704"/>
    <w:rsid w:val="002722DB"/>
    <w:rsid w:val="00294FBB"/>
    <w:rsid w:val="002C030F"/>
    <w:rsid w:val="002C667A"/>
    <w:rsid w:val="002E35F9"/>
    <w:rsid w:val="002E4805"/>
    <w:rsid w:val="00325D90"/>
    <w:rsid w:val="00331D75"/>
    <w:rsid w:val="00332BFB"/>
    <w:rsid w:val="00355362"/>
    <w:rsid w:val="00363E44"/>
    <w:rsid w:val="00365798"/>
    <w:rsid w:val="00387114"/>
    <w:rsid w:val="00395E86"/>
    <w:rsid w:val="003969C1"/>
    <w:rsid w:val="00397983"/>
    <w:rsid w:val="003A2FD8"/>
    <w:rsid w:val="003B3D04"/>
    <w:rsid w:val="003B40E6"/>
    <w:rsid w:val="003F6E14"/>
    <w:rsid w:val="00405336"/>
    <w:rsid w:val="004140F6"/>
    <w:rsid w:val="004571D5"/>
    <w:rsid w:val="00461D81"/>
    <w:rsid w:val="0046356B"/>
    <w:rsid w:val="00477182"/>
    <w:rsid w:val="004779CB"/>
    <w:rsid w:val="004A159F"/>
    <w:rsid w:val="004B2F21"/>
    <w:rsid w:val="004E42D8"/>
    <w:rsid w:val="004E7BA2"/>
    <w:rsid w:val="004F7EDF"/>
    <w:rsid w:val="005001AC"/>
    <w:rsid w:val="00527D71"/>
    <w:rsid w:val="005607DD"/>
    <w:rsid w:val="005958E5"/>
    <w:rsid w:val="00595B41"/>
    <w:rsid w:val="005A558C"/>
    <w:rsid w:val="005D088E"/>
    <w:rsid w:val="005E28F8"/>
    <w:rsid w:val="005E6513"/>
    <w:rsid w:val="006069C6"/>
    <w:rsid w:val="00611A19"/>
    <w:rsid w:val="006140DF"/>
    <w:rsid w:val="00651114"/>
    <w:rsid w:val="0065772A"/>
    <w:rsid w:val="00670299"/>
    <w:rsid w:val="00691985"/>
    <w:rsid w:val="006A1B64"/>
    <w:rsid w:val="006D169A"/>
    <w:rsid w:val="006E3E68"/>
    <w:rsid w:val="007108F5"/>
    <w:rsid w:val="00713E5B"/>
    <w:rsid w:val="007402FC"/>
    <w:rsid w:val="007411A1"/>
    <w:rsid w:val="00763345"/>
    <w:rsid w:val="007843C9"/>
    <w:rsid w:val="007943B9"/>
    <w:rsid w:val="00797F24"/>
    <w:rsid w:val="007B5946"/>
    <w:rsid w:val="007F5297"/>
    <w:rsid w:val="00807D35"/>
    <w:rsid w:val="00820484"/>
    <w:rsid w:val="00824DF3"/>
    <w:rsid w:val="00840BB2"/>
    <w:rsid w:val="00885C9B"/>
    <w:rsid w:val="008C069B"/>
    <w:rsid w:val="008C5AC1"/>
    <w:rsid w:val="008D5D2A"/>
    <w:rsid w:val="00912163"/>
    <w:rsid w:val="00914B63"/>
    <w:rsid w:val="009258B8"/>
    <w:rsid w:val="009354F3"/>
    <w:rsid w:val="00943C3C"/>
    <w:rsid w:val="009447DC"/>
    <w:rsid w:val="009519CF"/>
    <w:rsid w:val="00961BA5"/>
    <w:rsid w:val="009743A9"/>
    <w:rsid w:val="009A1FB0"/>
    <w:rsid w:val="009A5287"/>
    <w:rsid w:val="009A670E"/>
    <w:rsid w:val="009B2AC5"/>
    <w:rsid w:val="009B7984"/>
    <w:rsid w:val="009E7523"/>
    <w:rsid w:val="009F0750"/>
    <w:rsid w:val="009F4BED"/>
    <w:rsid w:val="009F7D93"/>
    <w:rsid w:val="00A3403B"/>
    <w:rsid w:val="00A51A12"/>
    <w:rsid w:val="00A614E0"/>
    <w:rsid w:val="00A627D4"/>
    <w:rsid w:val="00A72B81"/>
    <w:rsid w:val="00A74DA2"/>
    <w:rsid w:val="00AC15B4"/>
    <w:rsid w:val="00AD499C"/>
    <w:rsid w:val="00AE3485"/>
    <w:rsid w:val="00AE43D6"/>
    <w:rsid w:val="00AE5A70"/>
    <w:rsid w:val="00B003EE"/>
    <w:rsid w:val="00B15008"/>
    <w:rsid w:val="00B16F99"/>
    <w:rsid w:val="00B36869"/>
    <w:rsid w:val="00B42F9C"/>
    <w:rsid w:val="00B43B31"/>
    <w:rsid w:val="00B47CFA"/>
    <w:rsid w:val="00B57F00"/>
    <w:rsid w:val="00B6500B"/>
    <w:rsid w:val="00B741A7"/>
    <w:rsid w:val="00B77B2A"/>
    <w:rsid w:val="00B80C3A"/>
    <w:rsid w:val="00B82C22"/>
    <w:rsid w:val="00B8723B"/>
    <w:rsid w:val="00B93DBA"/>
    <w:rsid w:val="00B9440A"/>
    <w:rsid w:val="00BB2D2A"/>
    <w:rsid w:val="00BB66CB"/>
    <w:rsid w:val="00BD58CF"/>
    <w:rsid w:val="00C046DC"/>
    <w:rsid w:val="00C04CC1"/>
    <w:rsid w:val="00C47714"/>
    <w:rsid w:val="00C50C6D"/>
    <w:rsid w:val="00C600D9"/>
    <w:rsid w:val="00CB1605"/>
    <w:rsid w:val="00CC1384"/>
    <w:rsid w:val="00CD3720"/>
    <w:rsid w:val="00CE16CA"/>
    <w:rsid w:val="00CF16C9"/>
    <w:rsid w:val="00CF1848"/>
    <w:rsid w:val="00CF5C2F"/>
    <w:rsid w:val="00D04BCF"/>
    <w:rsid w:val="00D143D9"/>
    <w:rsid w:val="00D249B6"/>
    <w:rsid w:val="00D269AB"/>
    <w:rsid w:val="00D346C2"/>
    <w:rsid w:val="00D420E2"/>
    <w:rsid w:val="00DA22DA"/>
    <w:rsid w:val="00DA59EA"/>
    <w:rsid w:val="00DC623A"/>
    <w:rsid w:val="00DD421A"/>
    <w:rsid w:val="00E257C8"/>
    <w:rsid w:val="00E34981"/>
    <w:rsid w:val="00E37047"/>
    <w:rsid w:val="00E60D0F"/>
    <w:rsid w:val="00E642A8"/>
    <w:rsid w:val="00E9773B"/>
    <w:rsid w:val="00EA596B"/>
    <w:rsid w:val="00EC13A3"/>
    <w:rsid w:val="00EC7C85"/>
    <w:rsid w:val="00EF49AB"/>
    <w:rsid w:val="00F04CD9"/>
    <w:rsid w:val="00F10E7B"/>
    <w:rsid w:val="00F125EE"/>
    <w:rsid w:val="00F12E98"/>
    <w:rsid w:val="00F22029"/>
    <w:rsid w:val="00F25DEF"/>
    <w:rsid w:val="00F514EC"/>
    <w:rsid w:val="00F60CD4"/>
    <w:rsid w:val="00F630EA"/>
    <w:rsid w:val="00F7007E"/>
    <w:rsid w:val="00F70200"/>
    <w:rsid w:val="00F73193"/>
    <w:rsid w:val="00F74F95"/>
    <w:rsid w:val="00F80705"/>
    <w:rsid w:val="00FA1481"/>
    <w:rsid w:val="00FC08C1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57D1EA8"/>
  <w15:docId w15:val="{44D555E4-DB32-4E4E-914C-3E579D6D7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basedOn w:val="a2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basedOn w:val="a2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basedOn w:val="a2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basedOn w:val="a2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basedOn w:val="a2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basedOn w:val="a2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basedOn w:val="a2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2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basedOn w:val="a2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basedOn w:val="a2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basedOn w:val="a2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basedOn w:val="ab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basedOn w:val="a2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basedOn w:val="af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basedOn w:val="a2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basedOn w:val="a2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basedOn w:val="a2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basedOn w:val="af4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basedOn w:val="a2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basedOn w:val="a2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basedOn w:val="a2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basedOn w:val="a2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basedOn w:val="a2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basedOn w:val="a2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basedOn w:val="a2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basedOn w:val="a2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basedOn w:val="a2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basedOn w:val="a2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uiPriority w:val="99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basedOn w:val="a2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basedOn w:val="a2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basedOn w:val="a2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basedOn w:val="a2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basedOn w:val="a2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basedOn w:val="a2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basedOn w:val="a2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basedOn w:val="a2"/>
    <w:semiHidden/>
    <w:rsid w:val="007402FC"/>
    <w:rPr>
      <w:color w:val="0000FF"/>
      <w:u w:val="single"/>
    </w:rPr>
  </w:style>
  <w:style w:type="character" w:styleId="affff6">
    <w:name w:val="Emphasis"/>
    <w:basedOn w:val="a2"/>
    <w:uiPriority w:val="20"/>
    <w:qFormat/>
    <w:rsid w:val="00B42F9C"/>
    <w:rPr>
      <w:i/>
      <w:iCs/>
    </w:rPr>
  </w:style>
  <w:style w:type="character" w:styleId="affff7">
    <w:name w:val="annotation reference"/>
    <w:basedOn w:val="a2"/>
    <w:semiHidden/>
    <w:rsid w:val="009258B8"/>
    <w:rPr>
      <w:sz w:val="16"/>
      <w:szCs w:val="16"/>
    </w:rPr>
  </w:style>
  <w:style w:type="character" w:styleId="affff8">
    <w:name w:val="FollowedHyperlink"/>
    <w:basedOn w:val="a2"/>
    <w:semiHidden/>
    <w:unhideWhenUsed/>
    <w:rsid w:val="00611A19"/>
    <w:rPr>
      <w:color w:val="800080" w:themeColor="followedHyperlink"/>
      <w:u w:val="single"/>
    </w:rPr>
  </w:style>
  <w:style w:type="character" w:styleId="affff9">
    <w:name w:val="Unresolved Mention"/>
    <w:basedOn w:val="a2"/>
    <w:uiPriority w:val="99"/>
    <w:semiHidden/>
    <w:unhideWhenUsed/>
    <w:rsid w:val="002722DB"/>
    <w:rPr>
      <w:color w:val="605E5C"/>
      <w:shd w:val="clear" w:color="auto" w:fill="E1DFDD"/>
    </w:rPr>
  </w:style>
  <w:style w:type="paragraph" w:customStyle="1" w:styleId="Default">
    <w:name w:val="Default"/>
    <w:rsid w:val="009A1FB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ojie@seu.edu.cn" TargetMode="External"/><Relationship Id="rId13" Type="http://schemas.openxmlformats.org/officeDocument/2006/relationships/image" Target="media/image5.tif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TIF"/><Relationship Id="rId17" Type="http://schemas.openxmlformats.org/officeDocument/2006/relationships/image" Target="media/image9.tif"/><Relationship Id="rId2" Type="http://schemas.openxmlformats.org/officeDocument/2006/relationships/numbering" Target="numbering.xml"/><Relationship Id="rId16" Type="http://schemas.openxmlformats.org/officeDocument/2006/relationships/image" Target="media/image8.ti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"/><Relationship Id="rId5" Type="http://schemas.openxmlformats.org/officeDocument/2006/relationships/webSettings" Target="webSettings.xml"/><Relationship Id="rId15" Type="http://schemas.openxmlformats.org/officeDocument/2006/relationships/image" Target="media/image7.tif"/><Relationship Id="rId10" Type="http://schemas.openxmlformats.org/officeDocument/2006/relationships/image" Target="media/image2.tif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TIF"/><Relationship Id="rId14" Type="http://schemas.openxmlformats.org/officeDocument/2006/relationships/image" Target="media/image6.tif"/><Relationship Id="rId30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4BE45A9-8047-4158-AE4E-31BEAC71A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16</Pages>
  <Words>1601</Words>
  <Characters>9129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10709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Jie Chao</cp:lastModifiedBy>
  <cp:revision>4</cp:revision>
  <cp:lastPrinted>2018-02-26T17:19:00Z</cp:lastPrinted>
  <dcterms:created xsi:type="dcterms:W3CDTF">2021-09-21T23:37:00Z</dcterms:created>
  <dcterms:modified xsi:type="dcterms:W3CDTF">2021-09-21T23:49:00Z</dcterms:modified>
</cp:coreProperties>
</file>