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27C47" w14:textId="5F5656C1" w:rsidR="00486FAC" w:rsidRPr="008C25A4" w:rsidRDefault="008C25A4" w:rsidP="008C25A4">
      <w:pPr>
        <w:jc w:val="center"/>
        <w:rPr>
          <w:b/>
          <w:bCs/>
        </w:rPr>
      </w:pPr>
      <w:r w:rsidRPr="0F81A603">
        <w:rPr>
          <w:b/>
          <w:bCs/>
        </w:rPr>
        <w:t>Microaggression Simulation Debrief</w:t>
      </w:r>
      <w:r w:rsidR="00CD3492">
        <w:rPr>
          <w:b/>
          <w:bCs/>
        </w:rPr>
        <w:t xml:space="preserve"> for Year 2 Curriculum</w:t>
      </w:r>
    </w:p>
    <w:p w14:paraId="65D37C52" w14:textId="7D554AF9" w:rsidR="008C25A4" w:rsidRDefault="008C25A4" w:rsidP="008C25A4">
      <w:pPr>
        <w:jc w:val="center"/>
      </w:pPr>
    </w:p>
    <w:p w14:paraId="2C2AC46F" w14:textId="7E84C946" w:rsidR="00CD3492" w:rsidRDefault="00CD3492" w:rsidP="00CD3492">
      <w:pPr>
        <w:rPr>
          <w:u w:val="single"/>
        </w:rPr>
      </w:pPr>
      <w:r w:rsidRPr="00CD3492">
        <w:rPr>
          <w:u w:val="single"/>
        </w:rPr>
        <w:t>Year 2 Curriculum Goals</w:t>
      </w:r>
    </w:p>
    <w:p w14:paraId="472A7B97" w14:textId="43D41EC1" w:rsidR="00CD3492" w:rsidRPr="00034AD5" w:rsidRDefault="00CD3492" w:rsidP="00CD3492">
      <w:pPr>
        <w:rPr>
          <w:u w:val="single"/>
        </w:rPr>
      </w:pPr>
    </w:p>
    <w:p w14:paraId="7BFDE107" w14:textId="2C4F89C9" w:rsidR="0047733C" w:rsidRPr="00034AD5" w:rsidRDefault="00CD3492" w:rsidP="00034AD5">
      <w:r w:rsidRPr="00034AD5">
        <w:t xml:space="preserve">Based on the data collected from the year 1 curriculum, the focus of the year 2 curriculum is to </w:t>
      </w:r>
      <w:r w:rsidRPr="00034AD5">
        <w:rPr>
          <w:i/>
          <w:iCs/>
        </w:rPr>
        <w:t xml:space="preserve">1) discuss and overcome potential barriers and challenges in responding to microaggressions in the clinical learning environment and 2) continue working on responding to microaggressions by applying the “Open the Front Door” </w:t>
      </w:r>
      <w:r w:rsidR="00834A88" w:rsidRPr="00034AD5">
        <w:rPr>
          <w:i/>
          <w:iCs/>
        </w:rPr>
        <w:t xml:space="preserve">(OTFD) </w:t>
      </w:r>
      <w:r w:rsidRPr="00034AD5">
        <w:rPr>
          <w:i/>
          <w:iCs/>
        </w:rPr>
        <w:t>framework previously discussed in the year 1 curriculum</w:t>
      </w:r>
      <w:r w:rsidRPr="00034AD5">
        <w:t xml:space="preserve">. </w:t>
      </w:r>
    </w:p>
    <w:p w14:paraId="0265B53F" w14:textId="77777777" w:rsidR="00034AD5" w:rsidRPr="00034AD5" w:rsidRDefault="00034AD5" w:rsidP="00034AD5"/>
    <w:p w14:paraId="7ABE5E0A" w14:textId="77777777" w:rsidR="00883366" w:rsidRDefault="00883366" w:rsidP="00516C60">
      <w:pPr>
        <w:rPr>
          <w:u w:val="single"/>
        </w:rPr>
      </w:pPr>
    </w:p>
    <w:p w14:paraId="79800FCD" w14:textId="47BE17D6" w:rsidR="0089595E" w:rsidRPr="00516C60" w:rsidRDefault="00034AD5" w:rsidP="00516C60">
      <w:pPr>
        <w:rPr>
          <w:u w:val="single"/>
        </w:rPr>
      </w:pPr>
      <w:r>
        <w:rPr>
          <w:u w:val="single"/>
        </w:rPr>
        <w:t>Re-Introduction of the “Open the Front Door” Framework</w:t>
      </w:r>
    </w:p>
    <w:p w14:paraId="2F1A0E3D" w14:textId="37D3B535" w:rsidR="00516C60" w:rsidRDefault="00516C60" w:rsidP="00516C60"/>
    <w:p w14:paraId="4FDB8486" w14:textId="0657C40E" w:rsidR="0069169D" w:rsidRDefault="0069169D" w:rsidP="00516C60">
      <w:r>
        <w:t xml:space="preserve">The simulation faculty in charge of the debrief session should </w:t>
      </w:r>
      <w:r w:rsidR="00834A88">
        <w:t xml:space="preserve">help the learners </w:t>
      </w:r>
      <w:r>
        <w:t>identify the microaggression from the simulated patient encounter.</w:t>
      </w:r>
    </w:p>
    <w:p w14:paraId="70090C19" w14:textId="26221212" w:rsidR="00834A88" w:rsidRDefault="00834A88" w:rsidP="00516C60"/>
    <w:p w14:paraId="1766BDC3" w14:textId="05C0D8AA" w:rsidR="00034AD5" w:rsidRDefault="00834A88" w:rsidP="00034AD5">
      <w:r>
        <w:t xml:space="preserve">Since the learners should be familiar with the “Open the Front Door” (OTFD) framework after completing the first year of the curriculum, the simulation faculty should prompt the learners to discuss this framework as a means to responding to the microaggression from the simulated patient encounter. </w:t>
      </w:r>
      <w:r w:rsidR="0069169D">
        <w:t xml:space="preserve">The simulation faculty should then </w:t>
      </w:r>
      <w:r w:rsidR="00034AD5">
        <w:t>re-introduce the OTFD framework (see below) and have each of the learners practice applying this framework to the microaggression from the simulated patient encounter.</w:t>
      </w:r>
    </w:p>
    <w:p w14:paraId="5D612E80" w14:textId="642F0526" w:rsidR="00516C60" w:rsidRDefault="00516C60" w:rsidP="00516C60"/>
    <w:p w14:paraId="7AE57B83" w14:textId="77777777" w:rsidR="00034AD5" w:rsidRDefault="00034AD5" w:rsidP="00516C60"/>
    <w:p w14:paraId="1CB678AC" w14:textId="17A4F72B" w:rsidR="00516C60" w:rsidRDefault="00034AD5" w:rsidP="00516C60">
      <w:pPr>
        <w:rPr>
          <w:u w:val="single"/>
        </w:rPr>
      </w:pPr>
      <w:r>
        <w:rPr>
          <w:u w:val="single"/>
        </w:rPr>
        <w:t>“Open the Front Door” (OTFD) Framework</w:t>
      </w:r>
    </w:p>
    <w:p w14:paraId="7805715B" w14:textId="77777777" w:rsidR="00872413" w:rsidRDefault="00872413" w:rsidP="00516C60"/>
    <w:p w14:paraId="3A6A2AEC" w14:textId="18338194" w:rsidR="00516C60" w:rsidRPr="00872413" w:rsidRDefault="00872413" w:rsidP="00CD1A1F">
      <w:pPr>
        <w:tabs>
          <w:tab w:val="left" w:pos="6087"/>
        </w:tabs>
        <w:rPr>
          <w:b/>
          <w:bCs/>
        </w:rPr>
      </w:pPr>
      <w:r w:rsidRPr="00872413">
        <w:rPr>
          <w:b/>
          <w:bCs/>
        </w:rPr>
        <w:t xml:space="preserve">OTFD: </w:t>
      </w:r>
      <w:r w:rsidR="00516C60" w:rsidRPr="00872413">
        <w:rPr>
          <w:b/>
          <w:bCs/>
        </w:rPr>
        <w:t>“Open the front door”</w:t>
      </w:r>
      <w:r w:rsidR="00CD1A1F">
        <w:rPr>
          <w:b/>
          <w:bCs/>
        </w:rPr>
        <w:tab/>
      </w:r>
    </w:p>
    <w:p w14:paraId="31A6380A" w14:textId="77777777" w:rsidR="00872413" w:rsidRDefault="00872413" w:rsidP="00516C60"/>
    <w:p w14:paraId="2265C663" w14:textId="336F37C1" w:rsidR="00872413" w:rsidRDefault="00872413" w:rsidP="00516C60">
      <w:r>
        <w:t>Principles:</w:t>
      </w:r>
    </w:p>
    <w:p w14:paraId="7A865E25" w14:textId="2CB121AD" w:rsidR="00516C60" w:rsidRDefault="00516C60" w:rsidP="00516C60">
      <w:r w:rsidRPr="00516C60">
        <w:rPr>
          <w:b/>
          <w:bCs/>
          <w:i/>
          <w:iCs/>
        </w:rPr>
        <w:t>O</w:t>
      </w:r>
      <w:r w:rsidRPr="00516C60">
        <w:rPr>
          <w:i/>
          <w:iCs/>
        </w:rPr>
        <w:t>bserve</w:t>
      </w:r>
      <w:r>
        <w:t>: concrete, factual, observable</w:t>
      </w:r>
    </w:p>
    <w:p w14:paraId="2517B10D" w14:textId="0BB5F83F" w:rsidR="00516C60" w:rsidRDefault="00516C60" w:rsidP="00516C60">
      <w:r w:rsidRPr="00516C60">
        <w:rPr>
          <w:b/>
          <w:bCs/>
          <w:i/>
          <w:iCs/>
        </w:rPr>
        <w:t>T</w:t>
      </w:r>
      <w:r w:rsidRPr="00516C60">
        <w:rPr>
          <w:i/>
          <w:iCs/>
        </w:rPr>
        <w:t>hink</w:t>
      </w:r>
      <w:r>
        <w:t>: thoughts based on observation</w:t>
      </w:r>
    </w:p>
    <w:p w14:paraId="20EC1C2F" w14:textId="6322A553" w:rsidR="00516C60" w:rsidRDefault="00516C60" w:rsidP="00516C60">
      <w:r w:rsidRPr="00516C60">
        <w:rPr>
          <w:b/>
          <w:bCs/>
          <w:i/>
          <w:iCs/>
        </w:rPr>
        <w:t>F</w:t>
      </w:r>
      <w:r w:rsidRPr="00516C60">
        <w:rPr>
          <w:i/>
          <w:iCs/>
        </w:rPr>
        <w:t>eel</w:t>
      </w:r>
      <w:r>
        <w:t>: emotions</w:t>
      </w:r>
    </w:p>
    <w:p w14:paraId="46EE3BDA" w14:textId="357883F4" w:rsidR="00516C60" w:rsidRDefault="00516C60" w:rsidP="00516C60">
      <w:r w:rsidRPr="00516C60">
        <w:rPr>
          <w:b/>
          <w:bCs/>
          <w:i/>
          <w:iCs/>
        </w:rPr>
        <w:t>D</w:t>
      </w:r>
      <w:r w:rsidRPr="00516C60">
        <w:rPr>
          <w:i/>
          <w:iCs/>
        </w:rPr>
        <w:t>esire</w:t>
      </w:r>
      <w:r>
        <w:t>: request or inquire about desired outcome</w:t>
      </w:r>
    </w:p>
    <w:p w14:paraId="6B6B061F" w14:textId="03D6D557" w:rsidR="00872413" w:rsidRDefault="00872413" w:rsidP="00516C60"/>
    <w:p w14:paraId="63C32AAB" w14:textId="4E25ACCC" w:rsidR="00872413" w:rsidRDefault="00872413" w:rsidP="00516C60">
      <w:r>
        <w:t>Example:</w:t>
      </w:r>
    </w:p>
    <w:p w14:paraId="10B7BAE7" w14:textId="053966B0" w:rsidR="00D904FA" w:rsidRDefault="00872413" w:rsidP="00D904FA">
      <w:r>
        <w:t>“I noticed that you interrupted me when I was talking to the patient [observation of microaggression], which made me think that you didn’t believe what I had to say was important [thoughts based on observation]. I am frustrated [emotion] by this and hope that we can listen to each other more moving forward [desired outcome].”</w:t>
      </w:r>
    </w:p>
    <w:p w14:paraId="062524B7" w14:textId="77777777" w:rsidR="00034AD5" w:rsidRDefault="00034AD5" w:rsidP="00D904FA"/>
    <w:p w14:paraId="16736437" w14:textId="230AF461" w:rsidR="00872413" w:rsidRDefault="00872413" w:rsidP="00516C60"/>
    <w:p w14:paraId="764DF16C" w14:textId="2733A151" w:rsidR="00C1252B" w:rsidRDefault="00C1252B" w:rsidP="00516C60"/>
    <w:p w14:paraId="02C05541" w14:textId="27935444" w:rsidR="00C1252B" w:rsidRDefault="00C1252B" w:rsidP="00516C60"/>
    <w:p w14:paraId="5A146A47" w14:textId="77777777" w:rsidR="00C1252B" w:rsidRDefault="00C1252B" w:rsidP="00516C60"/>
    <w:p w14:paraId="3035CCF1" w14:textId="45DA177F" w:rsidR="00034AD5" w:rsidRDefault="00034AD5" w:rsidP="00516C60">
      <w:pPr>
        <w:rPr>
          <w:u w:val="single"/>
        </w:rPr>
      </w:pPr>
      <w:r>
        <w:rPr>
          <w:u w:val="single"/>
        </w:rPr>
        <w:lastRenderedPageBreak/>
        <w:t>Additional Role Play Exercise</w:t>
      </w:r>
    </w:p>
    <w:p w14:paraId="5AC439FA" w14:textId="34F119AB" w:rsidR="00034AD5" w:rsidRDefault="00034AD5" w:rsidP="00516C60">
      <w:pPr>
        <w:rPr>
          <w:u w:val="single"/>
        </w:rPr>
      </w:pPr>
    </w:p>
    <w:p w14:paraId="2072738A" w14:textId="5422CDF5" w:rsidR="00034AD5" w:rsidRPr="00C1252B" w:rsidRDefault="00C1252B" w:rsidP="00516C60">
      <w:r>
        <w:t xml:space="preserve">The learners should have additional practice applying the OTFD framework to other microaggressions encountered in the clinical learning environment. The simulation faculty should have the group of learners participate in an open discussion about microaggressions they have encountered in the clinical learning environment. Each time a new microaggression is discussed, the faculty should have the learners each take turns formulating a response using the OTFD framework. </w:t>
      </w:r>
      <w:r w:rsidR="00FA484E">
        <w:t xml:space="preserve">Alternatively, the simulation faculty can use the list of microaggression examples provided in this guide to use for the role play exercise. </w:t>
      </w:r>
    </w:p>
    <w:p w14:paraId="0512A465" w14:textId="05401100" w:rsidR="00034AD5" w:rsidRDefault="00034AD5" w:rsidP="00516C60"/>
    <w:p w14:paraId="04FE5325" w14:textId="422A29B3" w:rsidR="00897C5F" w:rsidRDefault="00897C5F" w:rsidP="00897C5F">
      <w:pPr>
        <w:pStyle w:val="ListParagraph"/>
        <w:numPr>
          <w:ilvl w:val="0"/>
          <w:numId w:val="9"/>
        </w:numPr>
      </w:pPr>
      <w:r>
        <w:t>“You don’t talk like you’re black.”</w:t>
      </w:r>
    </w:p>
    <w:p w14:paraId="7EE8018D" w14:textId="06110493" w:rsidR="00897C5F" w:rsidRDefault="00897C5F" w:rsidP="00897C5F">
      <w:pPr>
        <w:pStyle w:val="ListParagraph"/>
        <w:numPr>
          <w:ilvl w:val="0"/>
          <w:numId w:val="9"/>
        </w:numPr>
      </w:pPr>
      <w:r>
        <w:t>“I’m not a racist. I have several black friends.”</w:t>
      </w:r>
    </w:p>
    <w:p w14:paraId="55E9201E" w14:textId="6B1C08D2" w:rsidR="00897C5F" w:rsidRDefault="00897C5F" w:rsidP="00897C5F">
      <w:pPr>
        <w:pStyle w:val="ListParagraph"/>
        <w:numPr>
          <w:ilvl w:val="0"/>
          <w:numId w:val="9"/>
        </w:numPr>
      </w:pPr>
      <w:r>
        <w:t>“When I look at you, I don’t see color.”</w:t>
      </w:r>
    </w:p>
    <w:p w14:paraId="02A78A05" w14:textId="3E5604D2" w:rsidR="00897C5F" w:rsidRDefault="00897C5F" w:rsidP="00897C5F">
      <w:pPr>
        <w:pStyle w:val="ListParagraph"/>
        <w:numPr>
          <w:ilvl w:val="0"/>
          <w:numId w:val="9"/>
        </w:numPr>
      </w:pPr>
      <w:r>
        <w:t xml:space="preserve">“You speak English really well,” to someone born and raised in the United States. </w:t>
      </w:r>
    </w:p>
    <w:p w14:paraId="0503C36F" w14:textId="7368F35D" w:rsidR="00897C5F" w:rsidRDefault="00897C5F" w:rsidP="00897C5F">
      <w:pPr>
        <w:pStyle w:val="ListParagraph"/>
        <w:numPr>
          <w:ilvl w:val="0"/>
          <w:numId w:val="9"/>
        </w:numPr>
      </w:pPr>
      <w:r>
        <w:t xml:space="preserve">“Nurse, can you get me a blanket?” to the female physician caring for the patient. </w:t>
      </w:r>
    </w:p>
    <w:p w14:paraId="1C4D2EE6" w14:textId="72B48DFA" w:rsidR="00897C5F" w:rsidRDefault="00897C5F" w:rsidP="00897C5F">
      <w:pPr>
        <w:pStyle w:val="ListParagraph"/>
        <w:numPr>
          <w:ilvl w:val="0"/>
          <w:numId w:val="9"/>
        </w:numPr>
      </w:pPr>
      <w:r>
        <w:t>“Women your age should be married and at home talking care of the kids.”</w:t>
      </w:r>
    </w:p>
    <w:p w14:paraId="114719B7" w14:textId="77777777" w:rsidR="00897C5F" w:rsidRDefault="00897C5F" w:rsidP="00897C5F">
      <w:pPr>
        <w:pStyle w:val="ListParagraph"/>
        <w:numPr>
          <w:ilvl w:val="0"/>
          <w:numId w:val="9"/>
        </w:numPr>
      </w:pPr>
      <w:r>
        <w:t>“You don’t talk like you’re gay.”</w:t>
      </w:r>
    </w:p>
    <w:p w14:paraId="6FB2328E" w14:textId="77777777" w:rsidR="00897C5F" w:rsidRDefault="00897C5F" w:rsidP="00897C5F">
      <w:pPr>
        <w:pStyle w:val="ListParagraph"/>
        <w:numPr>
          <w:ilvl w:val="0"/>
          <w:numId w:val="9"/>
        </w:numPr>
      </w:pPr>
      <w:r>
        <w:t>“You look too feminine to be a lesbian.”</w:t>
      </w:r>
    </w:p>
    <w:p w14:paraId="1CD6C5E3" w14:textId="668E984F" w:rsidR="00897C5F" w:rsidRDefault="00897C5F" w:rsidP="00897C5F">
      <w:pPr>
        <w:pStyle w:val="ListParagraph"/>
        <w:numPr>
          <w:ilvl w:val="0"/>
          <w:numId w:val="9"/>
        </w:numPr>
      </w:pPr>
      <w:r>
        <w:t>“You look too young to be a doctor.”</w:t>
      </w:r>
    </w:p>
    <w:p w14:paraId="0775F834" w14:textId="3D5542B5" w:rsidR="00897C5F" w:rsidRDefault="00897C5F" w:rsidP="00897C5F">
      <w:pPr>
        <w:pStyle w:val="ListParagraph"/>
        <w:numPr>
          <w:ilvl w:val="0"/>
          <w:numId w:val="9"/>
        </w:numPr>
      </w:pPr>
      <w:r>
        <w:t>“You don’t look like you can’t walk,” to a disabled person in a wheelchair.</w:t>
      </w:r>
    </w:p>
    <w:p w14:paraId="727F1B4C" w14:textId="77777777" w:rsidR="00897C5F" w:rsidRDefault="00897C5F" w:rsidP="00897C5F">
      <w:pPr>
        <w:pStyle w:val="ListParagraph"/>
      </w:pPr>
    </w:p>
    <w:p w14:paraId="12E6E178" w14:textId="77777777" w:rsidR="00034AD5" w:rsidRDefault="00034AD5" w:rsidP="00034AD5">
      <w:pPr>
        <w:rPr>
          <w:u w:val="single"/>
        </w:rPr>
      </w:pPr>
      <w:r>
        <w:rPr>
          <w:u w:val="single"/>
        </w:rPr>
        <w:t>Barriers &amp; Challenges in Responding to Microaggressions</w:t>
      </w:r>
    </w:p>
    <w:p w14:paraId="3E64792F" w14:textId="77777777" w:rsidR="00034AD5" w:rsidRDefault="00034AD5" w:rsidP="00034AD5">
      <w:pPr>
        <w:rPr>
          <w:u w:val="single"/>
        </w:rPr>
      </w:pPr>
    </w:p>
    <w:p w14:paraId="2F89E095" w14:textId="60C3D6FC" w:rsidR="00034AD5" w:rsidRPr="00834A88" w:rsidRDefault="00C1252B" w:rsidP="00034AD5">
      <w:r>
        <w:t>After practicing the OTFD framework, the</w:t>
      </w:r>
      <w:r w:rsidR="00034AD5">
        <w:t xml:space="preserve"> simulation faculty should prompt the learners to discuss </w:t>
      </w:r>
      <w:r>
        <w:t>challenges that they each have had in responding to microaggressions in the clinical learning environment</w:t>
      </w:r>
      <w:r w:rsidR="00484716">
        <w:t xml:space="preserve"> and openly discuss how the learners can overcome such challenges</w:t>
      </w:r>
      <w:r>
        <w:t xml:space="preserve">. Below are some of the potential barriers and challenges that are included in the pre-/post-survey taken by the learners. </w:t>
      </w:r>
    </w:p>
    <w:p w14:paraId="57798C2B" w14:textId="77777777" w:rsidR="00034AD5" w:rsidRDefault="00034AD5" w:rsidP="00034AD5">
      <w:pPr>
        <w:rPr>
          <w:u w:val="single"/>
        </w:rPr>
      </w:pPr>
    </w:p>
    <w:p w14:paraId="3E66CA1C" w14:textId="7FD14230" w:rsidR="00897C5F" w:rsidRDefault="00034AD5" w:rsidP="00897C5F">
      <w:pPr>
        <w:rPr>
          <w:b/>
          <w:bCs/>
        </w:rPr>
      </w:pPr>
      <w:r w:rsidRPr="00C1252B">
        <w:rPr>
          <w:b/>
          <w:bCs/>
        </w:rPr>
        <w:t>Potential Barriers &amp; Challenges:</w:t>
      </w:r>
    </w:p>
    <w:p w14:paraId="56B73CA7" w14:textId="77777777" w:rsidR="00034AD5" w:rsidRDefault="00034AD5" w:rsidP="00034AD5">
      <w:pPr>
        <w:pStyle w:val="ListParagraph"/>
        <w:numPr>
          <w:ilvl w:val="0"/>
          <w:numId w:val="7"/>
        </w:numPr>
      </w:pPr>
      <w:r>
        <w:t>Difficulty in recognizing that a microaggression has occurred</w:t>
      </w:r>
    </w:p>
    <w:p w14:paraId="4E9EAD2E" w14:textId="5E0CB421" w:rsidR="00034AD5" w:rsidRDefault="00034AD5" w:rsidP="00034AD5">
      <w:pPr>
        <w:pStyle w:val="ListParagraph"/>
        <w:numPr>
          <w:ilvl w:val="0"/>
          <w:numId w:val="7"/>
        </w:numPr>
      </w:pPr>
      <w:r>
        <w:t>Lack of familiarity with what to say or do</w:t>
      </w:r>
    </w:p>
    <w:p w14:paraId="28673021" w14:textId="746C1D73" w:rsidR="00897C5F" w:rsidRDefault="00897C5F" w:rsidP="00897C5F">
      <w:pPr>
        <w:pStyle w:val="ListParagraph"/>
        <w:numPr>
          <w:ilvl w:val="0"/>
          <w:numId w:val="7"/>
        </w:numPr>
      </w:pPr>
      <w:r>
        <w:t>Being unsure of its clinical significance</w:t>
      </w:r>
    </w:p>
    <w:p w14:paraId="3866A7BC" w14:textId="77777777" w:rsidR="00034AD5" w:rsidRDefault="00034AD5" w:rsidP="00034AD5">
      <w:pPr>
        <w:pStyle w:val="ListParagraph"/>
        <w:numPr>
          <w:ilvl w:val="0"/>
          <w:numId w:val="7"/>
        </w:numPr>
      </w:pPr>
      <w:r>
        <w:t>Lack of visible allies present to support the learner if the he or she speaks up</w:t>
      </w:r>
    </w:p>
    <w:p w14:paraId="553DB1F6" w14:textId="77777777" w:rsidR="00034AD5" w:rsidRDefault="00034AD5" w:rsidP="00034AD5">
      <w:pPr>
        <w:pStyle w:val="ListParagraph"/>
        <w:numPr>
          <w:ilvl w:val="0"/>
          <w:numId w:val="7"/>
        </w:numPr>
      </w:pPr>
      <w:r>
        <w:t>Lack of familiarity with support systems at the learner’s institution to address the issue</w:t>
      </w:r>
    </w:p>
    <w:p w14:paraId="0683CF09" w14:textId="5FB88E19" w:rsidR="00897C5F" w:rsidRDefault="00897C5F" w:rsidP="00897C5F">
      <w:pPr>
        <w:pStyle w:val="ListParagraph"/>
        <w:numPr>
          <w:ilvl w:val="0"/>
          <w:numId w:val="7"/>
        </w:numPr>
      </w:pPr>
      <w:r>
        <w:t>Fear of retribution</w:t>
      </w:r>
    </w:p>
    <w:p w14:paraId="4909C9D7" w14:textId="6ED2B399" w:rsidR="00897C5F" w:rsidRDefault="00897C5F" w:rsidP="00897C5F">
      <w:pPr>
        <w:rPr>
          <w:b/>
          <w:bCs/>
        </w:rPr>
      </w:pPr>
      <w:r>
        <w:rPr>
          <w:b/>
          <w:bCs/>
        </w:rPr>
        <w:t xml:space="preserve">Strategies for </w:t>
      </w:r>
      <w:r w:rsidRPr="00897C5F">
        <w:rPr>
          <w:b/>
          <w:bCs/>
        </w:rPr>
        <w:t>Overcoming Barriers</w:t>
      </w:r>
      <w:r>
        <w:rPr>
          <w:b/>
          <w:bCs/>
        </w:rPr>
        <w:t xml:space="preserve"> &amp; Challenges</w:t>
      </w:r>
      <w:r w:rsidRPr="00897C5F">
        <w:rPr>
          <w:b/>
          <w:bCs/>
        </w:rPr>
        <w:t>:</w:t>
      </w:r>
    </w:p>
    <w:p w14:paraId="50F55B85" w14:textId="77777777" w:rsidR="00897C5F" w:rsidRDefault="00897C5F" w:rsidP="007F2078">
      <w:pPr>
        <w:pStyle w:val="ListParagraph"/>
        <w:numPr>
          <w:ilvl w:val="0"/>
          <w:numId w:val="7"/>
        </w:numPr>
      </w:pPr>
      <w:r>
        <w:t xml:space="preserve">Participation in this curriculum will provide education on how to recognize and respond to microaggressions </w:t>
      </w:r>
    </w:p>
    <w:p w14:paraId="5F4E0737" w14:textId="65141C96" w:rsidR="00897C5F" w:rsidRDefault="00897C5F" w:rsidP="007F2078">
      <w:pPr>
        <w:pStyle w:val="ListParagraph"/>
        <w:numPr>
          <w:ilvl w:val="0"/>
          <w:numId w:val="7"/>
        </w:numPr>
      </w:pPr>
      <w:r>
        <w:t xml:space="preserve">Allies and support systems are institutional dependent. We have several allies at our institution including residency leadership/program directors, chief residents, our department chair and the office of diversity, equity and inclusion. </w:t>
      </w:r>
    </w:p>
    <w:p w14:paraId="557D61DA" w14:textId="6E82CA7B" w:rsidR="00897C5F" w:rsidRDefault="00897C5F" w:rsidP="007F2078">
      <w:pPr>
        <w:pStyle w:val="ListParagraph"/>
        <w:numPr>
          <w:ilvl w:val="0"/>
          <w:numId w:val="7"/>
        </w:numPr>
      </w:pPr>
      <w:r>
        <w:t xml:space="preserve">Our institution also has electronic mistreatment incident reporting that is easy to access. </w:t>
      </w:r>
    </w:p>
    <w:p w14:paraId="00B23331" w14:textId="7FD8FA9B" w:rsidR="007A08D7" w:rsidRDefault="00897C5F" w:rsidP="0080694A">
      <w:pPr>
        <w:pStyle w:val="ListParagraph"/>
        <w:numPr>
          <w:ilvl w:val="0"/>
          <w:numId w:val="7"/>
        </w:numPr>
      </w:pPr>
      <w:r>
        <w:lastRenderedPageBreak/>
        <w:t xml:space="preserve">To overcome fear of retribution, we recommend finding institutional support systems such as human resources, ethics committees, etc. that can spread awareness on policies that protect employees. </w:t>
      </w:r>
    </w:p>
    <w:p w14:paraId="18BAB53D" w14:textId="77777777" w:rsidR="007A08D7" w:rsidRPr="007A08D7" w:rsidRDefault="007A08D7" w:rsidP="00516C60"/>
    <w:p w14:paraId="7A0D3543" w14:textId="343CDCB4" w:rsidR="00872413" w:rsidRPr="009C1E9C" w:rsidRDefault="00872413" w:rsidP="00516C60">
      <w:pPr>
        <w:rPr>
          <w:sz w:val="20"/>
          <w:szCs w:val="20"/>
          <w:u w:val="single"/>
        </w:rPr>
      </w:pPr>
      <w:r w:rsidRPr="009C1E9C">
        <w:rPr>
          <w:sz w:val="20"/>
          <w:szCs w:val="20"/>
          <w:u w:val="single"/>
        </w:rPr>
        <w:t>Resources</w:t>
      </w:r>
    </w:p>
    <w:p w14:paraId="6A0AD5B4" w14:textId="77777777" w:rsidR="00EB6B1F" w:rsidRPr="009C1E9C" w:rsidRDefault="00EB6B1F" w:rsidP="00EB6B1F">
      <w:pPr>
        <w:rPr>
          <w:rFonts w:eastAsia="Times New Roman" w:cstheme="minorHAnsi"/>
          <w:sz w:val="20"/>
          <w:szCs w:val="20"/>
          <w:shd w:val="clear" w:color="auto" w:fill="FFFFFF"/>
        </w:rPr>
      </w:pPr>
    </w:p>
    <w:p w14:paraId="51CB8804" w14:textId="77777777" w:rsidR="00834A88" w:rsidRPr="009C1E9C" w:rsidRDefault="00834A88" w:rsidP="00834A88">
      <w:pPr>
        <w:rPr>
          <w:sz w:val="20"/>
          <w:szCs w:val="20"/>
        </w:rPr>
      </w:pPr>
      <w:r w:rsidRPr="009C1E9C">
        <w:rPr>
          <w:sz w:val="20"/>
          <w:szCs w:val="20"/>
        </w:rPr>
        <w:t xml:space="preserve">Sandoval RS, Afolabi T, Said J, Dunleavy S, Chatterjee A, </w:t>
      </w:r>
      <w:proofErr w:type="spellStart"/>
      <w:r w:rsidRPr="009C1E9C">
        <w:rPr>
          <w:sz w:val="20"/>
          <w:szCs w:val="20"/>
        </w:rPr>
        <w:t>Ölveczky</w:t>
      </w:r>
      <w:proofErr w:type="spellEnd"/>
      <w:r w:rsidRPr="009C1E9C">
        <w:rPr>
          <w:sz w:val="20"/>
          <w:szCs w:val="20"/>
        </w:rPr>
        <w:t xml:space="preserve"> D. Building a Tool Kit for Medical and Dental Students: Addressing Microaggressions and Discrimination on the Wards. </w:t>
      </w:r>
      <w:proofErr w:type="spellStart"/>
      <w:r w:rsidRPr="009C1E9C">
        <w:rPr>
          <w:sz w:val="20"/>
          <w:szCs w:val="20"/>
        </w:rPr>
        <w:t>MedEdPORTAL</w:t>
      </w:r>
      <w:proofErr w:type="spellEnd"/>
      <w:r w:rsidRPr="009C1E9C">
        <w:rPr>
          <w:sz w:val="20"/>
          <w:szCs w:val="20"/>
        </w:rPr>
        <w:t xml:space="preserve">. 2020 Apr 3;16:10893. </w:t>
      </w:r>
      <w:proofErr w:type="spellStart"/>
      <w:r w:rsidRPr="009C1E9C">
        <w:rPr>
          <w:sz w:val="20"/>
          <w:szCs w:val="20"/>
        </w:rPr>
        <w:t>doi</w:t>
      </w:r>
      <w:proofErr w:type="spellEnd"/>
      <w:r w:rsidRPr="009C1E9C">
        <w:rPr>
          <w:sz w:val="20"/>
          <w:szCs w:val="20"/>
        </w:rPr>
        <w:t>: 10.15766/mep_2374-8265.10893. PMID: 32352030; PMCID: PMC7187912.</w:t>
      </w:r>
    </w:p>
    <w:p w14:paraId="55E51E62" w14:textId="77777777" w:rsidR="00834A88" w:rsidRPr="009C1E9C" w:rsidRDefault="00834A88" w:rsidP="00EB6B1F">
      <w:pPr>
        <w:rPr>
          <w:rFonts w:eastAsia="Times New Roman" w:cstheme="minorHAnsi"/>
          <w:sz w:val="20"/>
          <w:szCs w:val="20"/>
          <w:shd w:val="clear" w:color="auto" w:fill="FFFFFF"/>
        </w:rPr>
      </w:pPr>
    </w:p>
    <w:p w14:paraId="1DEBA6F5" w14:textId="59E8DFF8" w:rsidR="00872413" w:rsidRPr="009C1E9C" w:rsidRDefault="00EB6B1F" w:rsidP="00EB6B1F">
      <w:pPr>
        <w:rPr>
          <w:rFonts w:eastAsia="Times New Roman" w:cstheme="minorHAnsi"/>
          <w:sz w:val="20"/>
          <w:szCs w:val="20"/>
        </w:rPr>
      </w:pPr>
      <w:r w:rsidRPr="009C1E9C">
        <w:rPr>
          <w:rFonts w:eastAsia="Times New Roman" w:cstheme="minorHAnsi"/>
          <w:sz w:val="20"/>
          <w:szCs w:val="20"/>
          <w:shd w:val="clear" w:color="auto" w:fill="FFFFFF"/>
        </w:rPr>
        <w:t>Pierce C. </w:t>
      </w:r>
      <w:r w:rsidRPr="009C1E9C">
        <w:rPr>
          <w:rFonts w:eastAsia="Times New Roman" w:cstheme="minorHAnsi"/>
          <w:sz w:val="20"/>
          <w:szCs w:val="20"/>
        </w:rPr>
        <w:t>Psychiatric problems of the black minority. Vol. American Handbook of Psychiatry</w:t>
      </w:r>
      <w:r w:rsidRPr="009C1E9C">
        <w:rPr>
          <w:rFonts w:eastAsia="Times New Roman" w:cstheme="minorHAnsi"/>
          <w:sz w:val="20"/>
          <w:szCs w:val="20"/>
          <w:shd w:val="clear" w:color="auto" w:fill="FFFFFF"/>
        </w:rPr>
        <w:t>. 1974; New York: Basic Books, 512–523.</w:t>
      </w:r>
    </w:p>
    <w:p w14:paraId="1C8B93E8" w14:textId="77777777" w:rsidR="00EB6B1F" w:rsidRPr="009C1E9C" w:rsidRDefault="00EB6B1F" w:rsidP="00516C60">
      <w:pPr>
        <w:rPr>
          <w:sz w:val="20"/>
          <w:szCs w:val="20"/>
          <w:u w:val="single"/>
        </w:rPr>
      </w:pPr>
    </w:p>
    <w:p w14:paraId="0F3FA5FF" w14:textId="423F640F" w:rsidR="00EB6B1F" w:rsidRPr="009C1E9C" w:rsidRDefault="00EB6B1F" w:rsidP="00EB6B1F">
      <w:pPr>
        <w:rPr>
          <w:rFonts w:eastAsia="Times New Roman" w:cstheme="minorHAnsi"/>
          <w:sz w:val="20"/>
          <w:szCs w:val="20"/>
          <w:shd w:val="clear" w:color="auto" w:fill="FFFFFF"/>
        </w:rPr>
      </w:pPr>
      <w:r w:rsidRPr="009C1E9C">
        <w:rPr>
          <w:rFonts w:eastAsia="Times New Roman" w:cstheme="minorHAnsi"/>
          <w:sz w:val="20"/>
          <w:szCs w:val="20"/>
          <w:shd w:val="clear" w:color="auto" w:fill="FFFFFF"/>
        </w:rPr>
        <w:t xml:space="preserve">Sue DW, </w:t>
      </w:r>
      <w:proofErr w:type="spellStart"/>
      <w:r w:rsidRPr="009C1E9C">
        <w:rPr>
          <w:rFonts w:eastAsia="Times New Roman" w:cstheme="minorHAnsi"/>
          <w:sz w:val="20"/>
          <w:szCs w:val="20"/>
          <w:shd w:val="clear" w:color="auto" w:fill="FFFFFF"/>
        </w:rPr>
        <w:t>Capodilupo</w:t>
      </w:r>
      <w:proofErr w:type="spellEnd"/>
      <w:r w:rsidRPr="009C1E9C">
        <w:rPr>
          <w:rFonts w:eastAsia="Times New Roman" w:cstheme="minorHAnsi"/>
          <w:sz w:val="20"/>
          <w:szCs w:val="20"/>
          <w:shd w:val="clear" w:color="auto" w:fill="FFFFFF"/>
        </w:rPr>
        <w:t xml:space="preserve"> CM, Torino GC, </w:t>
      </w:r>
      <w:proofErr w:type="spellStart"/>
      <w:r w:rsidRPr="009C1E9C">
        <w:rPr>
          <w:rFonts w:eastAsia="Times New Roman" w:cstheme="minorHAnsi"/>
          <w:sz w:val="20"/>
          <w:szCs w:val="20"/>
          <w:shd w:val="clear" w:color="auto" w:fill="FFFFFF"/>
        </w:rPr>
        <w:t>Bucceri</w:t>
      </w:r>
      <w:proofErr w:type="spellEnd"/>
      <w:r w:rsidRPr="009C1E9C">
        <w:rPr>
          <w:rFonts w:eastAsia="Times New Roman" w:cstheme="minorHAnsi"/>
          <w:sz w:val="20"/>
          <w:szCs w:val="20"/>
          <w:shd w:val="clear" w:color="auto" w:fill="FFFFFF"/>
        </w:rPr>
        <w:t xml:space="preserve"> JM, Holder AM, Nadal KL, </w:t>
      </w:r>
      <w:proofErr w:type="spellStart"/>
      <w:r w:rsidRPr="009C1E9C">
        <w:rPr>
          <w:rFonts w:eastAsia="Times New Roman" w:cstheme="minorHAnsi"/>
          <w:sz w:val="20"/>
          <w:szCs w:val="20"/>
          <w:shd w:val="clear" w:color="auto" w:fill="FFFFFF"/>
        </w:rPr>
        <w:t>Esquilin</w:t>
      </w:r>
      <w:proofErr w:type="spellEnd"/>
      <w:r w:rsidRPr="009C1E9C">
        <w:rPr>
          <w:rFonts w:eastAsia="Times New Roman" w:cstheme="minorHAnsi"/>
          <w:sz w:val="20"/>
          <w:szCs w:val="20"/>
          <w:shd w:val="clear" w:color="auto" w:fill="FFFFFF"/>
        </w:rPr>
        <w:t xml:space="preserve"> M. Racial microaggressions in everyday life: implications for clinical practice. Am Psychol. 2007 May-Jun;62(4):271-86. </w:t>
      </w:r>
      <w:proofErr w:type="spellStart"/>
      <w:r w:rsidRPr="009C1E9C">
        <w:rPr>
          <w:rFonts w:eastAsia="Times New Roman" w:cstheme="minorHAnsi"/>
          <w:sz w:val="20"/>
          <w:szCs w:val="20"/>
          <w:shd w:val="clear" w:color="auto" w:fill="FFFFFF"/>
        </w:rPr>
        <w:t>doi</w:t>
      </w:r>
      <w:proofErr w:type="spellEnd"/>
      <w:r w:rsidRPr="009C1E9C">
        <w:rPr>
          <w:rFonts w:eastAsia="Times New Roman" w:cstheme="minorHAnsi"/>
          <w:sz w:val="20"/>
          <w:szCs w:val="20"/>
          <w:shd w:val="clear" w:color="auto" w:fill="FFFFFF"/>
        </w:rPr>
        <w:t>: 10.1037/0003-066X.62.4.271. PMID: 17516773.</w:t>
      </w:r>
    </w:p>
    <w:p w14:paraId="14EE5B3C" w14:textId="172EC0BA" w:rsidR="00D46FEF" w:rsidRPr="009C1E9C" w:rsidRDefault="00D46FEF" w:rsidP="00EB6B1F">
      <w:pPr>
        <w:rPr>
          <w:rFonts w:eastAsia="Times New Roman" w:cstheme="minorHAnsi"/>
          <w:sz w:val="20"/>
          <w:szCs w:val="20"/>
          <w:shd w:val="clear" w:color="auto" w:fill="FFFFFF"/>
        </w:rPr>
      </w:pPr>
    </w:p>
    <w:p w14:paraId="77A44E53" w14:textId="140F625F" w:rsidR="00D46FEF" w:rsidRPr="009C1E9C" w:rsidRDefault="00D46FEF" w:rsidP="00D46FEF">
      <w:pPr>
        <w:rPr>
          <w:rFonts w:eastAsia="Times New Roman" w:cstheme="minorHAnsi"/>
          <w:sz w:val="20"/>
          <w:szCs w:val="20"/>
          <w:shd w:val="clear" w:color="auto" w:fill="FFFFFF"/>
        </w:rPr>
      </w:pPr>
      <w:r w:rsidRPr="009C1E9C">
        <w:rPr>
          <w:rFonts w:eastAsia="Times New Roman" w:cstheme="minorHAnsi"/>
          <w:sz w:val="20"/>
          <w:szCs w:val="20"/>
          <w:shd w:val="clear" w:color="auto" w:fill="FFFFFF"/>
        </w:rPr>
        <w:t xml:space="preserve">Sue DW, </w:t>
      </w:r>
      <w:proofErr w:type="spellStart"/>
      <w:r w:rsidRPr="009C1E9C">
        <w:rPr>
          <w:rFonts w:eastAsia="Times New Roman" w:cstheme="minorHAnsi"/>
          <w:sz w:val="20"/>
          <w:szCs w:val="20"/>
          <w:shd w:val="clear" w:color="auto" w:fill="FFFFFF"/>
        </w:rPr>
        <w:t>Alsaidi</w:t>
      </w:r>
      <w:proofErr w:type="spellEnd"/>
      <w:r w:rsidRPr="009C1E9C">
        <w:rPr>
          <w:rFonts w:eastAsia="Times New Roman" w:cstheme="minorHAnsi"/>
          <w:sz w:val="20"/>
          <w:szCs w:val="20"/>
          <w:shd w:val="clear" w:color="auto" w:fill="FFFFFF"/>
        </w:rPr>
        <w:t xml:space="preserve"> S, </w:t>
      </w:r>
      <w:proofErr w:type="spellStart"/>
      <w:r w:rsidRPr="009C1E9C">
        <w:rPr>
          <w:rFonts w:eastAsia="Times New Roman" w:cstheme="minorHAnsi"/>
          <w:sz w:val="20"/>
          <w:szCs w:val="20"/>
          <w:shd w:val="clear" w:color="auto" w:fill="FFFFFF"/>
        </w:rPr>
        <w:t>Awad</w:t>
      </w:r>
      <w:proofErr w:type="spellEnd"/>
      <w:r w:rsidRPr="009C1E9C">
        <w:rPr>
          <w:rFonts w:eastAsia="Times New Roman" w:cstheme="minorHAnsi"/>
          <w:sz w:val="20"/>
          <w:szCs w:val="20"/>
          <w:shd w:val="clear" w:color="auto" w:fill="FFFFFF"/>
        </w:rPr>
        <w:t xml:space="preserve"> MN, </w:t>
      </w:r>
      <w:proofErr w:type="spellStart"/>
      <w:r w:rsidRPr="009C1E9C">
        <w:rPr>
          <w:rFonts w:eastAsia="Times New Roman" w:cstheme="minorHAnsi"/>
          <w:sz w:val="20"/>
          <w:szCs w:val="20"/>
          <w:shd w:val="clear" w:color="auto" w:fill="FFFFFF"/>
        </w:rPr>
        <w:t>Glaeser</w:t>
      </w:r>
      <w:proofErr w:type="spellEnd"/>
      <w:r w:rsidRPr="009C1E9C">
        <w:rPr>
          <w:rFonts w:eastAsia="Times New Roman" w:cstheme="minorHAnsi"/>
          <w:sz w:val="20"/>
          <w:szCs w:val="20"/>
          <w:shd w:val="clear" w:color="auto" w:fill="FFFFFF"/>
        </w:rPr>
        <w:t xml:space="preserve"> E, Calle CZ, Mendez N. Disarming racial microaggressions: </w:t>
      </w:r>
      <w:proofErr w:type="spellStart"/>
      <w:r w:rsidRPr="009C1E9C">
        <w:rPr>
          <w:rFonts w:eastAsia="Times New Roman" w:cstheme="minorHAnsi"/>
          <w:sz w:val="20"/>
          <w:szCs w:val="20"/>
          <w:shd w:val="clear" w:color="auto" w:fill="FFFFFF"/>
        </w:rPr>
        <w:t>Microintervention</w:t>
      </w:r>
      <w:proofErr w:type="spellEnd"/>
      <w:r w:rsidRPr="009C1E9C">
        <w:rPr>
          <w:rFonts w:eastAsia="Times New Roman" w:cstheme="minorHAnsi"/>
          <w:sz w:val="20"/>
          <w:szCs w:val="20"/>
          <w:shd w:val="clear" w:color="auto" w:fill="FFFFFF"/>
        </w:rPr>
        <w:t xml:space="preserve"> strategies for targets, White allies, and bystanders. Am Psychol. 2019 Jan;74(1):128-142. </w:t>
      </w:r>
      <w:proofErr w:type="spellStart"/>
      <w:r w:rsidRPr="009C1E9C">
        <w:rPr>
          <w:rFonts w:eastAsia="Times New Roman" w:cstheme="minorHAnsi"/>
          <w:sz w:val="20"/>
          <w:szCs w:val="20"/>
          <w:shd w:val="clear" w:color="auto" w:fill="FFFFFF"/>
        </w:rPr>
        <w:t>doi</w:t>
      </w:r>
      <w:proofErr w:type="spellEnd"/>
      <w:r w:rsidRPr="009C1E9C">
        <w:rPr>
          <w:rFonts w:eastAsia="Times New Roman" w:cstheme="minorHAnsi"/>
          <w:sz w:val="20"/>
          <w:szCs w:val="20"/>
          <w:shd w:val="clear" w:color="auto" w:fill="FFFFFF"/>
        </w:rPr>
        <w:t>: 10.1037/amp0000296. PMID: 30652905.</w:t>
      </w:r>
    </w:p>
    <w:p w14:paraId="2D3D856B" w14:textId="2C342879" w:rsidR="00A26CCC" w:rsidRPr="009C1E9C" w:rsidRDefault="00A26CCC" w:rsidP="00D46FEF">
      <w:pPr>
        <w:rPr>
          <w:rFonts w:eastAsia="Times New Roman" w:cstheme="minorHAnsi"/>
          <w:sz w:val="20"/>
          <w:szCs w:val="20"/>
          <w:shd w:val="clear" w:color="auto" w:fill="FFFFFF"/>
        </w:rPr>
      </w:pPr>
    </w:p>
    <w:p w14:paraId="68017230" w14:textId="04583437" w:rsidR="00A26CCC" w:rsidRPr="009C1E9C" w:rsidRDefault="00A26CCC" w:rsidP="00A26CCC">
      <w:pPr>
        <w:rPr>
          <w:rFonts w:eastAsia="Times New Roman" w:cstheme="minorHAnsi"/>
          <w:sz w:val="20"/>
          <w:szCs w:val="20"/>
        </w:rPr>
      </w:pPr>
      <w:proofErr w:type="spellStart"/>
      <w:r w:rsidRPr="009C1E9C">
        <w:rPr>
          <w:rFonts w:eastAsia="Times New Roman" w:cstheme="minorHAnsi"/>
          <w:sz w:val="20"/>
          <w:szCs w:val="20"/>
          <w:shd w:val="clear" w:color="auto" w:fill="FFFFFF"/>
        </w:rPr>
        <w:t>Ehie</w:t>
      </w:r>
      <w:proofErr w:type="spellEnd"/>
      <w:r w:rsidRPr="009C1E9C">
        <w:rPr>
          <w:rFonts w:eastAsia="Times New Roman" w:cstheme="minorHAnsi"/>
          <w:sz w:val="20"/>
          <w:szCs w:val="20"/>
          <w:shd w:val="clear" w:color="auto" w:fill="FFFFFF"/>
        </w:rPr>
        <w:t xml:space="preserve"> O, Muse I, Hill L, Bastien A. Professionalism: microaggression in the healthcare setting. </w:t>
      </w:r>
      <w:proofErr w:type="spellStart"/>
      <w:r w:rsidRPr="009C1E9C">
        <w:rPr>
          <w:rFonts w:eastAsia="Times New Roman" w:cstheme="minorHAnsi"/>
          <w:sz w:val="20"/>
          <w:szCs w:val="20"/>
          <w:shd w:val="clear" w:color="auto" w:fill="FFFFFF"/>
        </w:rPr>
        <w:t>Curr</w:t>
      </w:r>
      <w:proofErr w:type="spellEnd"/>
      <w:r w:rsidRPr="009C1E9C">
        <w:rPr>
          <w:rFonts w:eastAsia="Times New Roman" w:cstheme="minorHAnsi"/>
          <w:sz w:val="20"/>
          <w:szCs w:val="20"/>
          <w:shd w:val="clear" w:color="auto" w:fill="FFFFFF"/>
        </w:rPr>
        <w:t xml:space="preserve"> </w:t>
      </w:r>
      <w:proofErr w:type="spellStart"/>
      <w:r w:rsidRPr="009C1E9C">
        <w:rPr>
          <w:rFonts w:eastAsia="Times New Roman" w:cstheme="minorHAnsi"/>
          <w:sz w:val="20"/>
          <w:szCs w:val="20"/>
          <w:shd w:val="clear" w:color="auto" w:fill="FFFFFF"/>
        </w:rPr>
        <w:t>Opin</w:t>
      </w:r>
      <w:proofErr w:type="spellEnd"/>
      <w:r w:rsidRPr="009C1E9C">
        <w:rPr>
          <w:rFonts w:eastAsia="Times New Roman" w:cstheme="minorHAnsi"/>
          <w:sz w:val="20"/>
          <w:szCs w:val="20"/>
          <w:shd w:val="clear" w:color="auto" w:fill="FFFFFF"/>
        </w:rPr>
        <w:t xml:space="preserve"> </w:t>
      </w:r>
      <w:proofErr w:type="spellStart"/>
      <w:r w:rsidRPr="009C1E9C">
        <w:rPr>
          <w:rFonts w:eastAsia="Times New Roman" w:cstheme="minorHAnsi"/>
          <w:sz w:val="20"/>
          <w:szCs w:val="20"/>
          <w:shd w:val="clear" w:color="auto" w:fill="FFFFFF"/>
        </w:rPr>
        <w:t>Anaesthesiol</w:t>
      </w:r>
      <w:proofErr w:type="spellEnd"/>
      <w:r w:rsidRPr="009C1E9C">
        <w:rPr>
          <w:rFonts w:eastAsia="Times New Roman" w:cstheme="minorHAnsi"/>
          <w:sz w:val="20"/>
          <w:szCs w:val="20"/>
          <w:shd w:val="clear" w:color="auto" w:fill="FFFFFF"/>
        </w:rPr>
        <w:t xml:space="preserve">. 2021 Apr 1;34(2):131-136. </w:t>
      </w:r>
      <w:proofErr w:type="spellStart"/>
      <w:r w:rsidRPr="009C1E9C">
        <w:rPr>
          <w:rFonts w:eastAsia="Times New Roman" w:cstheme="minorHAnsi"/>
          <w:sz w:val="20"/>
          <w:szCs w:val="20"/>
          <w:shd w:val="clear" w:color="auto" w:fill="FFFFFF"/>
        </w:rPr>
        <w:t>doi</w:t>
      </w:r>
      <w:proofErr w:type="spellEnd"/>
      <w:r w:rsidRPr="009C1E9C">
        <w:rPr>
          <w:rFonts w:eastAsia="Times New Roman" w:cstheme="minorHAnsi"/>
          <w:sz w:val="20"/>
          <w:szCs w:val="20"/>
          <w:shd w:val="clear" w:color="auto" w:fill="FFFFFF"/>
        </w:rPr>
        <w:t>: 10.1097/ACO.0000000000000966. PMID: 33630771; PMCID: PMC7984763.</w:t>
      </w:r>
    </w:p>
    <w:p w14:paraId="38955C7E" w14:textId="77777777" w:rsidR="00EB6B1F" w:rsidRPr="009C1E9C" w:rsidRDefault="00EB6B1F" w:rsidP="00EB6B1F">
      <w:pPr>
        <w:rPr>
          <w:rFonts w:eastAsia="Times New Roman" w:cstheme="minorHAnsi"/>
          <w:sz w:val="20"/>
          <w:szCs w:val="20"/>
        </w:rPr>
      </w:pPr>
    </w:p>
    <w:p w14:paraId="16B4C827" w14:textId="441FCB55" w:rsidR="00872413" w:rsidRPr="009C1E9C" w:rsidRDefault="00872413" w:rsidP="0DA6A0FE">
      <w:pPr>
        <w:rPr>
          <w:rFonts w:eastAsia="Times New Roman"/>
          <w:sz w:val="20"/>
          <w:szCs w:val="20"/>
          <w:shd w:val="clear" w:color="auto" w:fill="FFFFFF"/>
        </w:rPr>
      </w:pPr>
      <w:r w:rsidRPr="009C1E9C">
        <w:rPr>
          <w:rFonts w:eastAsia="Times New Roman"/>
          <w:sz w:val="20"/>
          <w:szCs w:val="20"/>
          <w:shd w:val="clear" w:color="auto" w:fill="FFFFFF"/>
        </w:rPr>
        <w:t xml:space="preserve">Molina MF, Landry AI, Chary AN, Burnett-Bowie SM. Addressing the Elephant in the Room: Microaggressions in Medicine. Ann </w:t>
      </w:r>
      <w:proofErr w:type="spellStart"/>
      <w:r w:rsidRPr="009C1E9C">
        <w:rPr>
          <w:rFonts w:eastAsia="Times New Roman"/>
          <w:sz w:val="20"/>
          <w:szCs w:val="20"/>
          <w:shd w:val="clear" w:color="auto" w:fill="FFFFFF"/>
        </w:rPr>
        <w:t>Emerg</w:t>
      </w:r>
      <w:proofErr w:type="spellEnd"/>
      <w:r w:rsidRPr="009C1E9C">
        <w:rPr>
          <w:rFonts w:eastAsia="Times New Roman"/>
          <w:sz w:val="20"/>
          <w:szCs w:val="20"/>
          <w:shd w:val="clear" w:color="auto" w:fill="FFFFFF"/>
        </w:rPr>
        <w:t xml:space="preserve"> Med. 2020 Oct;76(4):387-391. </w:t>
      </w:r>
      <w:proofErr w:type="spellStart"/>
      <w:r w:rsidRPr="009C1E9C">
        <w:rPr>
          <w:rFonts w:eastAsia="Times New Roman"/>
          <w:sz w:val="20"/>
          <w:szCs w:val="20"/>
          <w:shd w:val="clear" w:color="auto" w:fill="FFFFFF"/>
        </w:rPr>
        <w:t>doi</w:t>
      </w:r>
      <w:proofErr w:type="spellEnd"/>
      <w:r w:rsidRPr="009C1E9C">
        <w:rPr>
          <w:rFonts w:eastAsia="Times New Roman"/>
          <w:sz w:val="20"/>
          <w:szCs w:val="20"/>
          <w:shd w:val="clear" w:color="auto" w:fill="FFFFFF"/>
        </w:rPr>
        <w:t xml:space="preserve">: 10.1016/j.annemergmed.2020.04.009. </w:t>
      </w:r>
      <w:proofErr w:type="spellStart"/>
      <w:r w:rsidRPr="009C1E9C">
        <w:rPr>
          <w:rFonts w:eastAsia="Times New Roman"/>
          <w:sz w:val="20"/>
          <w:szCs w:val="20"/>
          <w:shd w:val="clear" w:color="auto" w:fill="FFFFFF"/>
        </w:rPr>
        <w:t>Epub</w:t>
      </w:r>
      <w:proofErr w:type="spellEnd"/>
      <w:r w:rsidRPr="009C1E9C">
        <w:rPr>
          <w:rFonts w:eastAsia="Times New Roman"/>
          <w:sz w:val="20"/>
          <w:szCs w:val="20"/>
          <w:shd w:val="clear" w:color="auto" w:fill="FFFFFF"/>
        </w:rPr>
        <w:t xml:space="preserve"> 2020 May 23. PMID: 32456801.</w:t>
      </w:r>
    </w:p>
    <w:p w14:paraId="7F0F1341" w14:textId="2EB21D10" w:rsidR="0DA6A0FE" w:rsidRPr="009C1E9C" w:rsidRDefault="0DA6A0FE" w:rsidP="0DA6A0FE">
      <w:pPr>
        <w:rPr>
          <w:rFonts w:eastAsia="Times New Roman"/>
          <w:sz w:val="20"/>
          <w:szCs w:val="20"/>
        </w:rPr>
      </w:pPr>
    </w:p>
    <w:p w14:paraId="514CB01F" w14:textId="4CC23317" w:rsidR="00834A88" w:rsidRPr="009C1E9C" w:rsidRDefault="149D7B0E" w:rsidP="00834A88">
      <w:pPr>
        <w:spacing w:after="160"/>
        <w:rPr>
          <w:sz w:val="20"/>
          <w:szCs w:val="20"/>
        </w:rPr>
      </w:pPr>
      <w:r w:rsidRPr="009C1E9C">
        <w:rPr>
          <w:sz w:val="20"/>
          <w:szCs w:val="20"/>
        </w:rPr>
        <w:t>Torres MB, Salles A, Cochran A. Recognizing and Reacting to Microaggressions in Medicine and Surgery. </w:t>
      </w:r>
      <w:r w:rsidRPr="009C1E9C">
        <w:rPr>
          <w:i/>
          <w:iCs/>
          <w:sz w:val="20"/>
          <w:szCs w:val="20"/>
        </w:rPr>
        <w:t>JAMA Surg.</w:t>
      </w:r>
      <w:r w:rsidRPr="009C1E9C">
        <w:rPr>
          <w:sz w:val="20"/>
          <w:szCs w:val="20"/>
        </w:rPr>
        <w:t> 2019;154(9):868–872. doi:10.1001/jamasurg.2019.1648</w:t>
      </w:r>
    </w:p>
    <w:p w14:paraId="512EDDAF" w14:textId="390847F7" w:rsidR="009C1E9C" w:rsidRPr="009C1E9C" w:rsidRDefault="009C1E9C" w:rsidP="009C1E9C">
      <w:pPr>
        <w:rPr>
          <w:rFonts w:cstheme="minorHAnsi"/>
          <w:sz w:val="20"/>
          <w:szCs w:val="20"/>
        </w:rPr>
      </w:pPr>
      <w:r w:rsidRPr="009C1E9C">
        <w:rPr>
          <w:rFonts w:cstheme="minorHAnsi"/>
          <w:sz w:val="20"/>
          <w:szCs w:val="20"/>
        </w:rPr>
        <w:t xml:space="preserve">Souza TJ. Managing Hot Moments in the Classroom: Concrete Strategies for Cooling Down Tension. Faculty Focus Special Report: Diversity and Inclusion in the College Classroom. Magna Publication. 2016. </w:t>
      </w:r>
    </w:p>
    <w:p w14:paraId="0DBDA02F" w14:textId="77777777" w:rsidR="009C1E9C" w:rsidRPr="009C1E9C" w:rsidRDefault="009C1E9C" w:rsidP="009C1E9C">
      <w:pPr>
        <w:rPr>
          <w:rFonts w:cstheme="minorHAnsi"/>
          <w:sz w:val="20"/>
          <w:szCs w:val="20"/>
        </w:rPr>
      </w:pPr>
    </w:p>
    <w:p w14:paraId="28F44F52" w14:textId="0E5FD4FC" w:rsidR="00897C5F" w:rsidRDefault="009C1E9C" w:rsidP="00834A88">
      <w:pPr>
        <w:spacing w:after="160"/>
        <w:rPr>
          <w:color w:val="333333"/>
          <w:sz w:val="20"/>
          <w:szCs w:val="20"/>
        </w:rPr>
      </w:pPr>
      <w:hyperlink r:id="rId5" w:history="1">
        <w:r w:rsidR="00897C5F" w:rsidRPr="005D14C5">
          <w:rPr>
            <w:rStyle w:val="Hyperlink"/>
            <w:sz w:val="20"/>
            <w:szCs w:val="20"/>
          </w:rPr>
          <w:t>https://www.shegerianlaw.com/5-best-ways-to-overcome-fear-of-retaliation-in-the-workplace/</w:t>
        </w:r>
      </w:hyperlink>
    </w:p>
    <w:p w14:paraId="569467A3" w14:textId="77777777" w:rsidR="00897C5F" w:rsidRDefault="00897C5F" w:rsidP="00834A88">
      <w:pPr>
        <w:spacing w:after="160"/>
        <w:rPr>
          <w:color w:val="333333"/>
          <w:sz w:val="20"/>
          <w:szCs w:val="20"/>
        </w:rPr>
      </w:pPr>
    </w:p>
    <w:p w14:paraId="236769A4" w14:textId="77777777" w:rsidR="00897C5F" w:rsidRDefault="00897C5F" w:rsidP="00834A88">
      <w:pPr>
        <w:spacing w:after="160"/>
        <w:rPr>
          <w:color w:val="333333"/>
          <w:sz w:val="20"/>
          <w:szCs w:val="20"/>
        </w:rPr>
      </w:pPr>
    </w:p>
    <w:p w14:paraId="6F07EC3E" w14:textId="77777777" w:rsidR="00834A88" w:rsidRDefault="00834A88" w:rsidP="00834A88">
      <w:pPr>
        <w:spacing w:after="160"/>
        <w:rPr>
          <w:color w:val="333333"/>
          <w:sz w:val="20"/>
          <w:szCs w:val="20"/>
        </w:rPr>
      </w:pPr>
    </w:p>
    <w:p w14:paraId="4B60B625" w14:textId="77777777" w:rsidR="00834A88" w:rsidRDefault="00834A88" w:rsidP="0DA6A0FE">
      <w:pPr>
        <w:spacing w:after="160"/>
        <w:rPr>
          <w:color w:val="333333"/>
          <w:sz w:val="20"/>
          <w:szCs w:val="20"/>
        </w:rPr>
      </w:pPr>
    </w:p>
    <w:p w14:paraId="0B63991F" w14:textId="0D636F23" w:rsidR="0DA6A0FE" w:rsidRDefault="0DA6A0FE" w:rsidP="0DA6A0FE">
      <w:pPr>
        <w:rPr>
          <w:rFonts w:eastAsia="Times New Roman"/>
          <w:color w:val="212121"/>
          <w:sz w:val="20"/>
          <w:szCs w:val="20"/>
        </w:rPr>
      </w:pPr>
    </w:p>
    <w:p w14:paraId="12C86275" w14:textId="2C75EF88" w:rsidR="00EB6B1F" w:rsidRPr="00EB6B1F" w:rsidRDefault="00EB6B1F" w:rsidP="00872413">
      <w:pPr>
        <w:rPr>
          <w:rFonts w:eastAsia="Times New Roman" w:cstheme="minorHAnsi"/>
          <w:color w:val="212121"/>
          <w:sz w:val="20"/>
          <w:szCs w:val="20"/>
          <w:shd w:val="clear" w:color="auto" w:fill="FFFFFF"/>
        </w:rPr>
      </w:pPr>
    </w:p>
    <w:p w14:paraId="437303C1" w14:textId="77777777" w:rsidR="00EB6B1F" w:rsidRPr="00EB6B1F" w:rsidRDefault="00EB6B1F" w:rsidP="00872413">
      <w:pPr>
        <w:rPr>
          <w:rFonts w:eastAsia="Times New Roman" w:cstheme="minorHAnsi"/>
          <w:color w:val="212121"/>
          <w:sz w:val="20"/>
          <w:szCs w:val="20"/>
          <w:shd w:val="clear" w:color="auto" w:fill="FFFFFF"/>
        </w:rPr>
      </w:pPr>
    </w:p>
    <w:p w14:paraId="42DADC27" w14:textId="77777777" w:rsidR="00872413" w:rsidRPr="00EB6B1F" w:rsidRDefault="00872413" w:rsidP="00516C60">
      <w:pPr>
        <w:rPr>
          <w:sz w:val="20"/>
          <w:szCs w:val="20"/>
        </w:rPr>
      </w:pPr>
    </w:p>
    <w:p w14:paraId="30C8D7B2" w14:textId="40148E66" w:rsidR="00516C60" w:rsidRPr="00EB6B1F" w:rsidRDefault="00516C60" w:rsidP="00F2170F">
      <w:pPr>
        <w:rPr>
          <w:sz w:val="20"/>
          <w:szCs w:val="20"/>
        </w:rPr>
      </w:pPr>
      <w:r w:rsidRPr="00EB6B1F">
        <w:rPr>
          <w:sz w:val="20"/>
          <w:szCs w:val="20"/>
        </w:rPr>
        <w:tab/>
      </w:r>
    </w:p>
    <w:sectPr w:rsidR="00516C60" w:rsidRPr="00EB6B1F" w:rsidSect="00FF63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intelligence.xml><?xml version="1.0" encoding="utf-8"?>
<int:Intelligence xmlns:int="http://schemas.microsoft.com/office/intelligence/2019/intelligence">
  <int:IntelligenceSettings/>
  <int:Manifest>
    <int:WordHash hashCode="G/wiw64EF3kAzN" id="Yii0yR7n"/>
  </int:Manifest>
  <int:Observations>
    <int:Content id="Yii0yR7n">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7482E"/>
    <w:multiLevelType w:val="hybridMultilevel"/>
    <w:tmpl w:val="D8B4217E"/>
    <w:lvl w:ilvl="0" w:tplc="CEEA7466">
      <w:start w:val="1"/>
      <w:numFmt w:val="bullet"/>
      <w:lvlText w:val="-"/>
      <w:lvlJc w:val="left"/>
      <w:pPr>
        <w:ind w:left="720" w:hanging="360"/>
      </w:pPr>
      <w:rPr>
        <w:rFonts w:ascii="Calibri" w:eastAsiaTheme="minorEastAsia" w:hAnsi="Calibri" w:cs="Calibri" w:hint="default"/>
      </w:rPr>
    </w:lvl>
    <w:lvl w:ilvl="1" w:tplc="B88EB8D0">
      <w:numFmt w:val="bullet"/>
      <w:lvlText w:val="-"/>
      <w:lvlJc w:val="left"/>
      <w:pPr>
        <w:ind w:left="1440" w:hanging="360"/>
      </w:pPr>
      <w:rPr>
        <w:rFonts w:ascii="Calibri" w:eastAsia="Times New Roman" w:hAnsi="Calibri" w:cs="Calibri" w:hint="default"/>
      </w:rPr>
    </w:lvl>
    <w:lvl w:ilvl="2" w:tplc="B88EB8D0">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B88EB8D0">
      <w:numFmt w:val="bullet"/>
      <w:lvlText w:val="-"/>
      <w:lvlJc w:val="left"/>
      <w:pPr>
        <w:ind w:left="1800" w:hanging="360"/>
      </w:pPr>
      <w:rPr>
        <w:rFonts w:ascii="Calibri" w:eastAsia="Times New Roman" w:hAnsi="Calibri" w:cs="Calibri"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A5505"/>
    <w:multiLevelType w:val="hybridMultilevel"/>
    <w:tmpl w:val="AFEA1A7A"/>
    <w:lvl w:ilvl="0" w:tplc="76680C9A">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37F0C"/>
    <w:multiLevelType w:val="hybridMultilevel"/>
    <w:tmpl w:val="92DC98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894D29"/>
    <w:multiLevelType w:val="hybridMultilevel"/>
    <w:tmpl w:val="A54E3996"/>
    <w:lvl w:ilvl="0" w:tplc="B88EB8D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80E0FE2"/>
    <w:multiLevelType w:val="hybridMultilevel"/>
    <w:tmpl w:val="1B40CE9A"/>
    <w:lvl w:ilvl="0" w:tplc="1B005436">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8E52C1"/>
    <w:multiLevelType w:val="hybridMultilevel"/>
    <w:tmpl w:val="949EF538"/>
    <w:lvl w:ilvl="0" w:tplc="B88EB8D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EB5256"/>
    <w:multiLevelType w:val="hybridMultilevel"/>
    <w:tmpl w:val="9118C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4B7285"/>
    <w:multiLevelType w:val="hybridMultilevel"/>
    <w:tmpl w:val="2E1099B6"/>
    <w:lvl w:ilvl="0" w:tplc="6A441F7A">
      <w:start w:val="1"/>
      <w:numFmt w:val="decimal"/>
      <w:lvlText w:val="%1."/>
      <w:lvlJc w:val="left"/>
      <w:pPr>
        <w:ind w:left="720" w:hanging="360"/>
      </w:pPr>
    </w:lvl>
    <w:lvl w:ilvl="1" w:tplc="16D4402E">
      <w:start w:val="1"/>
      <w:numFmt w:val="lowerLetter"/>
      <w:lvlText w:val="%2."/>
      <w:lvlJc w:val="left"/>
      <w:pPr>
        <w:ind w:left="1440" w:hanging="360"/>
      </w:pPr>
    </w:lvl>
    <w:lvl w:ilvl="2" w:tplc="98D484C4">
      <w:start w:val="1"/>
      <w:numFmt w:val="lowerRoman"/>
      <w:lvlText w:val="%3."/>
      <w:lvlJc w:val="right"/>
      <w:pPr>
        <w:ind w:left="2160" w:hanging="180"/>
      </w:pPr>
    </w:lvl>
    <w:lvl w:ilvl="3" w:tplc="D2348BE2">
      <w:start w:val="1"/>
      <w:numFmt w:val="decimal"/>
      <w:lvlText w:val="%4."/>
      <w:lvlJc w:val="left"/>
      <w:pPr>
        <w:ind w:left="2880" w:hanging="360"/>
      </w:pPr>
    </w:lvl>
    <w:lvl w:ilvl="4" w:tplc="CDF24D1A">
      <w:start w:val="1"/>
      <w:numFmt w:val="lowerLetter"/>
      <w:lvlText w:val="%5."/>
      <w:lvlJc w:val="left"/>
      <w:pPr>
        <w:ind w:left="3600" w:hanging="360"/>
      </w:pPr>
    </w:lvl>
    <w:lvl w:ilvl="5" w:tplc="37426BC4">
      <w:start w:val="1"/>
      <w:numFmt w:val="lowerRoman"/>
      <w:lvlText w:val="%6."/>
      <w:lvlJc w:val="right"/>
      <w:pPr>
        <w:ind w:left="4320" w:hanging="180"/>
      </w:pPr>
    </w:lvl>
    <w:lvl w:ilvl="6" w:tplc="961ACFE6">
      <w:start w:val="1"/>
      <w:numFmt w:val="decimal"/>
      <w:lvlText w:val="%7."/>
      <w:lvlJc w:val="left"/>
      <w:pPr>
        <w:ind w:left="5040" w:hanging="360"/>
      </w:pPr>
    </w:lvl>
    <w:lvl w:ilvl="7" w:tplc="22963AF2">
      <w:start w:val="1"/>
      <w:numFmt w:val="lowerLetter"/>
      <w:lvlText w:val="%8."/>
      <w:lvlJc w:val="left"/>
      <w:pPr>
        <w:ind w:left="5760" w:hanging="360"/>
      </w:pPr>
    </w:lvl>
    <w:lvl w:ilvl="8" w:tplc="C3AE7A80">
      <w:start w:val="1"/>
      <w:numFmt w:val="lowerRoman"/>
      <w:lvlText w:val="%9."/>
      <w:lvlJc w:val="right"/>
      <w:pPr>
        <w:ind w:left="6480" w:hanging="180"/>
      </w:pPr>
    </w:lvl>
  </w:abstractNum>
  <w:abstractNum w:abstractNumId="8" w15:restartNumberingAfterBreak="0">
    <w:nsid w:val="7D2A195E"/>
    <w:multiLevelType w:val="hybridMultilevel"/>
    <w:tmpl w:val="03D6948A"/>
    <w:lvl w:ilvl="0" w:tplc="19E4B5DA">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2"/>
  </w:num>
  <w:num w:numId="5">
    <w:abstractNumId w:val="3"/>
  </w:num>
  <w:num w:numId="6">
    <w:abstractNumId w:val="1"/>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5A4"/>
    <w:rsid w:val="00034AD5"/>
    <w:rsid w:val="003E6536"/>
    <w:rsid w:val="0041606B"/>
    <w:rsid w:val="0047733C"/>
    <w:rsid w:val="00484716"/>
    <w:rsid w:val="00486FAC"/>
    <w:rsid w:val="004A7AD7"/>
    <w:rsid w:val="00516C60"/>
    <w:rsid w:val="006714F4"/>
    <w:rsid w:val="0069169D"/>
    <w:rsid w:val="006A3799"/>
    <w:rsid w:val="006C5A0C"/>
    <w:rsid w:val="006D711B"/>
    <w:rsid w:val="007557FD"/>
    <w:rsid w:val="007A08D7"/>
    <w:rsid w:val="007E5D63"/>
    <w:rsid w:val="00834A88"/>
    <w:rsid w:val="00872413"/>
    <w:rsid w:val="00883366"/>
    <w:rsid w:val="0089595E"/>
    <w:rsid w:val="00897C5F"/>
    <w:rsid w:val="008C25A4"/>
    <w:rsid w:val="009B7D28"/>
    <w:rsid w:val="009C1E9C"/>
    <w:rsid w:val="00A26CCC"/>
    <w:rsid w:val="00A73D8A"/>
    <w:rsid w:val="00AB296A"/>
    <w:rsid w:val="00AB3785"/>
    <w:rsid w:val="00C1252B"/>
    <w:rsid w:val="00CB5663"/>
    <w:rsid w:val="00CD1A1F"/>
    <w:rsid w:val="00CD3492"/>
    <w:rsid w:val="00CD5E68"/>
    <w:rsid w:val="00D46FEF"/>
    <w:rsid w:val="00D904FA"/>
    <w:rsid w:val="00DE73A1"/>
    <w:rsid w:val="00E22FF9"/>
    <w:rsid w:val="00EB6B1F"/>
    <w:rsid w:val="00F2170F"/>
    <w:rsid w:val="00FA484E"/>
    <w:rsid w:val="00FF63B3"/>
    <w:rsid w:val="018FC6E4"/>
    <w:rsid w:val="0460D615"/>
    <w:rsid w:val="09E92F86"/>
    <w:rsid w:val="0B84FFE7"/>
    <w:rsid w:val="0CD227B7"/>
    <w:rsid w:val="0D863125"/>
    <w:rsid w:val="0DA6A0FE"/>
    <w:rsid w:val="0EC48E2F"/>
    <w:rsid w:val="0F81A603"/>
    <w:rsid w:val="149D7B0E"/>
    <w:rsid w:val="15F73B25"/>
    <w:rsid w:val="16F129E3"/>
    <w:rsid w:val="1934A2D2"/>
    <w:rsid w:val="1AA18AAA"/>
    <w:rsid w:val="1E32A48B"/>
    <w:rsid w:val="1F516BC7"/>
    <w:rsid w:val="20FA1669"/>
    <w:rsid w:val="228EA254"/>
    <w:rsid w:val="24693AD4"/>
    <w:rsid w:val="251BFD12"/>
    <w:rsid w:val="27421CC2"/>
    <w:rsid w:val="274D0C18"/>
    <w:rsid w:val="27C000DA"/>
    <w:rsid w:val="2D7FB51E"/>
    <w:rsid w:val="323721A6"/>
    <w:rsid w:val="32745DE0"/>
    <w:rsid w:val="3303111B"/>
    <w:rsid w:val="34102E41"/>
    <w:rsid w:val="363AB1DD"/>
    <w:rsid w:val="3882E097"/>
    <w:rsid w:val="3AD91F09"/>
    <w:rsid w:val="3CA9F361"/>
    <w:rsid w:val="3CCB3B1A"/>
    <w:rsid w:val="41D5CBF1"/>
    <w:rsid w:val="472B703D"/>
    <w:rsid w:val="479812B7"/>
    <w:rsid w:val="4A6310FF"/>
    <w:rsid w:val="4C3367C1"/>
    <w:rsid w:val="5029A3DA"/>
    <w:rsid w:val="520D7A98"/>
    <w:rsid w:val="52DFD977"/>
    <w:rsid w:val="52E1A226"/>
    <w:rsid w:val="552B7E03"/>
    <w:rsid w:val="56903A3E"/>
    <w:rsid w:val="57419407"/>
    <w:rsid w:val="58E551EE"/>
    <w:rsid w:val="5A81224F"/>
    <w:rsid w:val="5F3B6B15"/>
    <w:rsid w:val="5FAD063F"/>
    <w:rsid w:val="628C3434"/>
    <w:rsid w:val="628C660A"/>
    <w:rsid w:val="64A2FFEF"/>
    <w:rsid w:val="67DBF4F0"/>
    <w:rsid w:val="68FB75B8"/>
    <w:rsid w:val="6AB03566"/>
    <w:rsid w:val="6B319F83"/>
    <w:rsid w:val="6BBDFADB"/>
    <w:rsid w:val="6D9F582A"/>
    <w:rsid w:val="700189D3"/>
    <w:rsid w:val="710EA6F9"/>
    <w:rsid w:val="76439C7B"/>
    <w:rsid w:val="79010276"/>
    <w:rsid w:val="7ABC1504"/>
    <w:rsid w:val="7C57E5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F8D9809"/>
  <w15:chartTrackingRefBased/>
  <w15:docId w15:val="{E833F5C3-5623-AC49-94BB-53A813D6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C60"/>
    <w:pPr>
      <w:spacing w:after="160" w:line="259" w:lineRule="auto"/>
      <w:ind w:left="720"/>
      <w:contextualSpacing/>
    </w:pPr>
    <w:rPr>
      <w:rFonts w:eastAsiaTheme="minorHAnsi"/>
      <w:sz w:val="22"/>
      <w:szCs w:val="22"/>
      <w:lang w:eastAsia="en-US"/>
    </w:rPr>
  </w:style>
  <w:style w:type="character" w:customStyle="1" w:styleId="apple-converted-space">
    <w:name w:val="apple-converted-space"/>
    <w:basedOn w:val="DefaultParagraphFont"/>
    <w:rsid w:val="006C5A0C"/>
  </w:style>
  <w:style w:type="character" w:customStyle="1" w:styleId="ref-title">
    <w:name w:val="ref-title"/>
    <w:basedOn w:val="DefaultParagraphFont"/>
    <w:rsid w:val="00EB6B1F"/>
  </w:style>
  <w:style w:type="paragraph" w:styleId="NormalWeb">
    <w:name w:val="Normal (Web)"/>
    <w:basedOn w:val="Normal"/>
    <w:uiPriority w:val="99"/>
    <w:semiHidden/>
    <w:unhideWhenUsed/>
    <w:rsid w:val="0041606B"/>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7733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733C"/>
    <w:rPr>
      <w:rFonts w:ascii="Times New Roman" w:hAnsi="Times New Roman" w:cs="Times New Roman"/>
      <w:sz w:val="18"/>
      <w:szCs w:val="18"/>
    </w:rPr>
  </w:style>
  <w:style w:type="character" w:styleId="Hyperlink">
    <w:name w:val="Hyperlink"/>
    <w:basedOn w:val="DefaultParagraphFont"/>
    <w:uiPriority w:val="99"/>
    <w:unhideWhenUsed/>
    <w:rsid w:val="00897C5F"/>
    <w:rPr>
      <w:color w:val="0563C1" w:themeColor="hyperlink"/>
      <w:u w:val="single"/>
    </w:rPr>
  </w:style>
  <w:style w:type="character" w:styleId="UnresolvedMention">
    <w:name w:val="Unresolved Mention"/>
    <w:basedOn w:val="DefaultParagraphFont"/>
    <w:uiPriority w:val="99"/>
    <w:semiHidden/>
    <w:unhideWhenUsed/>
    <w:rsid w:val="00897C5F"/>
    <w:rPr>
      <w:color w:val="605E5C"/>
      <w:shd w:val="clear" w:color="auto" w:fill="E1DFDD"/>
    </w:rPr>
  </w:style>
  <w:style w:type="character" w:styleId="FollowedHyperlink">
    <w:name w:val="FollowedHyperlink"/>
    <w:basedOn w:val="DefaultParagraphFont"/>
    <w:uiPriority w:val="99"/>
    <w:semiHidden/>
    <w:unhideWhenUsed/>
    <w:rsid w:val="00897C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105074">
      <w:bodyDiv w:val="1"/>
      <w:marLeft w:val="0"/>
      <w:marRight w:val="0"/>
      <w:marTop w:val="0"/>
      <w:marBottom w:val="0"/>
      <w:divBdr>
        <w:top w:val="none" w:sz="0" w:space="0" w:color="auto"/>
        <w:left w:val="none" w:sz="0" w:space="0" w:color="auto"/>
        <w:bottom w:val="none" w:sz="0" w:space="0" w:color="auto"/>
        <w:right w:val="none" w:sz="0" w:space="0" w:color="auto"/>
      </w:divBdr>
    </w:div>
    <w:div w:id="623655837">
      <w:bodyDiv w:val="1"/>
      <w:marLeft w:val="0"/>
      <w:marRight w:val="0"/>
      <w:marTop w:val="0"/>
      <w:marBottom w:val="0"/>
      <w:divBdr>
        <w:top w:val="none" w:sz="0" w:space="0" w:color="auto"/>
        <w:left w:val="none" w:sz="0" w:space="0" w:color="auto"/>
        <w:bottom w:val="none" w:sz="0" w:space="0" w:color="auto"/>
        <w:right w:val="none" w:sz="0" w:space="0" w:color="auto"/>
      </w:divBdr>
    </w:div>
    <w:div w:id="758523527">
      <w:bodyDiv w:val="1"/>
      <w:marLeft w:val="0"/>
      <w:marRight w:val="0"/>
      <w:marTop w:val="0"/>
      <w:marBottom w:val="0"/>
      <w:divBdr>
        <w:top w:val="none" w:sz="0" w:space="0" w:color="auto"/>
        <w:left w:val="none" w:sz="0" w:space="0" w:color="auto"/>
        <w:bottom w:val="none" w:sz="0" w:space="0" w:color="auto"/>
        <w:right w:val="none" w:sz="0" w:space="0" w:color="auto"/>
      </w:divBdr>
      <w:divsChild>
        <w:div w:id="2093744950">
          <w:marLeft w:val="0"/>
          <w:marRight w:val="0"/>
          <w:marTop w:val="0"/>
          <w:marBottom w:val="0"/>
          <w:divBdr>
            <w:top w:val="none" w:sz="0" w:space="0" w:color="auto"/>
            <w:left w:val="none" w:sz="0" w:space="0" w:color="auto"/>
            <w:bottom w:val="none" w:sz="0" w:space="0" w:color="auto"/>
            <w:right w:val="none" w:sz="0" w:space="0" w:color="auto"/>
          </w:divBdr>
          <w:divsChild>
            <w:div w:id="1183936943">
              <w:marLeft w:val="0"/>
              <w:marRight w:val="0"/>
              <w:marTop w:val="0"/>
              <w:marBottom w:val="0"/>
              <w:divBdr>
                <w:top w:val="none" w:sz="0" w:space="0" w:color="auto"/>
                <w:left w:val="none" w:sz="0" w:space="0" w:color="auto"/>
                <w:bottom w:val="none" w:sz="0" w:space="0" w:color="auto"/>
                <w:right w:val="none" w:sz="0" w:space="0" w:color="auto"/>
              </w:divBdr>
              <w:divsChild>
                <w:div w:id="69430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6211">
      <w:bodyDiv w:val="1"/>
      <w:marLeft w:val="0"/>
      <w:marRight w:val="0"/>
      <w:marTop w:val="0"/>
      <w:marBottom w:val="0"/>
      <w:divBdr>
        <w:top w:val="none" w:sz="0" w:space="0" w:color="auto"/>
        <w:left w:val="none" w:sz="0" w:space="0" w:color="auto"/>
        <w:bottom w:val="none" w:sz="0" w:space="0" w:color="auto"/>
        <w:right w:val="none" w:sz="0" w:space="0" w:color="auto"/>
      </w:divBdr>
    </w:div>
    <w:div w:id="1080180506">
      <w:bodyDiv w:val="1"/>
      <w:marLeft w:val="0"/>
      <w:marRight w:val="0"/>
      <w:marTop w:val="0"/>
      <w:marBottom w:val="0"/>
      <w:divBdr>
        <w:top w:val="none" w:sz="0" w:space="0" w:color="auto"/>
        <w:left w:val="none" w:sz="0" w:space="0" w:color="auto"/>
        <w:bottom w:val="none" w:sz="0" w:space="0" w:color="auto"/>
        <w:right w:val="none" w:sz="0" w:space="0" w:color="auto"/>
      </w:divBdr>
    </w:div>
    <w:div w:id="1808165221">
      <w:bodyDiv w:val="1"/>
      <w:marLeft w:val="0"/>
      <w:marRight w:val="0"/>
      <w:marTop w:val="0"/>
      <w:marBottom w:val="0"/>
      <w:divBdr>
        <w:top w:val="none" w:sz="0" w:space="0" w:color="auto"/>
        <w:left w:val="none" w:sz="0" w:space="0" w:color="auto"/>
        <w:bottom w:val="none" w:sz="0" w:space="0" w:color="auto"/>
        <w:right w:val="none" w:sz="0" w:space="0" w:color="auto"/>
      </w:divBdr>
    </w:div>
    <w:div w:id="185795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hegerianlaw.com/5-best-ways-to-overcome-fear-of-retaliation-in-the-workplace/" TargetMode="External"/><Relationship Id="Rc88d17bf68a4463e" Type="http://schemas.microsoft.com/office/2019/09/relationships/intelligence" Target="intelligenc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851</Words>
  <Characters>5547</Characters>
  <Application>Microsoft Office Word</Application>
  <DocSecurity>0</DocSecurity>
  <Lines>120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Novotny, Nicole Rochelle</dc:creator>
  <cp:keywords/>
  <dc:description/>
  <cp:lastModifiedBy>Novotny, Nicole Rochelle</cp:lastModifiedBy>
  <cp:revision>12</cp:revision>
  <dcterms:created xsi:type="dcterms:W3CDTF">2021-09-16T15:49:00Z</dcterms:created>
  <dcterms:modified xsi:type="dcterms:W3CDTF">2022-10-21T13:12:00Z</dcterms:modified>
</cp:coreProperties>
</file>