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27C47" w14:textId="5520C933" w:rsidR="00486FAC" w:rsidRPr="008C25A4" w:rsidRDefault="008C25A4" w:rsidP="008C25A4">
      <w:pPr>
        <w:jc w:val="center"/>
        <w:rPr>
          <w:b/>
          <w:bCs/>
        </w:rPr>
      </w:pPr>
      <w:r w:rsidRPr="0F81A603">
        <w:rPr>
          <w:b/>
          <w:bCs/>
        </w:rPr>
        <w:t>Microaggression Simulation Debrief</w:t>
      </w:r>
    </w:p>
    <w:p w14:paraId="65D37C52" w14:textId="7D554AF9" w:rsidR="008C25A4" w:rsidRDefault="008C25A4" w:rsidP="008C25A4">
      <w:pPr>
        <w:jc w:val="center"/>
      </w:pPr>
    </w:p>
    <w:p w14:paraId="0B383AE3" w14:textId="7A84356E" w:rsidR="00516C60" w:rsidRPr="00516C60" w:rsidRDefault="00516C60" w:rsidP="00516C60">
      <w:pPr>
        <w:rPr>
          <w:u w:val="single"/>
        </w:rPr>
      </w:pPr>
      <w:r w:rsidRPr="00516C60">
        <w:rPr>
          <w:u w:val="single"/>
        </w:rPr>
        <w:t>Definitions</w:t>
      </w:r>
    </w:p>
    <w:p w14:paraId="3D02ABA1" w14:textId="2A7F2445" w:rsidR="00516C60" w:rsidRDefault="00516C60" w:rsidP="00516C60"/>
    <w:p w14:paraId="2C8B037B" w14:textId="77777777" w:rsidR="00EB6B1F" w:rsidRDefault="00516C60" w:rsidP="00516C60">
      <w:r w:rsidRPr="006A3799">
        <w:rPr>
          <w:b/>
          <w:bCs/>
        </w:rPr>
        <w:t>Microaggression:</w:t>
      </w:r>
      <w:r w:rsidR="006C5A0C">
        <w:t xml:space="preserve"> </w:t>
      </w:r>
    </w:p>
    <w:p w14:paraId="6A9F2A4E" w14:textId="303A4FAC" w:rsidR="00516C60" w:rsidRPr="006D711B" w:rsidRDefault="00EB6B1F" w:rsidP="006D711B">
      <w:pPr>
        <w:pStyle w:val="ListParagraph"/>
        <w:numPr>
          <w:ilvl w:val="0"/>
          <w:numId w:val="3"/>
        </w:numPr>
        <w:rPr>
          <w:sz w:val="24"/>
          <w:szCs w:val="24"/>
        </w:rPr>
      </w:pPr>
      <w:r w:rsidRPr="006D711B">
        <w:rPr>
          <w:sz w:val="24"/>
          <w:szCs w:val="24"/>
        </w:rPr>
        <w:t>Refers to</w:t>
      </w:r>
      <w:r w:rsidR="006A3799" w:rsidRPr="006D711B">
        <w:rPr>
          <w:sz w:val="24"/>
          <w:szCs w:val="24"/>
        </w:rPr>
        <w:t xml:space="preserve"> brief and commonplace daily verbal, behavioral, </w:t>
      </w:r>
      <w:r w:rsidRPr="006D711B">
        <w:rPr>
          <w:sz w:val="24"/>
          <w:szCs w:val="24"/>
        </w:rPr>
        <w:t>or</w:t>
      </w:r>
      <w:r w:rsidR="006A3799" w:rsidRPr="006D711B">
        <w:rPr>
          <w:sz w:val="24"/>
          <w:szCs w:val="24"/>
        </w:rPr>
        <w:t xml:space="preserve"> environmental indignities, whether intentional or unintentional, that communicate hostile, derogatory, or negative slights and insults </w:t>
      </w:r>
      <w:r w:rsidR="0041606B" w:rsidRPr="006D711B">
        <w:rPr>
          <w:sz w:val="24"/>
          <w:szCs w:val="24"/>
        </w:rPr>
        <w:t>toward marginalized groups</w:t>
      </w:r>
      <w:r w:rsidRPr="006D711B">
        <w:rPr>
          <w:sz w:val="24"/>
          <w:szCs w:val="24"/>
        </w:rPr>
        <w:t xml:space="preserve"> (Sue et al. 2007)</w:t>
      </w:r>
    </w:p>
    <w:p w14:paraId="6179DFC6" w14:textId="04C10137" w:rsidR="006D711B" w:rsidRPr="006D711B" w:rsidRDefault="006D711B" w:rsidP="006D711B">
      <w:pPr>
        <w:pStyle w:val="ListParagraph"/>
        <w:numPr>
          <w:ilvl w:val="0"/>
          <w:numId w:val="2"/>
        </w:numPr>
        <w:rPr>
          <w:sz w:val="24"/>
          <w:szCs w:val="24"/>
        </w:rPr>
      </w:pPr>
      <w:r w:rsidRPr="0DA6A0FE">
        <w:rPr>
          <w:sz w:val="24"/>
          <w:szCs w:val="24"/>
        </w:rPr>
        <w:t>Occur on individual and interpersonal levels</w:t>
      </w:r>
    </w:p>
    <w:p w14:paraId="121A4778" w14:textId="79CB876C" w:rsidR="0460D615" w:rsidRDefault="0460D615" w:rsidP="0DA6A0FE">
      <w:pPr>
        <w:pStyle w:val="ListParagraph"/>
        <w:numPr>
          <w:ilvl w:val="0"/>
          <w:numId w:val="2"/>
        </w:numPr>
        <w:rPr>
          <w:sz w:val="24"/>
          <w:szCs w:val="24"/>
        </w:rPr>
      </w:pPr>
      <w:r w:rsidRPr="0DA6A0FE">
        <w:rPr>
          <w:sz w:val="24"/>
          <w:szCs w:val="24"/>
        </w:rPr>
        <w:t xml:space="preserve">Further divided into </w:t>
      </w:r>
      <w:r w:rsidR="20FA1669" w:rsidRPr="0DA6A0FE">
        <w:rPr>
          <w:i/>
          <w:iCs/>
          <w:sz w:val="24"/>
          <w:szCs w:val="24"/>
          <w:u w:val="single"/>
        </w:rPr>
        <w:t>3</w:t>
      </w:r>
      <w:r w:rsidRPr="0DA6A0FE">
        <w:rPr>
          <w:i/>
          <w:iCs/>
          <w:sz w:val="24"/>
          <w:szCs w:val="24"/>
          <w:u w:val="single"/>
        </w:rPr>
        <w:t xml:space="preserve"> subgroups</w:t>
      </w:r>
      <w:r w:rsidRPr="0DA6A0FE">
        <w:rPr>
          <w:sz w:val="24"/>
          <w:szCs w:val="24"/>
        </w:rPr>
        <w:t>:</w:t>
      </w:r>
    </w:p>
    <w:p w14:paraId="389010A9" w14:textId="1C6E1DC8" w:rsidR="0460D615" w:rsidRDefault="0460D615" w:rsidP="0DA6A0FE">
      <w:pPr>
        <w:pStyle w:val="ListParagraph"/>
        <w:numPr>
          <w:ilvl w:val="1"/>
          <w:numId w:val="2"/>
        </w:numPr>
        <w:rPr>
          <w:sz w:val="24"/>
          <w:szCs w:val="24"/>
        </w:rPr>
      </w:pPr>
      <w:r w:rsidRPr="0DA6A0FE">
        <w:rPr>
          <w:b/>
          <w:bCs/>
          <w:sz w:val="24"/>
          <w:szCs w:val="24"/>
        </w:rPr>
        <w:t>Microass</w:t>
      </w:r>
      <w:r w:rsidR="6D9F582A" w:rsidRPr="0DA6A0FE">
        <w:rPr>
          <w:b/>
          <w:bCs/>
          <w:sz w:val="24"/>
          <w:szCs w:val="24"/>
        </w:rPr>
        <w:t>ault</w:t>
      </w:r>
      <w:r w:rsidR="274D0C18" w:rsidRPr="0DA6A0FE">
        <w:rPr>
          <w:b/>
          <w:bCs/>
          <w:sz w:val="24"/>
          <w:szCs w:val="24"/>
        </w:rPr>
        <w:t xml:space="preserve">: </w:t>
      </w:r>
      <w:r w:rsidR="2D7FB51E" w:rsidRPr="0DA6A0FE">
        <w:rPr>
          <w:sz w:val="24"/>
          <w:szCs w:val="24"/>
        </w:rPr>
        <w:t xml:space="preserve">explicit derogation </w:t>
      </w:r>
      <w:r w:rsidR="0D863125" w:rsidRPr="0DA6A0FE">
        <w:rPr>
          <w:sz w:val="24"/>
          <w:szCs w:val="24"/>
        </w:rPr>
        <w:t>characterized</w:t>
      </w:r>
      <w:r w:rsidR="3882E097" w:rsidRPr="0DA6A0FE">
        <w:rPr>
          <w:sz w:val="24"/>
          <w:szCs w:val="24"/>
        </w:rPr>
        <w:t xml:space="preserve"> primarily</w:t>
      </w:r>
      <w:r w:rsidR="0D863125" w:rsidRPr="0DA6A0FE">
        <w:rPr>
          <w:sz w:val="24"/>
          <w:szCs w:val="24"/>
        </w:rPr>
        <w:t xml:space="preserve"> by </w:t>
      </w:r>
      <w:r w:rsidR="52E1A226" w:rsidRPr="0DA6A0FE">
        <w:rPr>
          <w:sz w:val="24"/>
          <w:szCs w:val="24"/>
        </w:rPr>
        <w:t xml:space="preserve">a </w:t>
      </w:r>
      <w:r w:rsidR="0D863125" w:rsidRPr="0DA6A0FE">
        <w:rPr>
          <w:sz w:val="24"/>
          <w:szCs w:val="24"/>
        </w:rPr>
        <w:t xml:space="preserve">verbal or nonverbal attack </w:t>
      </w:r>
      <w:r w:rsidR="0CD227B7" w:rsidRPr="0DA6A0FE">
        <w:rPr>
          <w:sz w:val="24"/>
          <w:szCs w:val="24"/>
        </w:rPr>
        <w:t>meant to hurt the intended victim through name-calling, avoidant behavior or purposeful discriminatory actions</w:t>
      </w:r>
      <w:r w:rsidR="0D863125" w:rsidRPr="0DA6A0FE">
        <w:rPr>
          <w:sz w:val="24"/>
          <w:szCs w:val="24"/>
        </w:rPr>
        <w:t xml:space="preserve"> (often intentional)</w:t>
      </w:r>
    </w:p>
    <w:p w14:paraId="4779416C" w14:textId="78DF8DDB" w:rsidR="00E22FF9" w:rsidRDefault="00E22FF9" w:rsidP="00E22FF9">
      <w:pPr>
        <w:pStyle w:val="ListParagraph"/>
        <w:numPr>
          <w:ilvl w:val="2"/>
          <w:numId w:val="2"/>
        </w:numPr>
        <w:rPr>
          <w:sz w:val="24"/>
          <w:szCs w:val="24"/>
        </w:rPr>
      </w:pPr>
      <w:r w:rsidRPr="00E22FF9">
        <w:rPr>
          <w:sz w:val="24"/>
          <w:szCs w:val="24"/>
        </w:rPr>
        <w:t>Ex:</w:t>
      </w:r>
      <w:r>
        <w:rPr>
          <w:sz w:val="24"/>
          <w:szCs w:val="24"/>
        </w:rPr>
        <w:t xml:space="preserve"> </w:t>
      </w:r>
      <w:r w:rsidR="00883366">
        <w:rPr>
          <w:sz w:val="24"/>
          <w:szCs w:val="24"/>
        </w:rPr>
        <w:t>A store owner following a person of color throughout the store</w:t>
      </w:r>
    </w:p>
    <w:p w14:paraId="6D8FA175" w14:textId="03F4CFB5" w:rsidR="00AB296A" w:rsidRDefault="00AB296A" w:rsidP="00E22FF9">
      <w:pPr>
        <w:pStyle w:val="ListParagraph"/>
        <w:numPr>
          <w:ilvl w:val="2"/>
          <w:numId w:val="2"/>
        </w:numPr>
        <w:rPr>
          <w:sz w:val="24"/>
          <w:szCs w:val="24"/>
        </w:rPr>
      </w:pPr>
      <w:r>
        <w:rPr>
          <w:sz w:val="24"/>
          <w:szCs w:val="24"/>
        </w:rPr>
        <w:t>Message:</w:t>
      </w:r>
      <w:r w:rsidR="00883366">
        <w:rPr>
          <w:sz w:val="24"/>
          <w:szCs w:val="24"/>
        </w:rPr>
        <w:t xml:space="preserve"> Assumes that a person of color is a criminal based on the basis of their race</w:t>
      </w:r>
    </w:p>
    <w:p w14:paraId="7BA77967" w14:textId="58592862" w:rsidR="0460D615" w:rsidRDefault="0460D615" w:rsidP="0DA6A0FE">
      <w:pPr>
        <w:pStyle w:val="ListParagraph"/>
        <w:numPr>
          <w:ilvl w:val="1"/>
          <w:numId w:val="2"/>
        </w:numPr>
        <w:rPr>
          <w:sz w:val="24"/>
          <w:szCs w:val="24"/>
        </w:rPr>
      </w:pPr>
      <w:r w:rsidRPr="0DA6A0FE">
        <w:rPr>
          <w:b/>
          <w:bCs/>
          <w:sz w:val="24"/>
          <w:szCs w:val="24"/>
        </w:rPr>
        <w:t>Microinsult</w:t>
      </w:r>
      <w:r w:rsidR="018FC6E4" w:rsidRPr="0DA6A0FE">
        <w:rPr>
          <w:b/>
          <w:bCs/>
          <w:sz w:val="24"/>
          <w:szCs w:val="24"/>
        </w:rPr>
        <w:t xml:space="preserve">: </w:t>
      </w:r>
      <w:r w:rsidR="1AA18AAA" w:rsidRPr="0DA6A0FE">
        <w:rPr>
          <w:sz w:val="24"/>
          <w:szCs w:val="24"/>
        </w:rPr>
        <w:t xml:space="preserve">subtle snubs or humiliations that convey </w:t>
      </w:r>
      <w:r w:rsidR="52DFD977" w:rsidRPr="0DA6A0FE">
        <w:rPr>
          <w:sz w:val="24"/>
          <w:szCs w:val="24"/>
        </w:rPr>
        <w:t>rudeness and insensitivity and demean a person’s racial heri</w:t>
      </w:r>
      <w:r w:rsidR="5FAD063F" w:rsidRPr="0DA6A0FE">
        <w:rPr>
          <w:sz w:val="24"/>
          <w:szCs w:val="24"/>
        </w:rPr>
        <w:t>tage</w:t>
      </w:r>
      <w:r w:rsidR="52DFD977" w:rsidRPr="0DA6A0FE">
        <w:rPr>
          <w:sz w:val="24"/>
          <w:szCs w:val="24"/>
        </w:rPr>
        <w:t xml:space="preserve"> or identi</w:t>
      </w:r>
      <w:r w:rsidR="251BFD12" w:rsidRPr="0DA6A0FE">
        <w:rPr>
          <w:sz w:val="24"/>
          <w:szCs w:val="24"/>
        </w:rPr>
        <w:t>t</w:t>
      </w:r>
      <w:r w:rsidR="52DFD977" w:rsidRPr="0DA6A0FE">
        <w:rPr>
          <w:sz w:val="24"/>
          <w:szCs w:val="24"/>
        </w:rPr>
        <w:t>y</w:t>
      </w:r>
      <w:r w:rsidR="520D7A98" w:rsidRPr="0DA6A0FE">
        <w:rPr>
          <w:sz w:val="24"/>
          <w:szCs w:val="24"/>
        </w:rPr>
        <w:t xml:space="preserve"> (often unintentional)</w:t>
      </w:r>
    </w:p>
    <w:p w14:paraId="6F6F0F0A" w14:textId="7C9D03B0" w:rsidR="00E22FF9" w:rsidRPr="00AB296A" w:rsidRDefault="00E22FF9" w:rsidP="00E22FF9">
      <w:pPr>
        <w:pStyle w:val="ListParagraph"/>
        <w:numPr>
          <w:ilvl w:val="2"/>
          <w:numId w:val="2"/>
        </w:numPr>
        <w:rPr>
          <w:sz w:val="24"/>
          <w:szCs w:val="24"/>
        </w:rPr>
      </w:pPr>
      <w:r w:rsidRPr="00AB296A">
        <w:rPr>
          <w:sz w:val="24"/>
          <w:szCs w:val="24"/>
        </w:rPr>
        <w:t xml:space="preserve">Ex: </w:t>
      </w:r>
      <w:r w:rsidR="00883366">
        <w:rPr>
          <w:sz w:val="24"/>
          <w:szCs w:val="24"/>
        </w:rPr>
        <w:t>“You don’t look like you’re gay.”</w:t>
      </w:r>
    </w:p>
    <w:p w14:paraId="74B658FC" w14:textId="2EA36AA1" w:rsidR="00E22FF9" w:rsidRPr="00AB296A" w:rsidRDefault="00AB296A" w:rsidP="00AB296A">
      <w:pPr>
        <w:pStyle w:val="ListParagraph"/>
        <w:numPr>
          <w:ilvl w:val="2"/>
          <w:numId w:val="2"/>
        </w:numPr>
        <w:rPr>
          <w:sz w:val="24"/>
          <w:szCs w:val="24"/>
        </w:rPr>
      </w:pPr>
      <w:r>
        <w:rPr>
          <w:sz w:val="24"/>
          <w:szCs w:val="24"/>
        </w:rPr>
        <w:t xml:space="preserve">Message: </w:t>
      </w:r>
      <w:r w:rsidR="00883366">
        <w:rPr>
          <w:sz w:val="24"/>
          <w:szCs w:val="24"/>
        </w:rPr>
        <w:t xml:space="preserve">Assumes that all people who self-identify as gay look the same </w:t>
      </w:r>
    </w:p>
    <w:p w14:paraId="2A418D32" w14:textId="1C1DAC53" w:rsidR="00E22FF9" w:rsidRDefault="0460D615" w:rsidP="00E22FF9">
      <w:pPr>
        <w:pStyle w:val="ListParagraph"/>
        <w:numPr>
          <w:ilvl w:val="1"/>
          <w:numId w:val="2"/>
        </w:numPr>
        <w:rPr>
          <w:sz w:val="24"/>
          <w:szCs w:val="24"/>
        </w:rPr>
      </w:pPr>
      <w:r w:rsidRPr="0DA6A0FE">
        <w:rPr>
          <w:b/>
          <w:bCs/>
          <w:sz w:val="24"/>
          <w:szCs w:val="24"/>
        </w:rPr>
        <w:t>Microinvalidation</w:t>
      </w:r>
      <w:r w:rsidR="479812B7" w:rsidRPr="0DA6A0FE">
        <w:rPr>
          <w:b/>
          <w:bCs/>
          <w:sz w:val="24"/>
          <w:szCs w:val="24"/>
        </w:rPr>
        <w:t xml:space="preserve">: </w:t>
      </w:r>
      <w:r w:rsidR="56903A3E" w:rsidRPr="0DA6A0FE">
        <w:rPr>
          <w:sz w:val="24"/>
          <w:szCs w:val="24"/>
        </w:rPr>
        <w:t xml:space="preserve">statement </w:t>
      </w:r>
      <w:r w:rsidR="3AD91F09" w:rsidRPr="0DA6A0FE">
        <w:rPr>
          <w:sz w:val="24"/>
          <w:szCs w:val="24"/>
        </w:rPr>
        <w:t xml:space="preserve">aimed to exclude, negate </w:t>
      </w:r>
      <w:r w:rsidR="76439C7B" w:rsidRPr="0DA6A0FE">
        <w:rPr>
          <w:sz w:val="24"/>
          <w:szCs w:val="24"/>
        </w:rPr>
        <w:t>or nullify</w:t>
      </w:r>
      <w:r w:rsidR="3AD91F09" w:rsidRPr="0DA6A0FE">
        <w:rPr>
          <w:sz w:val="24"/>
          <w:szCs w:val="24"/>
        </w:rPr>
        <w:t xml:space="preserve"> the personal thoughts, feelings or experiential reality of a person</w:t>
      </w:r>
      <w:r w:rsidR="24693AD4" w:rsidRPr="0DA6A0FE">
        <w:rPr>
          <w:sz w:val="24"/>
          <w:szCs w:val="24"/>
        </w:rPr>
        <w:t xml:space="preserve"> (often unintentional)</w:t>
      </w:r>
    </w:p>
    <w:p w14:paraId="39689C55" w14:textId="054CB2B5" w:rsidR="00E22FF9" w:rsidRDefault="00E22FF9" w:rsidP="00E22FF9">
      <w:pPr>
        <w:pStyle w:val="ListParagraph"/>
        <w:numPr>
          <w:ilvl w:val="2"/>
          <w:numId w:val="2"/>
        </w:numPr>
        <w:rPr>
          <w:sz w:val="24"/>
          <w:szCs w:val="24"/>
        </w:rPr>
      </w:pPr>
      <w:r>
        <w:rPr>
          <w:sz w:val="24"/>
          <w:szCs w:val="24"/>
        </w:rPr>
        <w:t>Ex: “</w:t>
      </w:r>
      <w:r w:rsidR="00AB296A">
        <w:rPr>
          <w:sz w:val="24"/>
          <w:szCs w:val="24"/>
        </w:rPr>
        <w:t>When I look at you, I don’t see color.</w:t>
      </w:r>
      <w:r>
        <w:rPr>
          <w:sz w:val="24"/>
          <w:szCs w:val="24"/>
        </w:rPr>
        <w:t>”</w:t>
      </w:r>
    </w:p>
    <w:p w14:paraId="469DB984" w14:textId="2B0B59F5" w:rsidR="0DA6A0FE" w:rsidRPr="00714A97" w:rsidRDefault="00AB296A" w:rsidP="00714A97">
      <w:pPr>
        <w:pStyle w:val="ListParagraph"/>
        <w:numPr>
          <w:ilvl w:val="2"/>
          <w:numId w:val="2"/>
        </w:numPr>
        <w:rPr>
          <w:sz w:val="24"/>
          <w:szCs w:val="24"/>
        </w:rPr>
      </w:pPr>
      <w:r>
        <w:rPr>
          <w:sz w:val="24"/>
          <w:szCs w:val="24"/>
        </w:rPr>
        <w:t>Message</w:t>
      </w:r>
      <w:r w:rsidR="00E22FF9">
        <w:rPr>
          <w:sz w:val="24"/>
          <w:szCs w:val="24"/>
        </w:rPr>
        <w:t>: Den</w:t>
      </w:r>
      <w:r w:rsidR="00883366">
        <w:rPr>
          <w:sz w:val="24"/>
          <w:szCs w:val="24"/>
        </w:rPr>
        <w:t>ies</w:t>
      </w:r>
      <w:r w:rsidR="00E22FF9">
        <w:rPr>
          <w:sz w:val="24"/>
          <w:szCs w:val="24"/>
        </w:rPr>
        <w:t xml:space="preserve"> a person of color’s racial/ethnic experiences</w:t>
      </w:r>
    </w:p>
    <w:p w14:paraId="76BE6739" w14:textId="34F33E2F" w:rsidR="00516C60" w:rsidRDefault="00516C60" w:rsidP="00516C60">
      <w:pPr>
        <w:rPr>
          <w:b/>
          <w:bCs/>
        </w:rPr>
      </w:pPr>
      <w:r w:rsidRPr="006A3799">
        <w:rPr>
          <w:b/>
          <w:bCs/>
        </w:rPr>
        <w:t>Macroaggression:</w:t>
      </w:r>
    </w:p>
    <w:p w14:paraId="25A35EC8" w14:textId="7997F188" w:rsidR="0041606B" w:rsidRPr="006D711B" w:rsidRDefault="00D46FEF" w:rsidP="006D711B">
      <w:pPr>
        <w:pStyle w:val="ListParagraph"/>
        <w:numPr>
          <w:ilvl w:val="0"/>
          <w:numId w:val="2"/>
        </w:numPr>
        <w:rPr>
          <w:sz w:val="24"/>
          <w:szCs w:val="24"/>
        </w:rPr>
      </w:pPr>
      <w:r w:rsidRPr="0DA6A0FE">
        <w:rPr>
          <w:sz w:val="24"/>
          <w:szCs w:val="24"/>
        </w:rPr>
        <w:t>Occur on institutional or systemic levels and manifest as biased or discriminatory policies, governance, and other practices that disproportionately benefit one group over another (Sue et al. 2019)</w:t>
      </w:r>
    </w:p>
    <w:p w14:paraId="04D4E9F9" w14:textId="47A161D8" w:rsidR="006D711B" w:rsidRPr="006D711B" w:rsidRDefault="006D711B" w:rsidP="006D711B">
      <w:pPr>
        <w:pStyle w:val="ListParagraph"/>
        <w:numPr>
          <w:ilvl w:val="0"/>
          <w:numId w:val="2"/>
        </w:numPr>
        <w:rPr>
          <w:sz w:val="24"/>
          <w:szCs w:val="24"/>
        </w:rPr>
      </w:pPr>
      <w:r w:rsidRPr="0DA6A0FE">
        <w:rPr>
          <w:sz w:val="24"/>
          <w:szCs w:val="24"/>
        </w:rPr>
        <w:t>Affect whole groups or classes of people because they are systemic in nature</w:t>
      </w:r>
    </w:p>
    <w:p w14:paraId="5D7E4B99" w14:textId="51270286" w:rsidR="00516C60" w:rsidRDefault="00516C60" w:rsidP="00516C60"/>
    <w:p w14:paraId="6098B5A1" w14:textId="308ABD29" w:rsidR="00516C60" w:rsidRDefault="00516C60" w:rsidP="00516C60">
      <w:pPr>
        <w:rPr>
          <w:u w:val="single"/>
        </w:rPr>
      </w:pPr>
      <w:r w:rsidRPr="00516C60">
        <w:rPr>
          <w:u w:val="single"/>
        </w:rPr>
        <w:t>Impacts of Micro-/Macro-aggressions</w:t>
      </w:r>
    </w:p>
    <w:p w14:paraId="04502D20" w14:textId="6CF7C4A9" w:rsidR="00A26CCC" w:rsidRDefault="00A26CCC" w:rsidP="007557FD">
      <w:pPr>
        <w:rPr>
          <w:u w:val="single"/>
        </w:rPr>
      </w:pPr>
    </w:p>
    <w:p w14:paraId="784075E9" w14:textId="7F0DB853" w:rsidR="007557FD" w:rsidRPr="007557FD" w:rsidRDefault="007557FD" w:rsidP="007557FD">
      <w:pPr>
        <w:rPr>
          <w:b/>
          <w:bCs/>
        </w:rPr>
      </w:pPr>
      <w:r>
        <w:rPr>
          <w:b/>
          <w:bCs/>
        </w:rPr>
        <w:t>Affects Patients:</w:t>
      </w:r>
    </w:p>
    <w:p w14:paraId="57F0C5AB" w14:textId="37EE7708" w:rsidR="0089595E" w:rsidRPr="007557FD" w:rsidRDefault="00AB3785" w:rsidP="00AB3785">
      <w:pPr>
        <w:pStyle w:val="ListParagraph"/>
        <w:numPr>
          <w:ilvl w:val="0"/>
          <w:numId w:val="2"/>
        </w:numPr>
        <w:rPr>
          <w:sz w:val="24"/>
          <w:szCs w:val="24"/>
        </w:rPr>
      </w:pPr>
      <w:r w:rsidRPr="0DA6A0FE">
        <w:rPr>
          <w:sz w:val="24"/>
          <w:szCs w:val="24"/>
        </w:rPr>
        <w:t>Contribute</w:t>
      </w:r>
      <w:r w:rsidR="00A26CCC" w:rsidRPr="0DA6A0FE">
        <w:rPr>
          <w:sz w:val="24"/>
          <w:szCs w:val="24"/>
        </w:rPr>
        <w:t>s</w:t>
      </w:r>
      <w:r w:rsidRPr="0DA6A0FE">
        <w:rPr>
          <w:sz w:val="24"/>
          <w:szCs w:val="24"/>
        </w:rPr>
        <w:t xml:space="preserve"> to health disparities among marginalized groups</w:t>
      </w:r>
    </w:p>
    <w:p w14:paraId="6D92A520" w14:textId="7A067DB5" w:rsidR="00883366" w:rsidRPr="00714A97" w:rsidRDefault="00A26CCC" w:rsidP="00714A97">
      <w:pPr>
        <w:pStyle w:val="ListParagraph"/>
        <w:numPr>
          <w:ilvl w:val="0"/>
          <w:numId w:val="2"/>
        </w:numPr>
        <w:rPr>
          <w:sz w:val="24"/>
          <w:szCs w:val="24"/>
        </w:rPr>
      </w:pPr>
      <w:r w:rsidRPr="0DA6A0FE">
        <w:rPr>
          <w:sz w:val="24"/>
          <w:szCs w:val="24"/>
        </w:rPr>
        <w:t xml:space="preserve">Studies have shown increased morbidity and mortality among </w:t>
      </w:r>
      <w:r w:rsidR="00A73D8A">
        <w:rPr>
          <w:sz w:val="24"/>
          <w:szCs w:val="24"/>
        </w:rPr>
        <w:t>racially minoritized</w:t>
      </w:r>
      <w:r w:rsidRPr="0DA6A0FE">
        <w:rPr>
          <w:sz w:val="24"/>
          <w:szCs w:val="24"/>
        </w:rPr>
        <w:t xml:space="preserve"> groups as well as in people of low socioeconomic status</w:t>
      </w:r>
    </w:p>
    <w:p w14:paraId="62457772" w14:textId="4BA914A6" w:rsidR="007557FD" w:rsidRPr="007557FD" w:rsidRDefault="007557FD" w:rsidP="007557FD">
      <w:pPr>
        <w:rPr>
          <w:b/>
          <w:bCs/>
        </w:rPr>
      </w:pPr>
      <w:r w:rsidRPr="007557FD">
        <w:rPr>
          <w:b/>
          <w:bCs/>
        </w:rPr>
        <w:t>Affects Healthcare Workers:</w:t>
      </w:r>
    </w:p>
    <w:p w14:paraId="5F62450A" w14:textId="050ABDDB" w:rsidR="00A26CCC" w:rsidRPr="007557FD" w:rsidRDefault="00A26CCC" w:rsidP="00AB3785">
      <w:pPr>
        <w:pStyle w:val="ListParagraph"/>
        <w:numPr>
          <w:ilvl w:val="0"/>
          <w:numId w:val="2"/>
        </w:numPr>
        <w:rPr>
          <w:sz w:val="24"/>
          <w:szCs w:val="24"/>
        </w:rPr>
      </w:pPr>
      <w:r w:rsidRPr="0DA6A0FE">
        <w:rPr>
          <w:sz w:val="24"/>
          <w:szCs w:val="24"/>
        </w:rPr>
        <w:t>Causes job dissatisfaction and can lead to burnout and suicidality</w:t>
      </w:r>
    </w:p>
    <w:p w14:paraId="16F3CE6E" w14:textId="34CBE57B" w:rsidR="00AB3785" w:rsidRDefault="007557FD" w:rsidP="007557FD">
      <w:pPr>
        <w:pStyle w:val="ListParagraph"/>
        <w:numPr>
          <w:ilvl w:val="0"/>
          <w:numId w:val="2"/>
        </w:numPr>
        <w:rPr>
          <w:sz w:val="24"/>
          <w:szCs w:val="24"/>
        </w:rPr>
      </w:pPr>
      <w:r w:rsidRPr="0DA6A0FE">
        <w:rPr>
          <w:sz w:val="24"/>
          <w:szCs w:val="24"/>
        </w:rPr>
        <w:t>Burnout</w:t>
      </w:r>
      <w:r w:rsidR="00A26CCC" w:rsidRPr="0DA6A0FE">
        <w:rPr>
          <w:sz w:val="24"/>
          <w:szCs w:val="24"/>
        </w:rPr>
        <w:t xml:space="preserve"> can lead to low patient satisfaction scores, suboptimal patient care and medical errors</w:t>
      </w:r>
    </w:p>
    <w:p w14:paraId="79800FCD" w14:textId="77777777" w:rsidR="0089595E" w:rsidRPr="00516C60" w:rsidRDefault="0089595E" w:rsidP="00516C60">
      <w:pPr>
        <w:rPr>
          <w:u w:val="single"/>
        </w:rPr>
      </w:pPr>
      <w:r>
        <w:rPr>
          <w:u w:val="single"/>
        </w:rPr>
        <w:lastRenderedPageBreak/>
        <w:t>Role Play Exercise</w:t>
      </w:r>
    </w:p>
    <w:p w14:paraId="2F1A0E3D" w14:textId="37D3B535" w:rsidR="00516C60" w:rsidRDefault="00516C60" w:rsidP="00516C60"/>
    <w:p w14:paraId="4FDB8486" w14:textId="0BF2462D" w:rsidR="0069169D" w:rsidRDefault="0069169D" w:rsidP="00516C60">
      <w:r>
        <w:t>The simulation faculty in charge of the debrief session should identify the microaggression from the simulated patient encounter to the learners.</w:t>
      </w:r>
    </w:p>
    <w:p w14:paraId="49458FC9" w14:textId="0CA9E066" w:rsidR="0069169D" w:rsidRDefault="0069169D" w:rsidP="00516C60"/>
    <w:p w14:paraId="40E91C79" w14:textId="383551BC" w:rsidR="0069169D" w:rsidRDefault="0069169D" w:rsidP="00516C60">
      <w:r>
        <w:t xml:space="preserve">The simulation faculty should then give an example of how the learner could have responded to the microaggression using the “Open the front door” framework prior to teaching the framework as a way of introducing the tool below. </w:t>
      </w:r>
    </w:p>
    <w:p w14:paraId="5D612E80" w14:textId="7441D5DD" w:rsidR="00516C60" w:rsidRDefault="00516C60" w:rsidP="00516C60"/>
    <w:p w14:paraId="4686F5CB" w14:textId="77777777" w:rsidR="00714A97" w:rsidRDefault="00714A97" w:rsidP="00516C60"/>
    <w:p w14:paraId="1CB678AC" w14:textId="5BB6154F" w:rsidR="00516C60" w:rsidRDefault="00516C60" w:rsidP="00516C60">
      <w:pPr>
        <w:rPr>
          <w:u w:val="single"/>
        </w:rPr>
      </w:pPr>
      <w:r w:rsidRPr="00516C60">
        <w:rPr>
          <w:u w:val="single"/>
        </w:rPr>
        <w:t>Framework for Responding to Microaggressions</w:t>
      </w:r>
    </w:p>
    <w:p w14:paraId="7805715B" w14:textId="77777777" w:rsidR="00872413" w:rsidRDefault="00872413" w:rsidP="00516C60"/>
    <w:p w14:paraId="3A6A2AEC" w14:textId="6FCD23CF" w:rsidR="00516C60" w:rsidRPr="00872413" w:rsidRDefault="00872413" w:rsidP="00516C60">
      <w:pPr>
        <w:rPr>
          <w:b/>
          <w:bCs/>
        </w:rPr>
      </w:pPr>
      <w:r w:rsidRPr="00872413">
        <w:rPr>
          <w:b/>
          <w:bCs/>
        </w:rPr>
        <w:t xml:space="preserve">OTFD: </w:t>
      </w:r>
      <w:r w:rsidR="00516C60" w:rsidRPr="00872413">
        <w:rPr>
          <w:b/>
          <w:bCs/>
        </w:rPr>
        <w:t>“Open the front door”</w:t>
      </w:r>
    </w:p>
    <w:p w14:paraId="31A6380A" w14:textId="77777777" w:rsidR="00872413" w:rsidRDefault="00872413" w:rsidP="00516C60"/>
    <w:p w14:paraId="2265C663" w14:textId="336F37C1" w:rsidR="00872413" w:rsidRDefault="00872413" w:rsidP="00516C60">
      <w:r>
        <w:t>Principles:</w:t>
      </w:r>
    </w:p>
    <w:p w14:paraId="7A865E25" w14:textId="2CB121AD" w:rsidR="00516C60" w:rsidRDefault="00516C60" w:rsidP="00516C60">
      <w:r w:rsidRPr="00516C60">
        <w:rPr>
          <w:b/>
          <w:bCs/>
          <w:i/>
          <w:iCs/>
        </w:rPr>
        <w:t>O</w:t>
      </w:r>
      <w:r w:rsidRPr="00516C60">
        <w:rPr>
          <w:i/>
          <w:iCs/>
        </w:rPr>
        <w:t>bserve</w:t>
      </w:r>
      <w:r>
        <w:t>: concrete, factual, observable</w:t>
      </w:r>
    </w:p>
    <w:p w14:paraId="2517B10D" w14:textId="0BB5F83F" w:rsidR="00516C60" w:rsidRDefault="00516C60" w:rsidP="00516C60">
      <w:r w:rsidRPr="00516C60">
        <w:rPr>
          <w:b/>
          <w:bCs/>
          <w:i/>
          <w:iCs/>
        </w:rPr>
        <w:t>T</w:t>
      </w:r>
      <w:r w:rsidRPr="00516C60">
        <w:rPr>
          <w:i/>
          <w:iCs/>
        </w:rPr>
        <w:t>hink</w:t>
      </w:r>
      <w:r>
        <w:t>: thoughts based on observation</w:t>
      </w:r>
    </w:p>
    <w:p w14:paraId="20EC1C2F" w14:textId="6322A553" w:rsidR="00516C60" w:rsidRDefault="00516C60" w:rsidP="00516C60">
      <w:r w:rsidRPr="00516C60">
        <w:rPr>
          <w:b/>
          <w:bCs/>
          <w:i/>
          <w:iCs/>
        </w:rPr>
        <w:t>F</w:t>
      </w:r>
      <w:r w:rsidRPr="00516C60">
        <w:rPr>
          <w:i/>
          <w:iCs/>
        </w:rPr>
        <w:t>eel</w:t>
      </w:r>
      <w:r>
        <w:t>: emotions</w:t>
      </w:r>
    </w:p>
    <w:p w14:paraId="46EE3BDA" w14:textId="357883F4" w:rsidR="00516C60" w:rsidRDefault="00516C60" w:rsidP="00516C60">
      <w:r w:rsidRPr="00516C60">
        <w:rPr>
          <w:b/>
          <w:bCs/>
          <w:i/>
          <w:iCs/>
        </w:rPr>
        <w:t>D</w:t>
      </w:r>
      <w:r w:rsidRPr="00516C60">
        <w:rPr>
          <w:i/>
          <w:iCs/>
        </w:rPr>
        <w:t>esire</w:t>
      </w:r>
      <w:r>
        <w:t>: request or inquire about desired outcome</w:t>
      </w:r>
    </w:p>
    <w:p w14:paraId="6B6B061F" w14:textId="03D6D557" w:rsidR="00872413" w:rsidRDefault="00872413" w:rsidP="00516C60"/>
    <w:p w14:paraId="63C32AAB" w14:textId="4E25ACCC" w:rsidR="00872413" w:rsidRDefault="00872413" w:rsidP="00516C60">
      <w:r>
        <w:t>Example:</w:t>
      </w:r>
    </w:p>
    <w:p w14:paraId="10B7BAE7" w14:textId="6D702DA5" w:rsidR="00D904FA" w:rsidRDefault="00872413" w:rsidP="00D904FA">
      <w:r>
        <w:t>“I noticed that you interrupted me when I was talking to the patient [observation of microaggression], which made me think that you didn’t believe what I had to say was important [thoughts based on observation]. I am frustrated [emotion] by this and hope that we can listen to each other more moving forward [desired outcome].”</w:t>
      </w:r>
    </w:p>
    <w:p w14:paraId="67D3B6B1" w14:textId="77777777" w:rsidR="00F2170F" w:rsidRDefault="00F2170F" w:rsidP="00516C60"/>
    <w:p w14:paraId="32E56631" w14:textId="77777777" w:rsidR="00714A97" w:rsidRDefault="00714A97" w:rsidP="00516C60"/>
    <w:p w14:paraId="7A0D3543" w14:textId="343CDCB4" w:rsidR="00872413" w:rsidRPr="00CA091E" w:rsidRDefault="00872413" w:rsidP="00516C60">
      <w:pPr>
        <w:rPr>
          <w:rFonts w:cstheme="minorHAnsi"/>
          <w:sz w:val="20"/>
          <w:szCs w:val="20"/>
          <w:u w:val="single"/>
        </w:rPr>
      </w:pPr>
      <w:r w:rsidRPr="00CA091E">
        <w:rPr>
          <w:rFonts w:cstheme="minorHAnsi"/>
          <w:sz w:val="20"/>
          <w:szCs w:val="20"/>
          <w:u w:val="single"/>
        </w:rPr>
        <w:t>Resources</w:t>
      </w:r>
    </w:p>
    <w:p w14:paraId="6A0AD5B4" w14:textId="77777777" w:rsidR="00EB6B1F" w:rsidRPr="00CA091E" w:rsidRDefault="00EB6B1F" w:rsidP="00EB6B1F">
      <w:pPr>
        <w:rPr>
          <w:rFonts w:eastAsia="Times New Roman" w:cstheme="minorHAnsi"/>
          <w:sz w:val="20"/>
          <w:szCs w:val="20"/>
          <w:shd w:val="clear" w:color="auto" w:fill="FFFFFF"/>
        </w:rPr>
      </w:pPr>
    </w:p>
    <w:p w14:paraId="1DEBA6F5" w14:textId="669B2C99" w:rsidR="00872413" w:rsidRPr="00CA091E" w:rsidRDefault="00EB6B1F" w:rsidP="00EB6B1F">
      <w:pPr>
        <w:rPr>
          <w:rFonts w:eastAsia="Times New Roman" w:cstheme="minorHAnsi"/>
          <w:sz w:val="20"/>
          <w:szCs w:val="20"/>
        </w:rPr>
      </w:pPr>
      <w:r w:rsidRPr="00CA091E">
        <w:rPr>
          <w:rFonts w:eastAsia="Times New Roman" w:cstheme="minorHAnsi"/>
          <w:sz w:val="20"/>
          <w:szCs w:val="20"/>
          <w:shd w:val="clear" w:color="auto" w:fill="FFFFFF"/>
        </w:rPr>
        <w:t>Pierce C. </w:t>
      </w:r>
      <w:r w:rsidRPr="00CA091E">
        <w:rPr>
          <w:rFonts w:eastAsia="Times New Roman" w:cstheme="minorHAnsi"/>
          <w:sz w:val="20"/>
          <w:szCs w:val="20"/>
        </w:rPr>
        <w:t>Psychiatric problems of the black minority. Vol. American Handbook of Psychiatry</w:t>
      </w:r>
      <w:r w:rsidRPr="00CA091E">
        <w:rPr>
          <w:rFonts w:eastAsia="Times New Roman" w:cstheme="minorHAnsi"/>
          <w:sz w:val="20"/>
          <w:szCs w:val="20"/>
          <w:shd w:val="clear" w:color="auto" w:fill="FFFFFF"/>
        </w:rPr>
        <w:t>. 1974; New York: Basic Books, 512–523.</w:t>
      </w:r>
    </w:p>
    <w:p w14:paraId="1C8B93E8" w14:textId="77777777" w:rsidR="00EB6B1F" w:rsidRPr="00CA091E" w:rsidRDefault="00EB6B1F" w:rsidP="00516C60">
      <w:pPr>
        <w:rPr>
          <w:rFonts w:cstheme="minorHAnsi"/>
          <w:sz w:val="20"/>
          <w:szCs w:val="20"/>
          <w:u w:val="single"/>
        </w:rPr>
      </w:pPr>
    </w:p>
    <w:p w14:paraId="0F3FA5FF" w14:textId="423F640F" w:rsidR="00EB6B1F" w:rsidRPr="00CA091E" w:rsidRDefault="00EB6B1F" w:rsidP="00EB6B1F">
      <w:pPr>
        <w:rPr>
          <w:rFonts w:eastAsia="Times New Roman" w:cstheme="minorHAnsi"/>
          <w:sz w:val="20"/>
          <w:szCs w:val="20"/>
          <w:shd w:val="clear" w:color="auto" w:fill="FFFFFF"/>
        </w:rPr>
      </w:pPr>
      <w:r w:rsidRPr="00CA091E">
        <w:rPr>
          <w:rFonts w:eastAsia="Times New Roman" w:cstheme="minorHAnsi"/>
          <w:sz w:val="20"/>
          <w:szCs w:val="20"/>
          <w:shd w:val="clear" w:color="auto" w:fill="FFFFFF"/>
        </w:rPr>
        <w:t xml:space="preserve">Sue DW, Capodilupo CM, Torino GC, Bucceri JM, Holder AM, Nadal KL, Esquilin M. Racial microaggressions in everyday life: implications for clinical practice. Am Psychol. 2007 May-Jun;62(4):271-86. </w:t>
      </w:r>
      <w:proofErr w:type="spellStart"/>
      <w:r w:rsidRPr="00CA091E">
        <w:rPr>
          <w:rFonts w:eastAsia="Times New Roman" w:cstheme="minorHAnsi"/>
          <w:sz w:val="20"/>
          <w:szCs w:val="20"/>
          <w:shd w:val="clear" w:color="auto" w:fill="FFFFFF"/>
        </w:rPr>
        <w:t>doi</w:t>
      </w:r>
      <w:proofErr w:type="spellEnd"/>
      <w:r w:rsidRPr="00CA091E">
        <w:rPr>
          <w:rFonts w:eastAsia="Times New Roman" w:cstheme="minorHAnsi"/>
          <w:sz w:val="20"/>
          <w:szCs w:val="20"/>
          <w:shd w:val="clear" w:color="auto" w:fill="FFFFFF"/>
        </w:rPr>
        <w:t>: 10.1037/0003-066X.62.4.271. PMID: 17516773.</w:t>
      </w:r>
    </w:p>
    <w:p w14:paraId="14EE5B3C" w14:textId="172EC0BA" w:rsidR="00D46FEF" w:rsidRPr="00CA091E" w:rsidRDefault="00D46FEF" w:rsidP="00EB6B1F">
      <w:pPr>
        <w:rPr>
          <w:rFonts w:eastAsia="Times New Roman" w:cstheme="minorHAnsi"/>
          <w:sz w:val="20"/>
          <w:szCs w:val="20"/>
          <w:shd w:val="clear" w:color="auto" w:fill="FFFFFF"/>
        </w:rPr>
      </w:pPr>
    </w:p>
    <w:p w14:paraId="77A44E53" w14:textId="140F625F" w:rsidR="00D46FEF" w:rsidRPr="00CA091E" w:rsidRDefault="00D46FEF" w:rsidP="00D46FEF">
      <w:pPr>
        <w:rPr>
          <w:rFonts w:eastAsia="Times New Roman" w:cstheme="minorHAnsi"/>
          <w:sz w:val="20"/>
          <w:szCs w:val="20"/>
          <w:shd w:val="clear" w:color="auto" w:fill="FFFFFF"/>
        </w:rPr>
      </w:pPr>
      <w:r w:rsidRPr="00CA091E">
        <w:rPr>
          <w:rFonts w:eastAsia="Times New Roman" w:cstheme="minorHAnsi"/>
          <w:sz w:val="20"/>
          <w:szCs w:val="20"/>
          <w:shd w:val="clear" w:color="auto" w:fill="FFFFFF"/>
        </w:rPr>
        <w:t xml:space="preserve">Sue DW, Alsaidi S, Awad MN, Glaeser E, Calle CZ, Mendez N. Disarming racial microaggressions: </w:t>
      </w:r>
      <w:proofErr w:type="spellStart"/>
      <w:r w:rsidRPr="00CA091E">
        <w:rPr>
          <w:rFonts w:eastAsia="Times New Roman" w:cstheme="minorHAnsi"/>
          <w:sz w:val="20"/>
          <w:szCs w:val="20"/>
          <w:shd w:val="clear" w:color="auto" w:fill="FFFFFF"/>
        </w:rPr>
        <w:t>Microintervention</w:t>
      </w:r>
      <w:proofErr w:type="spellEnd"/>
      <w:r w:rsidRPr="00CA091E">
        <w:rPr>
          <w:rFonts w:eastAsia="Times New Roman" w:cstheme="minorHAnsi"/>
          <w:sz w:val="20"/>
          <w:szCs w:val="20"/>
          <w:shd w:val="clear" w:color="auto" w:fill="FFFFFF"/>
        </w:rPr>
        <w:t xml:space="preserve"> strategies for targets, White allies, and bystanders. Am Psychol. 2019 Jan;74(1):128-142. </w:t>
      </w:r>
      <w:proofErr w:type="spellStart"/>
      <w:r w:rsidRPr="00CA091E">
        <w:rPr>
          <w:rFonts w:eastAsia="Times New Roman" w:cstheme="minorHAnsi"/>
          <w:sz w:val="20"/>
          <w:szCs w:val="20"/>
          <w:shd w:val="clear" w:color="auto" w:fill="FFFFFF"/>
        </w:rPr>
        <w:t>doi</w:t>
      </w:r>
      <w:proofErr w:type="spellEnd"/>
      <w:r w:rsidRPr="00CA091E">
        <w:rPr>
          <w:rFonts w:eastAsia="Times New Roman" w:cstheme="minorHAnsi"/>
          <w:sz w:val="20"/>
          <w:szCs w:val="20"/>
          <w:shd w:val="clear" w:color="auto" w:fill="FFFFFF"/>
        </w:rPr>
        <w:t>: 10.1037/amp0000296. PMID: 30652905.</w:t>
      </w:r>
    </w:p>
    <w:p w14:paraId="2D3D856B" w14:textId="2C342879" w:rsidR="00A26CCC" w:rsidRPr="00CA091E" w:rsidRDefault="00A26CCC" w:rsidP="00D46FEF">
      <w:pPr>
        <w:rPr>
          <w:rFonts w:eastAsia="Times New Roman" w:cstheme="minorHAnsi"/>
          <w:sz w:val="20"/>
          <w:szCs w:val="20"/>
          <w:shd w:val="clear" w:color="auto" w:fill="FFFFFF"/>
        </w:rPr>
      </w:pPr>
    </w:p>
    <w:p w14:paraId="68017230" w14:textId="04583437" w:rsidR="00A26CCC" w:rsidRPr="00CA091E" w:rsidRDefault="00A26CCC" w:rsidP="00A26CCC">
      <w:pPr>
        <w:rPr>
          <w:rFonts w:eastAsia="Times New Roman" w:cstheme="minorHAnsi"/>
          <w:sz w:val="20"/>
          <w:szCs w:val="20"/>
        </w:rPr>
      </w:pPr>
      <w:proofErr w:type="spellStart"/>
      <w:r w:rsidRPr="00CA091E">
        <w:rPr>
          <w:rFonts w:eastAsia="Times New Roman" w:cstheme="minorHAnsi"/>
          <w:sz w:val="20"/>
          <w:szCs w:val="20"/>
          <w:shd w:val="clear" w:color="auto" w:fill="FFFFFF"/>
        </w:rPr>
        <w:t>Ehie</w:t>
      </w:r>
      <w:proofErr w:type="spellEnd"/>
      <w:r w:rsidRPr="00CA091E">
        <w:rPr>
          <w:rFonts w:eastAsia="Times New Roman" w:cstheme="minorHAnsi"/>
          <w:sz w:val="20"/>
          <w:szCs w:val="20"/>
          <w:shd w:val="clear" w:color="auto" w:fill="FFFFFF"/>
        </w:rPr>
        <w:t xml:space="preserve"> O, Muse I, Hill L, Bastien A. Professionalism: microaggression in the healthcare setting. Curr </w:t>
      </w:r>
      <w:proofErr w:type="spellStart"/>
      <w:r w:rsidRPr="00CA091E">
        <w:rPr>
          <w:rFonts w:eastAsia="Times New Roman" w:cstheme="minorHAnsi"/>
          <w:sz w:val="20"/>
          <w:szCs w:val="20"/>
          <w:shd w:val="clear" w:color="auto" w:fill="FFFFFF"/>
        </w:rPr>
        <w:t>Opin</w:t>
      </w:r>
      <w:proofErr w:type="spellEnd"/>
      <w:r w:rsidRPr="00CA091E">
        <w:rPr>
          <w:rFonts w:eastAsia="Times New Roman" w:cstheme="minorHAnsi"/>
          <w:sz w:val="20"/>
          <w:szCs w:val="20"/>
          <w:shd w:val="clear" w:color="auto" w:fill="FFFFFF"/>
        </w:rPr>
        <w:t xml:space="preserve"> </w:t>
      </w:r>
      <w:proofErr w:type="spellStart"/>
      <w:r w:rsidRPr="00CA091E">
        <w:rPr>
          <w:rFonts w:eastAsia="Times New Roman" w:cstheme="minorHAnsi"/>
          <w:sz w:val="20"/>
          <w:szCs w:val="20"/>
          <w:shd w:val="clear" w:color="auto" w:fill="FFFFFF"/>
        </w:rPr>
        <w:t>Anaesthesiol</w:t>
      </w:r>
      <w:proofErr w:type="spellEnd"/>
      <w:r w:rsidRPr="00CA091E">
        <w:rPr>
          <w:rFonts w:eastAsia="Times New Roman" w:cstheme="minorHAnsi"/>
          <w:sz w:val="20"/>
          <w:szCs w:val="20"/>
          <w:shd w:val="clear" w:color="auto" w:fill="FFFFFF"/>
        </w:rPr>
        <w:t xml:space="preserve">. 2021 Apr 1;34(2):131-136. </w:t>
      </w:r>
      <w:proofErr w:type="spellStart"/>
      <w:r w:rsidRPr="00CA091E">
        <w:rPr>
          <w:rFonts w:eastAsia="Times New Roman" w:cstheme="minorHAnsi"/>
          <w:sz w:val="20"/>
          <w:szCs w:val="20"/>
          <w:shd w:val="clear" w:color="auto" w:fill="FFFFFF"/>
        </w:rPr>
        <w:t>doi</w:t>
      </w:r>
      <w:proofErr w:type="spellEnd"/>
      <w:r w:rsidRPr="00CA091E">
        <w:rPr>
          <w:rFonts w:eastAsia="Times New Roman" w:cstheme="minorHAnsi"/>
          <w:sz w:val="20"/>
          <w:szCs w:val="20"/>
          <w:shd w:val="clear" w:color="auto" w:fill="FFFFFF"/>
        </w:rPr>
        <w:t>: 10.1097/ACO.0000000000000966. PMID: 33630771; PMCID: PMC7984763.</w:t>
      </w:r>
    </w:p>
    <w:p w14:paraId="38955C7E" w14:textId="77777777" w:rsidR="00EB6B1F" w:rsidRPr="00CA091E" w:rsidRDefault="00EB6B1F" w:rsidP="00EB6B1F">
      <w:pPr>
        <w:rPr>
          <w:rFonts w:eastAsia="Times New Roman" w:cstheme="minorHAnsi"/>
          <w:sz w:val="20"/>
          <w:szCs w:val="20"/>
        </w:rPr>
      </w:pPr>
    </w:p>
    <w:p w14:paraId="16B4C827" w14:textId="441FCB55" w:rsidR="00872413" w:rsidRPr="00CA091E" w:rsidRDefault="00872413" w:rsidP="0DA6A0FE">
      <w:pPr>
        <w:rPr>
          <w:rFonts w:eastAsia="Times New Roman" w:cstheme="minorHAnsi"/>
          <w:sz w:val="20"/>
          <w:szCs w:val="20"/>
          <w:shd w:val="clear" w:color="auto" w:fill="FFFFFF"/>
        </w:rPr>
      </w:pPr>
      <w:r w:rsidRPr="00CA091E">
        <w:rPr>
          <w:rFonts w:eastAsia="Times New Roman" w:cstheme="minorHAnsi"/>
          <w:sz w:val="20"/>
          <w:szCs w:val="20"/>
          <w:shd w:val="clear" w:color="auto" w:fill="FFFFFF"/>
        </w:rPr>
        <w:t xml:space="preserve">Molina MF, Landry AI, Chary AN, Burnett-Bowie SM. Addressing the Elephant in the Room: Microaggressions in Medicine. Ann Emerg Med. 2020 Oct;76(4):387-391. </w:t>
      </w:r>
      <w:proofErr w:type="spellStart"/>
      <w:r w:rsidRPr="00CA091E">
        <w:rPr>
          <w:rFonts w:eastAsia="Times New Roman" w:cstheme="minorHAnsi"/>
          <w:sz w:val="20"/>
          <w:szCs w:val="20"/>
          <w:shd w:val="clear" w:color="auto" w:fill="FFFFFF"/>
        </w:rPr>
        <w:t>doi</w:t>
      </w:r>
      <w:proofErr w:type="spellEnd"/>
      <w:r w:rsidRPr="00CA091E">
        <w:rPr>
          <w:rFonts w:eastAsia="Times New Roman" w:cstheme="minorHAnsi"/>
          <w:sz w:val="20"/>
          <w:szCs w:val="20"/>
          <w:shd w:val="clear" w:color="auto" w:fill="FFFFFF"/>
        </w:rPr>
        <w:t xml:space="preserve">: 10.1016/j.annemergmed.2020.04.009. </w:t>
      </w:r>
      <w:proofErr w:type="spellStart"/>
      <w:r w:rsidRPr="00CA091E">
        <w:rPr>
          <w:rFonts w:eastAsia="Times New Roman" w:cstheme="minorHAnsi"/>
          <w:sz w:val="20"/>
          <w:szCs w:val="20"/>
          <w:shd w:val="clear" w:color="auto" w:fill="FFFFFF"/>
        </w:rPr>
        <w:t>Epub</w:t>
      </w:r>
      <w:proofErr w:type="spellEnd"/>
      <w:r w:rsidRPr="00CA091E">
        <w:rPr>
          <w:rFonts w:eastAsia="Times New Roman" w:cstheme="minorHAnsi"/>
          <w:sz w:val="20"/>
          <w:szCs w:val="20"/>
          <w:shd w:val="clear" w:color="auto" w:fill="FFFFFF"/>
        </w:rPr>
        <w:t xml:space="preserve"> 2020 May 23. PMID: 32456801.</w:t>
      </w:r>
    </w:p>
    <w:p w14:paraId="7F0F1341" w14:textId="2EB21D10" w:rsidR="0DA6A0FE" w:rsidRPr="00CA091E" w:rsidRDefault="0DA6A0FE" w:rsidP="0DA6A0FE">
      <w:pPr>
        <w:rPr>
          <w:rFonts w:eastAsia="Times New Roman" w:cstheme="minorHAnsi"/>
          <w:sz w:val="20"/>
          <w:szCs w:val="20"/>
        </w:rPr>
      </w:pPr>
    </w:p>
    <w:p w14:paraId="73FAD35D" w14:textId="72A230A8" w:rsidR="149D7B0E" w:rsidRPr="00CA091E" w:rsidRDefault="149D7B0E" w:rsidP="0DA6A0FE">
      <w:pPr>
        <w:spacing w:after="160"/>
        <w:rPr>
          <w:rFonts w:cstheme="minorHAnsi"/>
          <w:sz w:val="20"/>
          <w:szCs w:val="20"/>
        </w:rPr>
      </w:pPr>
      <w:r w:rsidRPr="00CA091E">
        <w:rPr>
          <w:rFonts w:cstheme="minorHAnsi"/>
          <w:sz w:val="20"/>
          <w:szCs w:val="20"/>
        </w:rPr>
        <w:t>Torres MB, Salles A, Cochran A. Recognizing and Reacting to Microaggressions in Medicine and Surgery. </w:t>
      </w:r>
      <w:r w:rsidRPr="00CA091E">
        <w:rPr>
          <w:rFonts w:cstheme="minorHAnsi"/>
          <w:i/>
          <w:iCs/>
          <w:sz w:val="20"/>
          <w:szCs w:val="20"/>
        </w:rPr>
        <w:t>JAMA Surg.</w:t>
      </w:r>
      <w:r w:rsidRPr="00CA091E">
        <w:rPr>
          <w:rFonts w:cstheme="minorHAnsi"/>
          <w:sz w:val="20"/>
          <w:szCs w:val="20"/>
        </w:rPr>
        <w:t> 2019;154(9):868–872. doi:10.1001/jamasurg.2019.1648</w:t>
      </w:r>
    </w:p>
    <w:p w14:paraId="6DFEC61C" w14:textId="77777777" w:rsidR="00CA091E" w:rsidRPr="00CA091E" w:rsidRDefault="00CA091E" w:rsidP="00CA091E">
      <w:pPr>
        <w:rPr>
          <w:rFonts w:cstheme="minorHAnsi"/>
          <w:sz w:val="20"/>
          <w:szCs w:val="20"/>
        </w:rPr>
      </w:pPr>
      <w:r w:rsidRPr="00CA091E">
        <w:rPr>
          <w:rFonts w:cstheme="minorHAnsi"/>
          <w:sz w:val="20"/>
          <w:szCs w:val="20"/>
        </w:rPr>
        <w:t xml:space="preserve">Souza TJ. Managing Hot Moments in the Classroom: Concrete Strategies for Cooling Down Tension. Faculty Focus Special Report: Diversity and Inclusion in the College Classroom. Magna Publication. 2016. </w:t>
      </w:r>
    </w:p>
    <w:p w14:paraId="0B63991F" w14:textId="0D636F23" w:rsidR="0DA6A0FE" w:rsidRDefault="0DA6A0FE" w:rsidP="0DA6A0FE">
      <w:pPr>
        <w:rPr>
          <w:rFonts w:eastAsia="Times New Roman"/>
          <w:color w:val="212121"/>
          <w:sz w:val="20"/>
          <w:szCs w:val="20"/>
        </w:rPr>
      </w:pPr>
    </w:p>
    <w:p w14:paraId="12C86275" w14:textId="534088A7" w:rsidR="00EB6B1F" w:rsidRDefault="00EB6B1F" w:rsidP="00872413">
      <w:pPr>
        <w:rPr>
          <w:rFonts w:eastAsia="Times New Roman" w:cstheme="minorHAnsi"/>
          <w:color w:val="212121"/>
          <w:sz w:val="20"/>
          <w:szCs w:val="20"/>
          <w:shd w:val="clear" w:color="auto" w:fill="FFFFFF"/>
        </w:rPr>
      </w:pPr>
    </w:p>
    <w:p w14:paraId="6DC74DD3" w14:textId="77777777" w:rsidR="00C013AA" w:rsidRPr="00EB6B1F" w:rsidRDefault="00C013AA" w:rsidP="00872413">
      <w:pPr>
        <w:rPr>
          <w:rFonts w:eastAsia="Times New Roman" w:cstheme="minorHAnsi"/>
          <w:color w:val="212121"/>
          <w:sz w:val="20"/>
          <w:szCs w:val="20"/>
          <w:shd w:val="clear" w:color="auto" w:fill="FFFFFF"/>
        </w:rPr>
      </w:pPr>
    </w:p>
    <w:p w14:paraId="30C8D7B2" w14:textId="167D1AFC" w:rsidR="00516C60" w:rsidRPr="00EB6B1F" w:rsidRDefault="00516C60" w:rsidP="00F2170F">
      <w:pPr>
        <w:rPr>
          <w:sz w:val="20"/>
          <w:szCs w:val="20"/>
        </w:rPr>
      </w:pPr>
    </w:p>
    <w:sectPr w:rsidR="00516C60" w:rsidRPr="00EB6B1F" w:rsidSect="00FF63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intelligence.xml><?xml version="1.0" encoding="utf-8"?>
<int:Intelligence xmlns:int="http://schemas.microsoft.com/office/intelligence/2019/intelligence">
  <int:IntelligenceSettings/>
  <int:Manifest>
    <int:WordHash hashCode="G/wiw64EF3kAzN" id="Yii0yR7n"/>
  </int:Manifest>
  <int:Observations>
    <int:Content id="Yii0yR7n">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82E"/>
    <w:multiLevelType w:val="hybridMultilevel"/>
    <w:tmpl w:val="D8B4217E"/>
    <w:lvl w:ilvl="0" w:tplc="CEEA7466">
      <w:start w:val="1"/>
      <w:numFmt w:val="bullet"/>
      <w:lvlText w:val="-"/>
      <w:lvlJc w:val="left"/>
      <w:pPr>
        <w:ind w:left="720" w:hanging="360"/>
      </w:pPr>
      <w:rPr>
        <w:rFonts w:ascii="Calibri" w:eastAsiaTheme="minorEastAsia" w:hAnsi="Calibri" w:cs="Calibri" w:hint="default"/>
      </w:rPr>
    </w:lvl>
    <w:lvl w:ilvl="1" w:tplc="B88EB8D0">
      <w:numFmt w:val="bullet"/>
      <w:lvlText w:val="-"/>
      <w:lvlJc w:val="left"/>
      <w:pPr>
        <w:ind w:left="1440" w:hanging="360"/>
      </w:pPr>
      <w:rPr>
        <w:rFonts w:ascii="Calibri" w:eastAsia="Times New Roman" w:hAnsi="Calibri" w:cs="Calibri" w:hint="default"/>
      </w:rPr>
    </w:lvl>
    <w:lvl w:ilvl="2" w:tplc="B88EB8D0">
      <w:numFmt w:val="bullet"/>
      <w:lvlText w:val="-"/>
      <w:lvlJc w:val="left"/>
      <w:pPr>
        <w:ind w:left="2160" w:hanging="360"/>
      </w:pPr>
      <w:rPr>
        <w:rFonts w:ascii="Calibri" w:eastAsia="Times New Roman" w:hAnsi="Calibri" w:cs="Calibri"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B88EB8D0">
      <w:numFmt w:val="bullet"/>
      <w:lvlText w:val="-"/>
      <w:lvlJc w:val="left"/>
      <w:pPr>
        <w:ind w:left="1800" w:hanging="360"/>
      </w:pPr>
      <w:rPr>
        <w:rFonts w:ascii="Calibri" w:eastAsia="Times New Roman" w:hAnsi="Calibri" w:cs="Calibri"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437F0C"/>
    <w:multiLevelType w:val="hybridMultilevel"/>
    <w:tmpl w:val="92DC98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A894D29"/>
    <w:multiLevelType w:val="hybridMultilevel"/>
    <w:tmpl w:val="A54E3996"/>
    <w:lvl w:ilvl="0" w:tplc="B88EB8D0">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80E0FE2"/>
    <w:multiLevelType w:val="hybridMultilevel"/>
    <w:tmpl w:val="1B40CE9A"/>
    <w:lvl w:ilvl="0" w:tplc="1B005436">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8E52C1"/>
    <w:multiLevelType w:val="hybridMultilevel"/>
    <w:tmpl w:val="949EF538"/>
    <w:lvl w:ilvl="0" w:tplc="B88EB8D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217876">
    <w:abstractNumId w:val="4"/>
  </w:num>
  <w:num w:numId="2" w16cid:durableId="1874421253">
    <w:abstractNumId w:val="0"/>
  </w:num>
  <w:num w:numId="3" w16cid:durableId="1301154076">
    <w:abstractNumId w:val="3"/>
  </w:num>
  <w:num w:numId="4" w16cid:durableId="730152744">
    <w:abstractNumId w:val="1"/>
  </w:num>
  <w:num w:numId="5" w16cid:durableId="1968927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5A4"/>
    <w:rsid w:val="00260A4A"/>
    <w:rsid w:val="003E6536"/>
    <w:rsid w:val="0041606B"/>
    <w:rsid w:val="0047733C"/>
    <w:rsid w:val="00486FAC"/>
    <w:rsid w:val="00516A9D"/>
    <w:rsid w:val="00516C60"/>
    <w:rsid w:val="006714F4"/>
    <w:rsid w:val="0069169D"/>
    <w:rsid w:val="006A3799"/>
    <w:rsid w:val="006C5A0C"/>
    <w:rsid w:val="006D711B"/>
    <w:rsid w:val="00714A97"/>
    <w:rsid w:val="007557FD"/>
    <w:rsid w:val="007E5D63"/>
    <w:rsid w:val="00872413"/>
    <w:rsid w:val="00883366"/>
    <w:rsid w:val="0089595E"/>
    <w:rsid w:val="008C25A4"/>
    <w:rsid w:val="009B7D28"/>
    <w:rsid w:val="00A26CCC"/>
    <w:rsid w:val="00A73D8A"/>
    <w:rsid w:val="00AB296A"/>
    <w:rsid w:val="00AB3785"/>
    <w:rsid w:val="00C013AA"/>
    <w:rsid w:val="00CA091E"/>
    <w:rsid w:val="00CB5663"/>
    <w:rsid w:val="00CD5E68"/>
    <w:rsid w:val="00D46FEF"/>
    <w:rsid w:val="00D904FA"/>
    <w:rsid w:val="00DE73A1"/>
    <w:rsid w:val="00E22FF9"/>
    <w:rsid w:val="00EB6B1F"/>
    <w:rsid w:val="00F2170F"/>
    <w:rsid w:val="00FC6C74"/>
    <w:rsid w:val="00FF63B3"/>
    <w:rsid w:val="018FC6E4"/>
    <w:rsid w:val="0460D615"/>
    <w:rsid w:val="09E92F86"/>
    <w:rsid w:val="0B84FFE7"/>
    <w:rsid w:val="0CD227B7"/>
    <w:rsid w:val="0D863125"/>
    <w:rsid w:val="0DA6A0FE"/>
    <w:rsid w:val="0EC48E2F"/>
    <w:rsid w:val="0F81A603"/>
    <w:rsid w:val="149D7B0E"/>
    <w:rsid w:val="15F73B25"/>
    <w:rsid w:val="16F129E3"/>
    <w:rsid w:val="1934A2D2"/>
    <w:rsid w:val="1AA18AAA"/>
    <w:rsid w:val="1E32A48B"/>
    <w:rsid w:val="1F516BC7"/>
    <w:rsid w:val="20FA1669"/>
    <w:rsid w:val="228EA254"/>
    <w:rsid w:val="24693AD4"/>
    <w:rsid w:val="251BFD12"/>
    <w:rsid w:val="27421CC2"/>
    <w:rsid w:val="274D0C18"/>
    <w:rsid w:val="27C000DA"/>
    <w:rsid w:val="2D7FB51E"/>
    <w:rsid w:val="323721A6"/>
    <w:rsid w:val="32745DE0"/>
    <w:rsid w:val="3303111B"/>
    <w:rsid w:val="34102E41"/>
    <w:rsid w:val="363AB1DD"/>
    <w:rsid w:val="3882E097"/>
    <w:rsid w:val="3AD91F09"/>
    <w:rsid w:val="3CA9F361"/>
    <w:rsid w:val="3CCB3B1A"/>
    <w:rsid w:val="41D5CBF1"/>
    <w:rsid w:val="472B703D"/>
    <w:rsid w:val="479812B7"/>
    <w:rsid w:val="4A6310FF"/>
    <w:rsid w:val="4C3367C1"/>
    <w:rsid w:val="5029A3DA"/>
    <w:rsid w:val="520D7A98"/>
    <w:rsid w:val="52DFD977"/>
    <w:rsid w:val="52E1A226"/>
    <w:rsid w:val="552B7E03"/>
    <w:rsid w:val="56903A3E"/>
    <w:rsid w:val="57419407"/>
    <w:rsid w:val="58E551EE"/>
    <w:rsid w:val="5A81224F"/>
    <w:rsid w:val="5F3B6B15"/>
    <w:rsid w:val="5FAD063F"/>
    <w:rsid w:val="628C3434"/>
    <w:rsid w:val="628C660A"/>
    <w:rsid w:val="64A2FFEF"/>
    <w:rsid w:val="67DBF4F0"/>
    <w:rsid w:val="68FB75B8"/>
    <w:rsid w:val="6AB03566"/>
    <w:rsid w:val="6B319F83"/>
    <w:rsid w:val="6BBDFADB"/>
    <w:rsid w:val="6D9F582A"/>
    <w:rsid w:val="700189D3"/>
    <w:rsid w:val="710EA6F9"/>
    <w:rsid w:val="76439C7B"/>
    <w:rsid w:val="79010276"/>
    <w:rsid w:val="7ABC1504"/>
    <w:rsid w:val="7C57E5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F8D9809"/>
  <w15:chartTrackingRefBased/>
  <w15:docId w15:val="{E833F5C3-5623-AC49-94BB-53A813D69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6C60"/>
    <w:pPr>
      <w:spacing w:after="160" w:line="259" w:lineRule="auto"/>
      <w:ind w:left="720"/>
      <w:contextualSpacing/>
    </w:pPr>
    <w:rPr>
      <w:rFonts w:eastAsiaTheme="minorHAnsi"/>
      <w:sz w:val="22"/>
      <w:szCs w:val="22"/>
      <w:lang w:eastAsia="en-US"/>
    </w:rPr>
  </w:style>
  <w:style w:type="character" w:customStyle="1" w:styleId="apple-converted-space">
    <w:name w:val="apple-converted-space"/>
    <w:basedOn w:val="DefaultParagraphFont"/>
    <w:rsid w:val="006C5A0C"/>
  </w:style>
  <w:style w:type="character" w:customStyle="1" w:styleId="ref-title">
    <w:name w:val="ref-title"/>
    <w:basedOn w:val="DefaultParagraphFont"/>
    <w:rsid w:val="00EB6B1F"/>
  </w:style>
  <w:style w:type="paragraph" w:styleId="NormalWeb">
    <w:name w:val="Normal (Web)"/>
    <w:basedOn w:val="Normal"/>
    <w:uiPriority w:val="99"/>
    <w:semiHidden/>
    <w:unhideWhenUsed/>
    <w:rsid w:val="0041606B"/>
    <w:pPr>
      <w:spacing w:before="100" w:beforeAutospacing="1" w:after="100" w:afterAutospacing="1"/>
    </w:pPr>
    <w:rPr>
      <w:rFonts w:ascii="Times New Roman" w:eastAsia="Times New Roman" w:hAnsi="Times New Roman" w:cs="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7733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7733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105074">
      <w:bodyDiv w:val="1"/>
      <w:marLeft w:val="0"/>
      <w:marRight w:val="0"/>
      <w:marTop w:val="0"/>
      <w:marBottom w:val="0"/>
      <w:divBdr>
        <w:top w:val="none" w:sz="0" w:space="0" w:color="auto"/>
        <w:left w:val="none" w:sz="0" w:space="0" w:color="auto"/>
        <w:bottom w:val="none" w:sz="0" w:space="0" w:color="auto"/>
        <w:right w:val="none" w:sz="0" w:space="0" w:color="auto"/>
      </w:divBdr>
    </w:div>
    <w:div w:id="623655837">
      <w:bodyDiv w:val="1"/>
      <w:marLeft w:val="0"/>
      <w:marRight w:val="0"/>
      <w:marTop w:val="0"/>
      <w:marBottom w:val="0"/>
      <w:divBdr>
        <w:top w:val="none" w:sz="0" w:space="0" w:color="auto"/>
        <w:left w:val="none" w:sz="0" w:space="0" w:color="auto"/>
        <w:bottom w:val="none" w:sz="0" w:space="0" w:color="auto"/>
        <w:right w:val="none" w:sz="0" w:space="0" w:color="auto"/>
      </w:divBdr>
    </w:div>
    <w:div w:id="758523527">
      <w:bodyDiv w:val="1"/>
      <w:marLeft w:val="0"/>
      <w:marRight w:val="0"/>
      <w:marTop w:val="0"/>
      <w:marBottom w:val="0"/>
      <w:divBdr>
        <w:top w:val="none" w:sz="0" w:space="0" w:color="auto"/>
        <w:left w:val="none" w:sz="0" w:space="0" w:color="auto"/>
        <w:bottom w:val="none" w:sz="0" w:space="0" w:color="auto"/>
        <w:right w:val="none" w:sz="0" w:space="0" w:color="auto"/>
      </w:divBdr>
      <w:divsChild>
        <w:div w:id="2093744950">
          <w:marLeft w:val="0"/>
          <w:marRight w:val="0"/>
          <w:marTop w:val="0"/>
          <w:marBottom w:val="0"/>
          <w:divBdr>
            <w:top w:val="none" w:sz="0" w:space="0" w:color="auto"/>
            <w:left w:val="none" w:sz="0" w:space="0" w:color="auto"/>
            <w:bottom w:val="none" w:sz="0" w:space="0" w:color="auto"/>
            <w:right w:val="none" w:sz="0" w:space="0" w:color="auto"/>
          </w:divBdr>
          <w:divsChild>
            <w:div w:id="1183936943">
              <w:marLeft w:val="0"/>
              <w:marRight w:val="0"/>
              <w:marTop w:val="0"/>
              <w:marBottom w:val="0"/>
              <w:divBdr>
                <w:top w:val="none" w:sz="0" w:space="0" w:color="auto"/>
                <w:left w:val="none" w:sz="0" w:space="0" w:color="auto"/>
                <w:bottom w:val="none" w:sz="0" w:space="0" w:color="auto"/>
                <w:right w:val="none" w:sz="0" w:space="0" w:color="auto"/>
              </w:divBdr>
              <w:divsChild>
                <w:div w:id="69430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76211">
      <w:bodyDiv w:val="1"/>
      <w:marLeft w:val="0"/>
      <w:marRight w:val="0"/>
      <w:marTop w:val="0"/>
      <w:marBottom w:val="0"/>
      <w:divBdr>
        <w:top w:val="none" w:sz="0" w:space="0" w:color="auto"/>
        <w:left w:val="none" w:sz="0" w:space="0" w:color="auto"/>
        <w:bottom w:val="none" w:sz="0" w:space="0" w:color="auto"/>
        <w:right w:val="none" w:sz="0" w:space="0" w:color="auto"/>
      </w:divBdr>
    </w:div>
    <w:div w:id="1080180506">
      <w:bodyDiv w:val="1"/>
      <w:marLeft w:val="0"/>
      <w:marRight w:val="0"/>
      <w:marTop w:val="0"/>
      <w:marBottom w:val="0"/>
      <w:divBdr>
        <w:top w:val="none" w:sz="0" w:space="0" w:color="auto"/>
        <w:left w:val="none" w:sz="0" w:space="0" w:color="auto"/>
        <w:bottom w:val="none" w:sz="0" w:space="0" w:color="auto"/>
        <w:right w:val="none" w:sz="0" w:space="0" w:color="auto"/>
      </w:divBdr>
    </w:div>
    <w:div w:id="1808165221">
      <w:bodyDiv w:val="1"/>
      <w:marLeft w:val="0"/>
      <w:marRight w:val="0"/>
      <w:marTop w:val="0"/>
      <w:marBottom w:val="0"/>
      <w:divBdr>
        <w:top w:val="none" w:sz="0" w:space="0" w:color="auto"/>
        <w:left w:val="none" w:sz="0" w:space="0" w:color="auto"/>
        <w:bottom w:val="none" w:sz="0" w:space="0" w:color="auto"/>
        <w:right w:val="none" w:sz="0" w:space="0" w:color="auto"/>
      </w:divBdr>
    </w:div>
    <w:div w:id="185795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c88d17bf68a4463e" Type="http://schemas.microsoft.com/office/2019/09/relationships/intelligence" Target="intelligenc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662</Words>
  <Characters>3775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Novotny, Nicole Rochelle</dc:creator>
  <cp:keywords/>
  <dc:description/>
  <cp:lastModifiedBy>Novotny, Nicole Rochelle</cp:lastModifiedBy>
  <cp:revision>8</cp:revision>
  <dcterms:created xsi:type="dcterms:W3CDTF">2021-09-16T15:49:00Z</dcterms:created>
  <dcterms:modified xsi:type="dcterms:W3CDTF">2026-04-24T20:45:00Z</dcterms:modified>
</cp:coreProperties>
</file>