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7A8D" w14:textId="61335A26" w:rsidR="00970642" w:rsidRDefault="00970642" w:rsidP="00970642">
      <w:pPr>
        <w:jc w:val="center"/>
        <w:rPr>
          <w:rFonts w:ascii="Times New Roman" w:hAnsi="Times New Roman" w:cs="Times New Roman"/>
          <w:b/>
          <w:bCs/>
        </w:rPr>
      </w:pPr>
      <w:r>
        <w:rPr>
          <w:rFonts w:ascii="Times New Roman" w:hAnsi="Times New Roman" w:cs="Times New Roman"/>
          <w:b/>
          <w:bCs/>
        </w:rPr>
        <w:t>Supplemental Document</w:t>
      </w:r>
    </w:p>
    <w:p w14:paraId="7AA2B0E5" w14:textId="77777777" w:rsidR="00B67A38" w:rsidRDefault="00B67A38" w:rsidP="00970642">
      <w:pPr>
        <w:jc w:val="center"/>
        <w:rPr>
          <w:rFonts w:ascii="Times New Roman" w:hAnsi="Times New Roman" w:cs="Times New Roman"/>
          <w:b/>
          <w:bCs/>
        </w:rPr>
      </w:pPr>
    </w:p>
    <w:p w14:paraId="17C60A0F" w14:textId="09700A52" w:rsidR="004B5C46" w:rsidRDefault="00F36B5B" w:rsidP="00970642">
      <w:pPr>
        <w:jc w:val="center"/>
        <w:rPr>
          <w:rFonts w:ascii="Times New Roman" w:hAnsi="Times New Roman" w:cs="Times New Roman"/>
          <w:b/>
          <w:bCs/>
        </w:rPr>
      </w:pPr>
      <w:r>
        <w:rPr>
          <w:rFonts w:ascii="Times New Roman" w:hAnsi="Times New Roman" w:cs="Times New Roman"/>
          <w:b/>
          <w:bCs/>
        </w:rPr>
        <w:t xml:space="preserve">Summary of </w:t>
      </w:r>
      <w:r w:rsidR="004B5C46">
        <w:rPr>
          <w:rFonts w:ascii="Times New Roman" w:hAnsi="Times New Roman" w:cs="Times New Roman"/>
          <w:b/>
          <w:bCs/>
        </w:rPr>
        <w:t xml:space="preserve">Exploratory Factor Analysis </w:t>
      </w:r>
    </w:p>
    <w:p w14:paraId="0606706C" w14:textId="11AD1F6B" w:rsidR="00F36B5B" w:rsidRPr="00DF55A8" w:rsidRDefault="004B5C46" w:rsidP="00DF55A8">
      <w:pPr>
        <w:spacing w:line="480" w:lineRule="auto"/>
        <w:rPr>
          <w:rFonts w:ascii="Times New Roman" w:hAnsi="Times New Roman" w:cs="Times New Roman"/>
        </w:rPr>
      </w:pPr>
      <w:r w:rsidRPr="00E542C7">
        <w:rPr>
          <w:rFonts w:ascii="Times New Roman" w:hAnsi="Times New Roman" w:cs="Times New Roman"/>
        </w:rPr>
        <w:t xml:space="preserve">To determine if survey items </w:t>
      </w:r>
      <w:r w:rsidR="00DA4BAB">
        <w:rPr>
          <w:rFonts w:ascii="Times New Roman" w:hAnsi="Times New Roman" w:cs="Times New Roman"/>
        </w:rPr>
        <w:t>measured</w:t>
      </w:r>
      <w:r w:rsidRPr="00E542C7">
        <w:rPr>
          <w:rFonts w:ascii="Times New Roman" w:hAnsi="Times New Roman" w:cs="Times New Roman"/>
        </w:rPr>
        <w:t xml:space="preserve"> </w:t>
      </w:r>
      <w:r w:rsidR="00DA4BAB">
        <w:rPr>
          <w:rFonts w:ascii="Times New Roman" w:hAnsi="Times New Roman" w:cs="Times New Roman"/>
        </w:rPr>
        <w:t xml:space="preserve">concepts about healthy </w:t>
      </w:r>
      <w:r w:rsidRPr="00E542C7">
        <w:rPr>
          <w:rFonts w:ascii="Times New Roman" w:hAnsi="Times New Roman" w:cs="Times New Roman"/>
        </w:rPr>
        <w:t>balance, staying safe, bystander behavior,</w:t>
      </w:r>
      <w:r w:rsidR="00DA4BAB">
        <w:rPr>
          <w:rFonts w:ascii="Times New Roman" w:hAnsi="Times New Roman" w:cs="Times New Roman"/>
        </w:rPr>
        <w:t xml:space="preserve"> and general teen dating violence,</w:t>
      </w:r>
      <w:r w:rsidRPr="00E542C7">
        <w:rPr>
          <w:rFonts w:ascii="Times New Roman" w:hAnsi="Times New Roman" w:cs="Times New Roman"/>
        </w:rPr>
        <w:t xml:space="preserve"> an exploratory factor analysis (EFA) was conducted. The sampling adequacy was evaluated with the Kaiser-Meyer-Olkin (KMO) index. It demonstrated </w:t>
      </w:r>
      <w:r w:rsidR="00DA4BAB">
        <w:rPr>
          <w:rFonts w:ascii="Times New Roman" w:hAnsi="Times New Roman" w:cs="Times New Roman"/>
        </w:rPr>
        <w:t>poor</w:t>
      </w:r>
      <w:r w:rsidRPr="00E542C7">
        <w:rPr>
          <w:rFonts w:ascii="Times New Roman" w:hAnsi="Times New Roman" w:cs="Times New Roman"/>
        </w:rPr>
        <w:t xml:space="preserve"> sampling adequacy with an index of .</w:t>
      </w:r>
      <w:r w:rsidR="00DA4BAB">
        <w:rPr>
          <w:rFonts w:ascii="Times New Roman" w:hAnsi="Times New Roman" w:cs="Times New Roman"/>
        </w:rPr>
        <w:t xml:space="preserve">09 </w:t>
      </w:r>
      <w:r w:rsidRPr="00E542C7">
        <w:rPr>
          <w:rFonts w:ascii="Times New Roman" w:hAnsi="Times New Roman" w:cs="Times New Roman"/>
        </w:rPr>
        <w:t xml:space="preserve">(Table </w:t>
      </w:r>
      <w:r w:rsidR="00F36B5B">
        <w:rPr>
          <w:rFonts w:ascii="Times New Roman" w:hAnsi="Times New Roman" w:cs="Times New Roman"/>
        </w:rPr>
        <w:t>S1</w:t>
      </w:r>
      <w:r w:rsidRPr="00E542C7">
        <w:rPr>
          <w:rFonts w:ascii="Times New Roman" w:hAnsi="Times New Roman" w:cs="Times New Roman"/>
        </w:rPr>
        <w:t xml:space="preserve">). </w:t>
      </w:r>
      <w:r w:rsidR="00DF55A8">
        <w:rPr>
          <w:rFonts w:ascii="Times New Roman" w:hAnsi="Times New Roman" w:cs="Times New Roman"/>
        </w:rPr>
        <w:t xml:space="preserve">Exploratory factor analyses (EFA) were employed to examine how these items hung together and determined it would be appropriate to examine TDV constructs of balance, staying safe, and bystander behaviors separately. These analyses included the items measuring participant perception of behavior to identify any additional concepts. We used parallel analysis, eigenvalues over 1, meaningful/salient loadings (.35 and above), and based on the analyses on polychoric correlation to identify the number of factors with various rotations applied. Overall, the number of factors varied considerably from 3-6. One consistent pattern was that the concepts of balance, staying safe, and bystander behaviors loaded on separate factors, with various other clusters. However, as shown in Table </w:t>
      </w:r>
      <w:r w:rsidR="002A1F4B">
        <w:rPr>
          <w:rFonts w:ascii="Times New Roman" w:hAnsi="Times New Roman" w:cs="Times New Roman"/>
        </w:rPr>
        <w:t>S</w:t>
      </w:r>
      <w:r w:rsidR="00DF55A8">
        <w:rPr>
          <w:rFonts w:ascii="Times New Roman" w:hAnsi="Times New Roman" w:cs="Times New Roman"/>
        </w:rPr>
        <w:t>2, the number of correct responses was very high for all but one of the six other items in the measure. This item was not included in the current study due to the uniqueness of that result. Balance, staying safe, and bystander behaviors were rated correctly at lower rates. Given the distribution of correct answers and the low coefficient alpha, we determined that it was reasonable to treat balance, staying safe, and bystander behaviors as separate concepts for the study. To examine these further, we examined the balance, staying safe, and bystander behavior re</w:t>
      </w:r>
      <w:r w:rsidR="00990D0D">
        <w:rPr>
          <w:rFonts w:ascii="Times New Roman" w:hAnsi="Times New Roman" w:cs="Times New Roman"/>
        </w:rPr>
        <w:t>-</w:t>
      </w:r>
      <w:r w:rsidR="00DF55A8">
        <w:rPr>
          <w:rFonts w:ascii="Times New Roman" w:hAnsi="Times New Roman" w:cs="Times New Roman"/>
        </w:rPr>
        <w:t xml:space="preserve">coded items separately and together as a composite variable to represent overall TDV knowledge. Again, we also identified that two of the items measuring perception of behavior consistently loaded on the same factor across analyses. In conclusion, the rate of correct </w:t>
      </w:r>
      <w:r w:rsidR="00DF55A8">
        <w:rPr>
          <w:rFonts w:ascii="Times New Roman" w:hAnsi="Times New Roman" w:cs="Times New Roman"/>
        </w:rPr>
        <w:lastRenderedPageBreak/>
        <w:t xml:space="preserve">responses at pre- and post-surveys was extremely high for most of </w:t>
      </w:r>
      <w:r w:rsidR="00DF55A8" w:rsidRPr="00E7644F">
        <w:rPr>
          <w:rFonts w:ascii="Times New Roman" w:hAnsi="Times New Roman" w:cs="Times New Roman"/>
        </w:rPr>
        <w:t xml:space="preserve">these items (Table </w:t>
      </w:r>
      <w:r w:rsidR="002A1F4B">
        <w:rPr>
          <w:rFonts w:ascii="Times New Roman" w:hAnsi="Times New Roman" w:cs="Times New Roman"/>
        </w:rPr>
        <w:t>S</w:t>
      </w:r>
      <w:r w:rsidR="00DF55A8" w:rsidRPr="00E7644F">
        <w:rPr>
          <w:rFonts w:ascii="Times New Roman" w:hAnsi="Times New Roman" w:cs="Times New Roman"/>
        </w:rPr>
        <w:t>2);</w:t>
      </w:r>
      <w:r w:rsidR="00DF55A8">
        <w:rPr>
          <w:rFonts w:ascii="Times New Roman" w:hAnsi="Times New Roman" w:cs="Times New Roman"/>
        </w:rPr>
        <w:t xml:space="preserve"> thus, it did not seem reasonable to include these items in the further correlational analyses, given that there was almost no variability. </w:t>
      </w:r>
    </w:p>
    <w:p w14:paraId="14723E0F" w14:textId="2B5786D5" w:rsidR="00D50742" w:rsidRDefault="004B1451" w:rsidP="00F36B5B">
      <w:pPr>
        <w:pStyle w:val="ListParagraph"/>
        <w:spacing w:line="480" w:lineRule="auto"/>
        <w:ind w:left="0" w:firstLine="720"/>
        <w:rPr>
          <w:rFonts w:ascii="Times New Roman" w:hAnsi="Times New Roman" w:cs="Times New Roman"/>
        </w:rPr>
      </w:pPr>
      <w:r>
        <w:rPr>
          <w:rFonts w:ascii="Times New Roman" w:hAnsi="Times New Roman" w:cs="Times New Roman"/>
        </w:rPr>
        <w:t>As noted</w:t>
      </w:r>
      <w:r w:rsidR="003D3B0F">
        <w:rPr>
          <w:rFonts w:ascii="Times New Roman" w:hAnsi="Times New Roman" w:cs="Times New Roman"/>
        </w:rPr>
        <w:t>,</w:t>
      </w:r>
      <w:r>
        <w:rPr>
          <w:rFonts w:ascii="Times New Roman" w:hAnsi="Times New Roman" w:cs="Times New Roman"/>
        </w:rPr>
        <w:t xml:space="preserve"> a series of e</w:t>
      </w:r>
      <w:r w:rsidR="001B2D71">
        <w:rPr>
          <w:rFonts w:ascii="Times New Roman" w:hAnsi="Times New Roman" w:cs="Times New Roman"/>
        </w:rPr>
        <w:t xml:space="preserve">xploratory factor analyses (EFA) were employed to examine how the items hung together and if it would be appropriate to examine TDV constructs of balance, staying safe, and bystander behaviors separately. These analyses included the items measuring participant perception of behavior to identify any additional concepts. We used parallel analysis, </w:t>
      </w:r>
      <w:r w:rsidR="003D3B0F">
        <w:rPr>
          <w:rFonts w:ascii="Times New Roman" w:hAnsi="Times New Roman" w:cs="Times New Roman"/>
        </w:rPr>
        <w:t>eigenvalues</w:t>
      </w:r>
      <w:r w:rsidR="001B2D71">
        <w:rPr>
          <w:rFonts w:ascii="Times New Roman" w:hAnsi="Times New Roman" w:cs="Times New Roman"/>
        </w:rPr>
        <w:t xml:space="preserve"> over 1, meaningful/salient loadings (.35 and above), and based on polychoric correlation to identify the number of factors with various rotations applied</w:t>
      </w:r>
      <w:r w:rsidR="00D50742">
        <w:rPr>
          <w:rFonts w:ascii="Times New Roman" w:hAnsi="Times New Roman" w:cs="Times New Roman"/>
        </w:rPr>
        <w:t xml:space="preserve"> (e.g.,</w:t>
      </w:r>
      <w:r w:rsidR="00D50742" w:rsidRPr="00E542C7">
        <w:rPr>
          <w:rFonts w:ascii="Times New Roman" w:hAnsi="Times New Roman" w:cs="Times New Roman"/>
        </w:rPr>
        <w:t xml:space="preserve"> principal axis factoring with a Promax rotatio</w:t>
      </w:r>
      <w:r w:rsidR="00D50742">
        <w:rPr>
          <w:rFonts w:ascii="Times New Roman" w:hAnsi="Times New Roman" w:cs="Times New Roman"/>
        </w:rPr>
        <w:t xml:space="preserve">n, varimax rotation, </w:t>
      </w:r>
      <w:r w:rsidR="003D3B0F">
        <w:rPr>
          <w:rFonts w:ascii="Times New Roman" w:hAnsi="Times New Roman" w:cs="Times New Roman"/>
        </w:rPr>
        <w:t>etc.</w:t>
      </w:r>
      <w:r w:rsidR="00D50742">
        <w:rPr>
          <w:rFonts w:ascii="Times New Roman" w:hAnsi="Times New Roman" w:cs="Times New Roman"/>
        </w:rPr>
        <w:t xml:space="preserve">). </w:t>
      </w:r>
      <w:r w:rsidR="001B2D71">
        <w:rPr>
          <w:rFonts w:ascii="Times New Roman" w:hAnsi="Times New Roman" w:cs="Times New Roman"/>
        </w:rPr>
        <w:t>Overall, the number of factors varied considerably from 3-6. One consisten</w:t>
      </w:r>
      <w:r w:rsidR="00D50742">
        <w:rPr>
          <w:rFonts w:ascii="Times New Roman" w:hAnsi="Times New Roman" w:cs="Times New Roman"/>
        </w:rPr>
        <w:t>t</w:t>
      </w:r>
      <w:r w:rsidR="001B2D71">
        <w:rPr>
          <w:rFonts w:ascii="Times New Roman" w:hAnsi="Times New Roman" w:cs="Times New Roman"/>
        </w:rPr>
        <w:t xml:space="preserve"> pattern was that </w:t>
      </w:r>
      <w:r w:rsidR="003D3B0F">
        <w:rPr>
          <w:rFonts w:ascii="Times New Roman" w:hAnsi="Times New Roman" w:cs="Times New Roman"/>
        </w:rPr>
        <w:t xml:space="preserve">the concepts </w:t>
      </w:r>
      <w:r w:rsidR="001B2D71">
        <w:rPr>
          <w:rFonts w:ascii="Times New Roman" w:hAnsi="Times New Roman" w:cs="Times New Roman"/>
        </w:rPr>
        <w:t>of balance, staying safe, and bystander behaviors</w:t>
      </w:r>
      <w:r w:rsidR="003D3B0F">
        <w:rPr>
          <w:rFonts w:ascii="Times New Roman" w:hAnsi="Times New Roman" w:cs="Times New Roman"/>
        </w:rPr>
        <w:t xml:space="preserve"> loaded</w:t>
      </w:r>
      <w:r w:rsidR="001B2D71">
        <w:rPr>
          <w:rFonts w:ascii="Times New Roman" w:hAnsi="Times New Roman" w:cs="Times New Roman"/>
        </w:rPr>
        <w:t xml:space="preserve"> separately, with various other</w:t>
      </w:r>
      <w:r w:rsidR="003D3B0F">
        <w:rPr>
          <w:rFonts w:ascii="Times New Roman" w:hAnsi="Times New Roman" w:cs="Times New Roman"/>
        </w:rPr>
        <w:t xml:space="preserve"> items</w:t>
      </w:r>
      <w:r w:rsidR="001B2D71">
        <w:rPr>
          <w:rFonts w:ascii="Times New Roman" w:hAnsi="Times New Roman" w:cs="Times New Roman"/>
        </w:rPr>
        <w:t xml:space="preserve"> clustering. </w:t>
      </w:r>
    </w:p>
    <w:p w14:paraId="716C8D79" w14:textId="5CEC5939" w:rsidR="001A5E9D" w:rsidRDefault="00D50742" w:rsidP="00F36B5B">
      <w:pPr>
        <w:pStyle w:val="ListParagraph"/>
        <w:spacing w:line="480" w:lineRule="auto"/>
        <w:ind w:left="0" w:firstLine="720"/>
        <w:rPr>
          <w:rFonts w:ascii="Times New Roman" w:hAnsi="Times New Roman" w:cs="Times New Roman"/>
        </w:rPr>
      </w:pPr>
      <w:r>
        <w:rPr>
          <w:rFonts w:ascii="Times New Roman" w:hAnsi="Times New Roman" w:cs="Times New Roman"/>
        </w:rPr>
        <w:t>As one example, f</w:t>
      </w:r>
      <w:r w:rsidR="0093443C">
        <w:rPr>
          <w:rFonts w:ascii="Times New Roman" w:hAnsi="Times New Roman" w:cs="Times New Roman"/>
        </w:rPr>
        <w:t>ive</w:t>
      </w:r>
      <w:r w:rsidR="004B5C46" w:rsidRPr="00AF727A">
        <w:rPr>
          <w:rFonts w:ascii="Times New Roman" w:hAnsi="Times New Roman" w:cs="Times New Roman"/>
        </w:rPr>
        <w:t xml:space="preserve"> factors were extracted based on </w:t>
      </w:r>
      <w:r w:rsidR="0093443C">
        <w:rPr>
          <w:rFonts w:ascii="Times New Roman" w:hAnsi="Times New Roman" w:cs="Times New Roman"/>
        </w:rPr>
        <w:t>a parallel analysis and polychoric correlation</w:t>
      </w:r>
      <w:r w:rsidR="004B5C46" w:rsidRPr="00AF727A">
        <w:rPr>
          <w:rFonts w:ascii="Times New Roman" w:hAnsi="Times New Roman" w:cs="Times New Roman"/>
        </w:rPr>
        <w:t xml:space="preserve">, </w:t>
      </w:r>
      <w:r w:rsidR="004B5C46" w:rsidRPr="00E20A64">
        <w:rPr>
          <w:rFonts w:ascii="Times New Roman" w:hAnsi="Times New Roman" w:cs="Times New Roman"/>
        </w:rPr>
        <w:t xml:space="preserve">accounting for </w:t>
      </w:r>
      <w:r w:rsidR="00E20A64" w:rsidRPr="00E20A64">
        <w:rPr>
          <w:rFonts w:ascii="Times New Roman" w:hAnsi="Times New Roman" w:cs="Times New Roman"/>
        </w:rPr>
        <w:t>71.0</w:t>
      </w:r>
      <w:r w:rsidR="004B5C46" w:rsidRPr="00E20A64">
        <w:rPr>
          <w:rFonts w:ascii="Times New Roman" w:hAnsi="Times New Roman" w:cs="Times New Roman"/>
        </w:rPr>
        <w:t xml:space="preserve">% of the variance. </w:t>
      </w:r>
      <w:r w:rsidR="00E20A64">
        <w:rPr>
          <w:rFonts w:ascii="Times New Roman" w:hAnsi="Times New Roman" w:cs="Times New Roman"/>
        </w:rPr>
        <w:t xml:space="preserve">The eigenvalue and the percent of variance explained by each factor (Unrotated solution proportion variance) of each factor are provided in Table </w:t>
      </w:r>
      <w:r w:rsidR="00F36B5B">
        <w:rPr>
          <w:rFonts w:ascii="Times New Roman" w:hAnsi="Times New Roman" w:cs="Times New Roman"/>
        </w:rPr>
        <w:t>S</w:t>
      </w:r>
      <w:r w:rsidR="002A1F4B">
        <w:rPr>
          <w:rFonts w:ascii="Times New Roman" w:hAnsi="Times New Roman" w:cs="Times New Roman"/>
        </w:rPr>
        <w:t>4</w:t>
      </w:r>
      <w:r w:rsidR="00E20A64">
        <w:rPr>
          <w:rFonts w:ascii="Times New Roman" w:hAnsi="Times New Roman" w:cs="Times New Roman"/>
        </w:rPr>
        <w:t xml:space="preserve">. </w:t>
      </w:r>
      <w:r w:rsidR="004B5C46" w:rsidRPr="00E20A64">
        <w:rPr>
          <w:rFonts w:ascii="Times New Roman" w:hAnsi="Times New Roman" w:cs="Times New Roman"/>
        </w:rPr>
        <w:t xml:space="preserve">After applying a Promax rotation, the cumulative variance remained at </w:t>
      </w:r>
      <w:r w:rsidR="00E20A64" w:rsidRPr="00E20A64">
        <w:rPr>
          <w:rFonts w:ascii="Times New Roman" w:hAnsi="Times New Roman" w:cs="Times New Roman"/>
        </w:rPr>
        <w:t>71.0%</w:t>
      </w:r>
      <w:r w:rsidR="003D3B0F">
        <w:rPr>
          <w:rFonts w:ascii="Times New Roman" w:hAnsi="Times New Roman" w:cs="Times New Roman"/>
        </w:rPr>
        <w:t xml:space="preserve"> (Table S</w:t>
      </w:r>
      <w:r w:rsidR="002A1F4B">
        <w:rPr>
          <w:rFonts w:ascii="Times New Roman" w:hAnsi="Times New Roman" w:cs="Times New Roman"/>
        </w:rPr>
        <w:t>4</w:t>
      </w:r>
      <w:r w:rsidR="003D3B0F">
        <w:rPr>
          <w:rFonts w:ascii="Times New Roman" w:hAnsi="Times New Roman" w:cs="Times New Roman"/>
        </w:rPr>
        <w:t>)</w:t>
      </w:r>
      <w:r w:rsidR="00E20A64" w:rsidRPr="00E20A64">
        <w:rPr>
          <w:rFonts w:ascii="Times New Roman" w:hAnsi="Times New Roman" w:cs="Times New Roman"/>
        </w:rPr>
        <w:t>.</w:t>
      </w:r>
      <w:r w:rsidR="004B5C46" w:rsidRPr="00E20A64">
        <w:rPr>
          <w:rFonts w:ascii="Times New Roman" w:hAnsi="Times New Roman" w:cs="Times New Roman"/>
        </w:rPr>
        <w:t xml:space="preserve"> </w:t>
      </w:r>
      <w:r w:rsidR="001A5E9D">
        <w:rPr>
          <w:rFonts w:ascii="Times New Roman" w:hAnsi="Times New Roman" w:cs="Times New Roman"/>
        </w:rPr>
        <w:t xml:space="preserve">For the current study, these findings confirmed the justification of analyzing the TDV concepts of healthy balance, staying safe, and bystander behaviors separately, as these concepts loaded onto three separate factors (Table </w:t>
      </w:r>
      <w:r w:rsidR="00F36B5B">
        <w:rPr>
          <w:rFonts w:ascii="Times New Roman" w:hAnsi="Times New Roman" w:cs="Times New Roman"/>
        </w:rPr>
        <w:t>S</w:t>
      </w:r>
      <w:r w:rsidR="002A1F4B">
        <w:rPr>
          <w:rFonts w:ascii="Times New Roman" w:hAnsi="Times New Roman" w:cs="Times New Roman"/>
        </w:rPr>
        <w:t>5</w:t>
      </w:r>
      <w:r w:rsidR="001A5E9D">
        <w:rPr>
          <w:rFonts w:ascii="Times New Roman" w:hAnsi="Times New Roman" w:cs="Times New Roman"/>
        </w:rPr>
        <w:t>).</w:t>
      </w:r>
    </w:p>
    <w:p w14:paraId="3E08BE24" w14:textId="56EDC1F0" w:rsidR="00E20A64" w:rsidRPr="001A5E9D" w:rsidRDefault="001A5E9D" w:rsidP="001A5E9D">
      <w:pPr>
        <w:spacing w:line="480" w:lineRule="auto"/>
        <w:ind w:firstLine="720"/>
        <w:rPr>
          <w:rFonts w:ascii="Times New Roman" w:hAnsi="Times New Roman" w:cs="Times New Roman"/>
        </w:rPr>
      </w:pPr>
      <w:r>
        <w:rPr>
          <w:rFonts w:ascii="Times New Roman" w:hAnsi="Times New Roman" w:cs="Times New Roman"/>
        </w:rPr>
        <w:t>The results of this factor analysis also</w:t>
      </w:r>
      <w:r w:rsidR="00E20A64">
        <w:rPr>
          <w:rFonts w:ascii="Times New Roman" w:hAnsi="Times New Roman" w:cs="Times New Roman"/>
        </w:rPr>
        <w:t xml:space="preserve"> indicated that some items measuring participant perceptions of behavior loaded onto integrated factors, while others did not load well onto integrated factors. For example, items measuring more extreme and unhealthy behaviors that are commonly associated with TDV (i.e., </w:t>
      </w:r>
      <w:r w:rsidR="00E20A64">
        <w:rPr>
          <w:rFonts w:ascii="Times New Roman" w:hAnsi="Times New Roman" w:cs="Times New Roman"/>
          <w:i/>
        </w:rPr>
        <w:t xml:space="preserve">Your partner threatens to hurt themselves if you were to </w:t>
      </w:r>
      <w:r w:rsidR="00E20A64">
        <w:rPr>
          <w:rFonts w:ascii="Times New Roman" w:hAnsi="Times New Roman" w:cs="Times New Roman"/>
          <w:i/>
        </w:rPr>
        <w:lastRenderedPageBreak/>
        <w:t>break up with them,</w:t>
      </w:r>
      <w:r w:rsidR="00E20A64">
        <w:rPr>
          <w:rFonts w:ascii="Times New Roman" w:hAnsi="Times New Roman" w:cs="Times New Roman"/>
        </w:rPr>
        <w:t xml:space="preserve"> and </w:t>
      </w:r>
      <w:r w:rsidR="00E20A64">
        <w:rPr>
          <w:rFonts w:ascii="Times New Roman" w:hAnsi="Times New Roman" w:cs="Times New Roman"/>
          <w:i/>
        </w:rPr>
        <w:t>Your partner shows a naked photo of you to their friends</w:t>
      </w:r>
      <w:r w:rsidR="00E20A64">
        <w:rPr>
          <w:rFonts w:ascii="Times New Roman" w:hAnsi="Times New Roman" w:cs="Times New Roman"/>
        </w:rPr>
        <w:t xml:space="preserve">) were found to uniquely load on Factor 1 (Table </w:t>
      </w:r>
      <w:r w:rsidR="00F36B5B">
        <w:rPr>
          <w:rFonts w:ascii="Times New Roman" w:hAnsi="Times New Roman" w:cs="Times New Roman"/>
        </w:rPr>
        <w:t>S</w:t>
      </w:r>
      <w:r w:rsidR="002A1F4B">
        <w:rPr>
          <w:rFonts w:ascii="Times New Roman" w:hAnsi="Times New Roman" w:cs="Times New Roman"/>
        </w:rPr>
        <w:t>5</w:t>
      </w:r>
      <w:r w:rsidR="00E20A64">
        <w:rPr>
          <w:rFonts w:ascii="Times New Roman" w:hAnsi="Times New Roman" w:cs="Times New Roman"/>
        </w:rPr>
        <w:t xml:space="preserve">). </w:t>
      </w:r>
      <w:proofErr w:type="gramStart"/>
      <w:r w:rsidR="00E20A64">
        <w:rPr>
          <w:rFonts w:ascii="Times New Roman" w:hAnsi="Times New Roman" w:cs="Times New Roman"/>
        </w:rPr>
        <w:t>Yet,</w:t>
      </w:r>
      <w:proofErr w:type="gramEnd"/>
      <w:r w:rsidR="00E20A64">
        <w:rPr>
          <w:rFonts w:ascii="Times New Roman" w:hAnsi="Times New Roman" w:cs="Times New Roman"/>
        </w:rPr>
        <w:t xml:space="preserve"> other items that did not exhibit scenarios commonly viewed as TDV (i.e., </w:t>
      </w:r>
      <w:r>
        <w:rPr>
          <w:rFonts w:ascii="Times New Roman" w:hAnsi="Times New Roman" w:cs="Times New Roman"/>
          <w:i/>
        </w:rPr>
        <w:t>Your partner makes you share your location with them even though you don’t think it’s necessary</w:t>
      </w:r>
      <w:r>
        <w:rPr>
          <w:rFonts w:ascii="Times New Roman" w:hAnsi="Times New Roman" w:cs="Times New Roman"/>
        </w:rPr>
        <w:t xml:space="preserve">, </w:t>
      </w:r>
      <w:r>
        <w:rPr>
          <w:rFonts w:ascii="Times New Roman" w:hAnsi="Times New Roman" w:cs="Times New Roman"/>
          <w:i/>
        </w:rPr>
        <w:t>You and your partner can share things with each other and keep some things private</w:t>
      </w:r>
      <w:r>
        <w:rPr>
          <w:rFonts w:ascii="Times New Roman" w:hAnsi="Times New Roman" w:cs="Times New Roman"/>
        </w:rPr>
        <w:t xml:space="preserve">, and </w:t>
      </w:r>
      <w:r>
        <w:rPr>
          <w:rFonts w:ascii="Times New Roman" w:hAnsi="Times New Roman" w:cs="Times New Roman"/>
          <w:i/>
        </w:rPr>
        <w:t>Your partner has you skip hanging out with friends to spend time with them</w:t>
      </w:r>
      <w:r>
        <w:rPr>
          <w:rFonts w:ascii="Times New Roman" w:hAnsi="Times New Roman" w:cs="Times New Roman"/>
        </w:rPr>
        <w:t>) loaded uniquely on separate factors.</w:t>
      </w:r>
    </w:p>
    <w:p w14:paraId="3A061973" w14:textId="77777777" w:rsidR="004B5C46" w:rsidRDefault="004B5C46" w:rsidP="00970642">
      <w:pPr>
        <w:jc w:val="center"/>
        <w:rPr>
          <w:rFonts w:ascii="Times New Roman" w:hAnsi="Times New Roman" w:cs="Times New Roman"/>
          <w:b/>
          <w:bCs/>
        </w:rPr>
      </w:pPr>
    </w:p>
    <w:p w14:paraId="72C42468" w14:textId="0ED772C8" w:rsidR="00970642" w:rsidRDefault="00970642" w:rsidP="00E20A64">
      <w:pPr>
        <w:spacing w:after="0" w:line="480" w:lineRule="auto"/>
        <w:rPr>
          <w:rFonts w:ascii="Times New Roman" w:eastAsiaTheme="majorEastAsia" w:hAnsi="Times New Roman" w:cs="Times New Roman"/>
          <w:i/>
          <w:color w:val="222222"/>
        </w:rPr>
      </w:pPr>
      <w:r>
        <w:rPr>
          <w:rFonts w:ascii="Times New Roman" w:eastAsiaTheme="majorEastAsia" w:hAnsi="Times New Roman" w:cs="Times New Roman"/>
          <w:i/>
          <w:color w:val="222222"/>
        </w:rPr>
        <w:t xml:space="preserve">Table </w:t>
      </w:r>
      <w:r w:rsidR="00F36B5B">
        <w:rPr>
          <w:rFonts w:ascii="Times New Roman" w:eastAsiaTheme="majorEastAsia" w:hAnsi="Times New Roman" w:cs="Times New Roman"/>
          <w:i/>
          <w:color w:val="222222"/>
        </w:rPr>
        <w:t>S</w:t>
      </w:r>
      <w:r w:rsidR="007D5C18">
        <w:rPr>
          <w:rFonts w:ascii="Times New Roman" w:eastAsiaTheme="majorEastAsia" w:hAnsi="Times New Roman" w:cs="Times New Roman"/>
          <w:i/>
          <w:color w:val="222222"/>
        </w:rPr>
        <w:t>1</w:t>
      </w:r>
      <w:r>
        <w:rPr>
          <w:rFonts w:ascii="Times New Roman" w:eastAsiaTheme="majorEastAsia" w:hAnsi="Times New Roman" w:cs="Times New Roman"/>
          <w:i/>
          <w:color w:val="222222"/>
        </w:rPr>
        <w:t>. Kaiser-Meyer-Olkin Test for Sampling Adequacy</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320"/>
        <w:gridCol w:w="4320"/>
      </w:tblGrid>
      <w:tr w:rsidR="00970642" w14:paraId="35220DE2" w14:textId="77777777" w:rsidTr="00522D22">
        <w:tc>
          <w:tcPr>
            <w:tcW w:w="4320" w:type="dxa"/>
            <w:tcBorders>
              <w:bottom w:val="single" w:sz="4" w:space="0" w:color="auto"/>
            </w:tcBorders>
          </w:tcPr>
          <w:p w14:paraId="69B5A2F0" w14:textId="77777777" w:rsidR="00970642" w:rsidRDefault="00970642" w:rsidP="00DC1F9E">
            <w:pPr>
              <w:spacing w:line="276" w:lineRule="auto"/>
              <w:rPr>
                <w:rFonts w:ascii="Times New Roman" w:eastAsiaTheme="majorEastAsia" w:hAnsi="Times New Roman" w:cs="Times New Roman"/>
                <w:color w:val="222222"/>
                <w:sz w:val="24"/>
                <w:szCs w:val="24"/>
              </w:rPr>
            </w:pPr>
          </w:p>
        </w:tc>
        <w:tc>
          <w:tcPr>
            <w:tcW w:w="4320" w:type="dxa"/>
            <w:tcBorders>
              <w:bottom w:val="single" w:sz="4" w:space="0" w:color="auto"/>
            </w:tcBorders>
          </w:tcPr>
          <w:p w14:paraId="7838C672" w14:textId="77777777" w:rsidR="00970642" w:rsidRPr="00305C64" w:rsidRDefault="00970642" w:rsidP="00DC1F9E">
            <w:pPr>
              <w:spacing w:line="276" w:lineRule="auto"/>
              <w:jc w:val="center"/>
              <w:rPr>
                <w:rFonts w:ascii="Times New Roman" w:eastAsiaTheme="majorEastAsia" w:hAnsi="Times New Roman" w:cs="Times New Roman"/>
                <w:color w:val="222222"/>
                <w:sz w:val="24"/>
                <w:szCs w:val="24"/>
              </w:rPr>
            </w:pPr>
            <w:r w:rsidRPr="00305C64">
              <w:rPr>
                <w:rFonts w:ascii="Times New Roman" w:eastAsiaTheme="majorEastAsia" w:hAnsi="Times New Roman" w:cs="Times New Roman"/>
                <w:color w:val="222222"/>
                <w:sz w:val="24"/>
                <w:szCs w:val="24"/>
              </w:rPr>
              <w:t>Measure of Sampling Adequacy (MSA)</w:t>
            </w:r>
          </w:p>
        </w:tc>
      </w:tr>
      <w:tr w:rsidR="00970642" w14:paraId="19BBA99E" w14:textId="77777777" w:rsidTr="00522D22">
        <w:tc>
          <w:tcPr>
            <w:tcW w:w="4320" w:type="dxa"/>
            <w:tcBorders>
              <w:bottom w:val="nil"/>
            </w:tcBorders>
          </w:tcPr>
          <w:p w14:paraId="767B645A"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Overall MSA</w:t>
            </w:r>
          </w:p>
        </w:tc>
        <w:tc>
          <w:tcPr>
            <w:tcW w:w="4320" w:type="dxa"/>
            <w:tcBorders>
              <w:bottom w:val="nil"/>
            </w:tcBorders>
          </w:tcPr>
          <w:p w14:paraId="76C5B4F2" w14:textId="4ABD6B73" w:rsidR="00522D22" w:rsidRDefault="00522D22" w:rsidP="00522D22">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.09</w:t>
            </w:r>
          </w:p>
        </w:tc>
      </w:tr>
      <w:tr w:rsidR="00970642" w14:paraId="1B25A222" w14:textId="77777777" w:rsidTr="00522D22">
        <w:tc>
          <w:tcPr>
            <w:tcW w:w="4320" w:type="dxa"/>
            <w:tcBorders>
              <w:top w:val="nil"/>
              <w:bottom w:val="nil"/>
            </w:tcBorders>
          </w:tcPr>
          <w:p w14:paraId="4F66D60F"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Share location</w:t>
            </w:r>
          </w:p>
        </w:tc>
        <w:tc>
          <w:tcPr>
            <w:tcW w:w="4320" w:type="dxa"/>
            <w:tcBorders>
              <w:top w:val="nil"/>
              <w:bottom w:val="nil"/>
            </w:tcBorders>
          </w:tcPr>
          <w:p w14:paraId="372ED81D" w14:textId="5FCFEED8" w:rsidR="0097064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.08</w:t>
            </w:r>
          </w:p>
        </w:tc>
      </w:tr>
      <w:tr w:rsidR="00970642" w14:paraId="4D5A192C" w14:textId="77777777" w:rsidTr="00522D22">
        <w:tc>
          <w:tcPr>
            <w:tcW w:w="4320" w:type="dxa"/>
            <w:tcBorders>
              <w:top w:val="nil"/>
              <w:bottom w:val="nil"/>
            </w:tcBorders>
          </w:tcPr>
          <w:p w14:paraId="0DC9C4C7"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 xml:space="preserve">Keep some things private </w:t>
            </w:r>
          </w:p>
        </w:tc>
        <w:tc>
          <w:tcPr>
            <w:tcW w:w="4320" w:type="dxa"/>
            <w:tcBorders>
              <w:top w:val="nil"/>
              <w:bottom w:val="nil"/>
            </w:tcBorders>
          </w:tcPr>
          <w:p w14:paraId="108EB247" w14:textId="470ACD07" w:rsidR="0097064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.01</w:t>
            </w:r>
          </w:p>
        </w:tc>
      </w:tr>
      <w:tr w:rsidR="00970642" w14:paraId="0DE41AA2" w14:textId="77777777" w:rsidTr="00522D22">
        <w:tc>
          <w:tcPr>
            <w:tcW w:w="4320" w:type="dxa"/>
            <w:tcBorders>
              <w:top w:val="nil"/>
              <w:bottom w:val="nil"/>
            </w:tcBorders>
          </w:tcPr>
          <w:p w14:paraId="14847C7C"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Self-harm</w:t>
            </w:r>
          </w:p>
        </w:tc>
        <w:tc>
          <w:tcPr>
            <w:tcW w:w="4320" w:type="dxa"/>
            <w:tcBorders>
              <w:top w:val="nil"/>
              <w:bottom w:val="nil"/>
            </w:tcBorders>
          </w:tcPr>
          <w:p w14:paraId="39A8702C" w14:textId="0468695A" w:rsidR="0097064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.19</w:t>
            </w:r>
          </w:p>
        </w:tc>
      </w:tr>
      <w:tr w:rsidR="00970642" w14:paraId="5E59A942" w14:textId="77777777" w:rsidTr="00522D22">
        <w:tc>
          <w:tcPr>
            <w:tcW w:w="4320" w:type="dxa"/>
            <w:tcBorders>
              <w:top w:val="nil"/>
              <w:bottom w:val="nil"/>
            </w:tcBorders>
          </w:tcPr>
          <w:p w14:paraId="02DE79BE"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Skip hanging out with friends</w:t>
            </w:r>
          </w:p>
        </w:tc>
        <w:tc>
          <w:tcPr>
            <w:tcW w:w="4320" w:type="dxa"/>
            <w:tcBorders>
              <w:top w:val="nil"/>
              <w:bottom w:val="nil"/>
            </w:tcBorders>
          </w:tcPr>
          <w:p w14:paraId="2BF12D0A" w14:textId="38E5CE47" w:rsidR="0097064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.14</w:t>
            </w:r>
          </w:p>
        </w:tc>
      </w:tr>
      <w:tr w:rsidR="00970642" w14:paraId="2FDDB375" w14:textId="77777777" w:rsidTr="00522D22">
        <w:tc>
          <w:tcPr>
            <w:tcW w:w="4320" w:type="dxa"/>
            <w:tcBorders>
              <w:top w:val="nil"/>
              <w:bottom w:val="nil"/>
            </w:tcBorders>
          </w:tcPr>
          <w:p w14:paraId="30BF248A"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Hurtful name</w:t>
            </w:r>
          </w:p>
        </w:tc>
        <w:tc>
          <w:tcPr>
            <w:tcW w:w="4320" w:type="dxa"/>
            <w:tcBorders>
              <w:top w:val="nil"/>
              <w:bottom w:val="nil"/>
            </w:tcBorders>
          </w:tcPr>
          <w:p w14:paraId="2FE99AA0" w14:textId="6327537B" w:rsidR="0097064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.03</w:t>
            </w:r>
          </w:p>
        </w:tc>
      </w:tr>
      <w:tr w:rsidR="00970642" w14:paraId="181EAF58" w14:textId="77777777" w:rsidTr="00522D22">
        <w:tc>
          <w:tcPr>
            <w:tcW w:w="4320" w:type="dxa"/>
            <w:tcBorders>
              <w:top w:val="nil"/>
              <w:bottom w:val="nil"/>
            </w:tcBorders>
          </w:tcPr>
          <w:p w14:paraId="673A6658" w14:textId="77777777" w:rsidR="00970642" w:rsidRDefault="0097064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Intimate photo</w:t>
            </w:r>
          </w:p>
        </w:tc>
        <w:tc>
          <w:tcPr>
            <w:tcW w:w="4320" w:type="dxa"/>
            <w:tcBorders>
              <w:top w:val="nil"/>
              <w:bottom w:val="nil"/>
            </w:tcBorders>
          </w:tcPr>
          <w:p w14:paraId="46752BD0" w14:textId="6BC4FD49" w:rsidR="0097064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.18</w:t>
            </w:r>
          </w:p>
        </w:tc>
      </w:tr>
      <w:tr w:rsidR="00522D22" w:rsidRPr="00522D22" w14:paraId="393AFED3" w14:textId="77777777" w:rsidTr="00522D22">
        <w:tc>
          <w:tcPr>
            <w:tcW w:w="4320" w:type="dxa"/>
            <w:tcBorders>
              <w:top w:val="nil"/>
              <w:bottom w:val="nil"/>
            </w:tcBorders>
          </w:tcPr>
          <w:p w14:paraId="2C264D59" w14:textId="5CFB636E" w:rsidR="00522D22" w:rsidRPr="00522D22" w:rsidRDefault="00522D2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Healthy b</w:t>
            </w:r>
            <w:r w:rsidRPr="00522D22">
              <w:rPr>
                <w:rFonts w:ascii="Times New Roman" w:eastAsiaTheme="majorEastAsia" w:hAnsi="Times New Roman" w:cs="Times New Roman"/>
                <w:color w:val="222222"/>
                <w:sz w:val="24"/>
                <w:szCs w:val="24"/>
              </w:rPr>
              <w:t>alance</w:t>
            </w:r>
          </w:p>
        </w:tc>
        <w:tc>
          <w:tcPr>
            <w:tcW w:w="4320" w:type="dxa"/>
            <w:tcBorders>
              <w:top w:val="nil"/>
              <w:bottom w:val="nil"/>
            </w:tcBorders>
          </w:tcPr>
          <w:p w14:paraId="54721FCE" w14:textId="7F35CD6E"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.03</w:t>
            </w:r>
          </w:p>
        </w:tc>
      </w:tr>
      <w:tr w:rsidR="00522D22" w:rsidRPr="00522D22" w14:paraId="376B29D5" w14:textId="77777777" w:rsidTr="00522D22">
        <w:tc>
          <w:tcPr>
            <w:tcW w:w="4320" w:type="dxa"/>
            <w:tcBorders>
              <w:top w:val="nil"/>
              <w:bottom w:val="nil"/>
            </w:tcBorders>
          </w:tcPr>
          <w:p w14:paraId="21DFB7E3" w14:textId="3BA7289F" w:rsidR="00522D22" w:rsidRPr="00522D22" w:rsidRDefault="00522D2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Staying safe</w:t>
            </w:r>
          </w:p>
        </w:tc>
        <w:tc>
          <w:tcPr>
            <w:tcW w:w="4320" w:type="dxa"/>
            <w:tcBorders>
              <w:top w:val="nil"/>
              <w:bottom w:val="nil"/>
            </w:tcBorders>
          </w:tcPr>
          <w:p w14:paraId="1E9E3BDC" w14:textId="4E16F52A"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.03</w:t>
            </w:r>
          </w:p>
        </w:tc>
      </w:tr>
      <w:tr w:rsidR="00522D22" w:rsidRPr="00522D22" w14:paraId="0726FA3D" w14:textId="77777777" w:rsidTr="00522D22">
        <w:tc>
          <w:tcPr>
            <w:tcW w:w="4320" w:type="dxa"/>
            <w:tcBorders>
              <w:top w:val="nil"/>
            </w:tcBorders>
          </w:tcPr>
          <w:p w14:paraId="1F0F767F" w14:textId="72EEBB89" w:rsidR="00522D22" w:rsidRPr="00522D22" w:rsidRDefault="00522D22" w:rsidP="00DC1F9E">
            <w:pPr>
              <w:spacing w:line="276" w:lineRule="auto"/>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Bystander behavior</w:t>
            </w:r>
          </w:p>
        </w:tc>
        <w:tc>
          <w:tcPr>
            <w:tcW w:w="4320" w:type="dxa"/>
            <w:tcBorders>
              <w:top w:val="nil"/>
            </w:tcBorders>
          </w:tcPr>
          <w:p w14:paraId="2F41B76F" w14:textId="5533ECB8"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.04</w:t>
            </w:r>
          </w:p>
        </w:tc>
      </w:tr>
    </w:tbl>
    <w:p w14:paraId="6C398235" w14:textId="77777777" w:rsidR="00970642" w:rsidRPr="00522D22" w:rsidRDefault="00970642" w:rsidP="00970642">
      <w:pPr>
        <w:spacing w:after="0" w:line="480" w:lineRule="auto"/>
        <w:ind w:left="720" w:hanging="720"/>
        <w:rPr>
          <w:rFonts w:ascii="Times New Roman" w:eastAsiaTheme="majorEastAsia" w:hAnsi="Times New Roman" w:cs="Times New Roman"/>
          <w:color w:val="222222"/>
        </w:rPr>
      </w:pPr>
    </w:p>
    <w:p w14:paraId="754510C7" w14:textId="11677F4E" w:rsidR="00970642" w:rsidRPr="00522D22" w:rsidRDefault="00970642" w:rsidP="00970642">
      <w:pPr>
        <w:spacing w:after="0" w:line="480" w:lineRule="auto"/>
        <w:ind w:left="720" w:hanging="720"/>
        <w:rPr>
          <w:rFonts w:ascii="Times New Roman" w:eastAsiaTheme="majorEastAsia" w:hAnsi="Times New Roman" w:cs="Times New Roman"/>
          <w:color w:val="222222"/>
        </w:rPr>
      </w:pPr>
      <w:r w:rsidRPr="00522D22">
        <w:rPr>
          <w:rFonts w:ascii="Times New Roman" w:eastAsiaTheme="majorEastAsia" w:hAnsi="Times New Roman" w:cs="Times New Roman"/>
          <w:i/>
          <w:color w:val="222222"/>
        </w:rPr>
        <w:t xml:space="preserve">Table </w:t>
      </w:r>
      <w:r w:rsidR="00F36B5B">
        <w:rPr>
          <w:rFonts w:ascii="Times New Roman" w:eastAsiaTheme="majorEastAsia" w:hAnsi="Times New Roman" w:cs="Times New Roman"/>
          <w:i/>
          <w:color w:val="222222"/>
        </w:rPr>
        <w:t>S</w:t>
      </w:r>
      <w:r w:rsidR="007D5C18">
        <w:rPr>
          <w:rFonts w:ascii="Times New Roman" w:eastAsiaTheme="majorEastAsia" w:hAnsi="Times New Roman" w:cs="Times New Roman"/>
          <w:i/>
          <w:color w:val="222222"/>
        </w:rPr>
        <w:t>2</w:t>
      </w:r>
      <w:r w:rsidRPr="00522D22">
        <w:rPr>
          <w:rFonts w:ascii="Times New Roman" w:eastAsiaTheme="majorEastAsia" w:hAnsi="Times New Roman" w:cs="Times New Roman"/>
          <w:i/>
          <w:color w:val="222222"/>
        </w:rPr>
        <w:t>. Factor Characteristics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348"/>
        <w:gridCol w:w="1080"/>
        <w:gridCol w:w="1080"/>
        <w:gridCol w:w="1013"/>
        <w:gridCol w:w="1057"/>
        <w:gridCol w:w="1065"/>
      </w:tblGrid>
      <w:tr w:rsidR="00522D22" w:rsidRPr="00522D22" w14:paraId="0D52F6D3" w14:textId="704B16B7" w:rsidTr="00522D22">
        <w:tc>
          <w:tcPr>
            <w:tcW w:w="3348" w:type="dxa"/>
            <w:tcBorders>
              <w:bottom w:val="single" w:sz="4" w:space="0" w:color="auto"/>
            </w:tcBorders>
          </w:tcPr>
          <w:p w14:paraId="75A1A74A"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p>
        </w:tc>
        <w:tc>
          <w:tcPr>
            <w:tcW w:w="1080" w:type="dxa"/>
            <w:tcBorders>
              <w:bottom w:val="single" w:sz="4" w:space="0" w:color="auto"/>
              <w:right w:val="nil"/>
            </w:tcBorders>
          </w:tcPr>
          <w:p w14:paraId="559BAB9B"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Factor 1</w:t>
            </w:r>
          </w:p>
        </w:tc>
        <w:tc>
          <w:tcPr>
            <w:tcW w:w="1080" w:type="dxa"/>
            <w:tcBorders>
              <w:left w:val="nil"/>
              <w:bottom w:val="single" w:sz="4" w:space="0" w:color="auto"/>
              <w:right w:val="nil"/>
            </w:tcBorders>
          </w:tcPr>
          <w:p w14:paraId="50133E89"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Factor 2</w:t>
            </w:r>
          </w:p>
        </w:tc>
        <w:tc>
          <w:tcPr>
            <w:tcW w:w="1013" w:type="dxa"/>
            <w:tcBorders>
              <w:left w:val="nil"/>
              <w:bottom w:val="single" w:sz="4" w:space="0" w:color="auto"/>
              <w:right w:val="nil"/>
            </w:tcBorders>
          </w:tcPr>
          <w:p w14:paraId="087F5D45" w14:textId="298161FD"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Factor 3</w:t>
            </w:r>
          </w:p>
        </w:tc>
        <w:tc>
          <w:tcPr>
            <w:tcW w:w="1057" w:type="dxa"/>
            <w:tcBorders>
              <w:left w:val="nil"/>
              <w:bottom w:val="single" w:sz="4" w:space="0" w:color="auto"/>
              <w:right w:val="nil"/>
            </w:tcBorders>
          </w:tcPr>
          <w:p w14:paraId="5D0314F5" w14:textId="21A80661"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Factor 4</w:t>
            </w:r>
          </w:p>
        </w:tc>
        <w:tc>
          <w:tcPr>
            <w:tcW w:w="1065" w:type="dxa"/>
            <w:tcBorders>
              <w:left w:val="nil"/>
              <w:bottom w:val="single" w:sz="4" w:space="0" w:color="auto"/>
            </w:tcBorders>
          </w:tcPr>
          <w:p w14:paraId="0BB358DA" w14:textId="4D2D1E65"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Factor 5</w:t>
            </w:r>
          </w:p>
        </w:tc>
      </w:tr>
      <w:tr w:rsidR="00522D22" w:rsidRPr="00522D22" w14:paraId="7F3DF0F6" w14:textId="7A646C19" w:rsidTr="00522D22">
        <w:tc>
          <w:tcPr>
            <w:tcW w:w="3348" w:type="dxa"/>
            <w:tcBorders>
              <w:bottom w:val="nil"/>
            </w:tcBorders>
          </w:tcPr>
          <w:p w14:paraId="42D3A317"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Eigenvalues</w:t>
            </w:r>
          </w:p>
        </w:tc>
        <w:tc>
          <w:tcPr>
            <w:tcW w:w="1080" w:type="dxa"/>
            <w:tcBorders>
              <w:bottom w:val="nil"/>
            </w:tcBorders>
          </w:tcPr>
          <w:p w14:paraId="4C248A2A" w14:textId="772FEFA2"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3.05</w:t>
            </w:r>
          </w:p>
        </w:tc>
        <w:tc>
          <w:tcPr>
            <w:tcW w:w="1080" w:type="dxa"/>
            <w:tcBorders>
              <w:bottom w:val="nil"/>
            </w:tcBorders>
          </w:tcPr>
          <w:p w14:paraId="30D53ACF" w14:textId="127B5C42"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1.67</w:t>
            </w:r>
          </w:p>
        </w:tc>
        <w:tc>
          <w:tcPr>
            <w:tcW w:w="1013" w:type="dxa"/>
            <w:tcBorders>
              <w:bottom w:val="nil"/>
            </w:tcBorders>
          </w:tcPr>
          <w:p w14:paraId="728045DE" w14:textId="69908389"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1.18</w:t>
            </w:r>
          </w:p>
        </w:tc>
        <w:tc>
          <w:tcPr>
            <w:tcW w:w="1057" w:type="dxa"/>
            <w:tcBorders>
              <w:bottom w:val="nil"/>
            </w:tcBorders>
          </w:tcPr>
          <w:p w14:paraId="10D712FB" w14:textId="43221778"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.97</w:t>
            </w:r>
          </w:p>
        </w:tc>
        <w:tc>
          <w:tcPr>
            <w:tcW w:w="1065" w:type="dxa"/>
            <w:tcBorders>
              <w:bottom w:val="nil"/>
            </w:tcBorders>
          </w:tcPr>
          <w:p w14:paraId="7993F12A" w14:textId="1A7D2673"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.80</w:t>
            </w:r>
          </w:p>
        </w:tc>
      </w:tr>
      <w:tr w:rsidR="00522D22" w:rsidRPr="00522D22" w14:paraId="6BC6B062" w14:textId="3B97E2A7" w:rsidTr="00522D22">
        <w:tc>
          <w:tcPr>
            <w:tcW w:w="3348" w:type="dxa"/>
            <w:tcBorders>
              <w:top w:val="nil"/>
              <w:bottom w:val="nil"/>
            </w:tcBorders>
          </w:tcPr>
          <w:p w14:paraId="0651FE70"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Unrotated Solution</w:t>
            </w:r>
          </w:p>
        </w:tc>
        <w:tc>
          <w:tcPr>
            <w:tcW w:w="1080" w:type="dxa"/>
            <w:tcBorders>
              <w:top w:val="nil"/>
              <w:bottom w:val="nil"/>
            </w:tcBorders>
          </w:tcPr>
          <w:p w14:paraId="129AC5EA"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80" w:type="dxa"/>
            <w:tcBorders>
              <w:top w:val="nil"/>
              <w:bottom w:val="nil"/>
            </w:tcBorders>
          </w:tcPr>
          <w:p w14:paraId="56A75076"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13" w:type="dxa"/>
            <w:tcBorders>
              <w:top w:val="nil"/>
              <w:bottom w:val="nil"/>
            </w:tcBorders>
          </w:tcPr>
          <w:p w14:paraId="6AE41EBC"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57" w:type="dxa"/>
            <w:tcBorders>
              <w:top w:val="nil"/>
              <w:bottom w:val="nil"/>
            </w:tcBorders>
          </w:tcPr>
          <w:p w14:paraId="6393F5A4"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65" w:type="dxa"/>
            <w:tcBorders>
              <w:top w:val="nil"/>
              <w:bottom w:val="nil"/>
            </w:tcBorders>
          </w:tcPr>
          <w:p w14:paraId="4CDEE706"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r>
      <w:tr w:rsidR="00522D22" w:rsidRPr="00522D22" w14:paraId="791E79D9" w14:textId="1E51C087" w:rsidTr="00522D22">
        <w:tc>
          <w:tcPr>
            <w:tcW w:w="3348" w:type="dxa"/>
            <w:tcBorders>
              <w:top w:val="nil"/>
              <w:bottom w:val="nil"/>
            </w:tcBorders>
          </w:tcPr>
          <w:p w14:paraId="4069808F"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 xml:space="preserve">     Sum of Square Loadings</w:t>
            </w:r>
          </w:p>
        </w:tc>
        <w:tc>
          <w:tcPr>
            <w:tcW w:w="1080" w:type="dxa"/>
            <w:tcBorders>
              <w:top w:val="nil"/>
              <w:bottom w:val="nil"/>
            </w:tcBorders>
          </w:tcPr>
          <w:p w14:paraId="2A75C997" w14:textId="7CC23126"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3.03</w:t>
            </w:r>
          </w:p>
        </w:tc>
        <w:tc>
          <w:tcPr>
            <w:tcW w:w="1080" w:type="dxa"/>
            <w:tcBorders>
              <w:top w:val="nil"/>
              <w:bottom w:val="nil"/>
            </w:tcBorders>
          </w:tcPr>
          <w:p w14:paraId="03C35EF4" w14:textId="1B9E1AAE"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1.51</w:t>
            </w:r>
          </w:p>
        </w:tc>
        <w:tc>
          <w:tcPr>
            <w:tcW w:w="1013" w:type="dxa"/>
            <w:tcBorders>
              <w:top w:val="nil"/>
              <w:bottom w:val="nil"/>
            </w:tcBorders>
          </w:tcPr>
          <w:p w14:paraId="4C29C97D" w14:textId="559728E2"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.71</w:t>
            </w:r>
          </w:p>
        </w:tc>
        <w:tc>
          <w:tcPr>
            <w:tcW w:w="1057" w:type="dxa"/>
            <w:tcBorders>
              <w:top w:val="nil"/>
              <w:bottom w:val="nil"/>
            </w:tcBorders>
          </w:tcPr>
          <w:p w14:paraId="4092FB22" w14:textId="6D9BD21E"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.59</w:t>
            </w:r>
          </w:p>
        </w:tc>
        <w:tc>
          <w:tcPr>
            <w:tcW w:w="1065" w:type="dxa"/>
            <w:tcBorders>
              <w:top w:val="nil"/>
              <w:bottom w:val="nil"/>
            </w:tcBorders>
          </w:tcPr>
          <w:p w14:paraId="4153AB5F" w14:textId="5A0F8B2F"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.55</w:t>
            </w:r>
          </w:p>
        </w:tc>
      </w:tr>
      <w:tr w:rsidR="00522D22" w:rsidRPr="00522D22" w14:paraId="518BAEAE" w14:textId="41E23B6C" w:rsidTr="00522D22">
        <w:tc>
          <w:tcPr>
            <w:tcW w:w="3348" w:type="dxa"/>
            <w:tcBorders>
              <w:top w:val="nil"/>
              <w:bottom w:val="nil"/>
            </w:tcBorders>
          </w:tcPr>
          <w:p w14:paraId="2135776A"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 xml:space="preserve">     Proportion variance</w:t>
            </w:r>
          </w:p>
        </w:tc>
        <w:tc>
          <w:tcPr>
            <w:tcW w:w="1080" w:type="dxa"/>
            <w:tcBorders>
              <w:top w:val="nil"/>
              <w:bottom w:val="nil"/>
            </w:tcBorders>
          </w:tcPr>
          <w:p w14:paraId="1B32E178" w14:textId="7D8897B8"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.34</w:t>
            </w:r>
          </w:p>
        </w:tc>
        <w:tc>
          <w:tcPr>
            <w:tcW w:w="1080" w:type="dxa"/>
            <w:tcBorders>
              <w:top w:val="nil"/>
              <w:bottom w:val="nil"/>
            </w:tcBorders>
          </w:tcPr>
          <w:p w14:paraId="0A0088C5" w14:textId="5904A9F3"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.17</w:t>
            </w:r>
          </w:p>
        </w:tc>
        <w:tc>
          <w:tcPr>
            <w:tcW w:w="1013" w:type="dxa"/>
            <w:tcBorders>
              <w:top w:val="nil"/>
              <w:bottom w:val="nil"/>
            </w:tcBorders>
          </w:tcPr>
          <w:p w14:paraId="4442EB04" w14:textId="4626161D"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.08</w:t>
            </w:r>
          </w:p>
        </w:tc>
        <w:tc>
          <w:tcPr>
            <w:tcW w:w="1057" w:type="dxa"/>
            <w:tcBorders>
              <w:top w:val="nil"/>
              <w:bottom w:val="nil"/>
            </w:tcBorders>
          </w:tcPr>
          <w:p w14:paraId="14105F6F" w14:textId="432CF88F"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.07</w:t>
            </w:r>
          </w:p>
        </w:tc>
        <w:tc>
          <w:tcPr>
            <w:tcW w:w="1065" w:type="dxa"/>
            <w:tcBorders>
              <w:top w:val="nil"/>
              <w:bottom w:val="nil"/>
            </w:tcBorders>
          </w:tcPr>
          <w:p w14:paraId="1F0E64E5" w14:textId="65C260FD"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.06</w:t>
            </w:r>
          </w:p>
        </w:tc>
      </w:tr>
      <w:tr w:rsidR="00522D22" w:rsidRPr="00522D22" w14:paraId="465A32B5" w14:textId="064163AF" w:rsidTr="00522D22">
        <w:tc>
          <w:tcPr>
            <w:tcW w:w="3348" w:type="dxa"/>
            <w:tcBorders>
              <w:top w:val="nil"/>
              <w:bottom w:val="nil"/>
            </w:tcBorders>
          </w:tcPr>
          <w:p w14:paraId="76B91D21"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 xml:space="preserve">     Cumulative</w:t>
            </w:r>
          </w:p>
        </w:tc>
        <w:tc>
          <w:tcPr>
            <w:tcW w:w="1080" w:type="dxa"/>
            <w:tcBorders>
              <w:top w:val="nil"/>
              <w:bottom w:val="nil"/>
            </w:tcBorders>
          </w:tcPr>
          <w:p w14:paraId="369F659D" w14:textId="2DD0F82A"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.34</w:t>
            </w:r>
          </w:p>
        </w:tc>
        <w:tc>
          <w:tcPr>
            <w:tcW w:w="1080" w:type="dxa"/>
            <w:tcBorders>
              <w:top w:val="nil"/>
              <w:bottom w:val="nil"/>
            </w:tcBorders>
          </w:tcPr>
          <w:p w14:paraId="1C09FDCC" w14:textId="4E42CD1D"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.50</w:t>
            </w:r>
          </w:p>
        </w:tc>
        <w:tc>
          <w:tcPr>
            <w:tcW w:w="1013" w:type="dxa"/>
            <w:tcBorders>
              <w:top w:val="nil"/>
              <w:bottom w:val="nil"/>
            </w:tcBorders>
          </w:tcPr>
          <w:p w14:paraId="41CEA7A9" w14:textId="6C9BFB65"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.58</w:t>
            </w:r>
          </w:p>
        </w:tc>
        <w:tc>
          <w:tcPr>
            <w:tcW w:w="1057" w:type="dxa"/>
            <w:tcBorders>
              <w:top w:val="nil"/>
              <w:bottom w:val="nil"/>
            </w:tcBorders>
          </w:tcPr>
          <w:p w14:paraId="0B93B26D" w14:textId="1D3A7D0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.65</w:t>
            </w:r>
          </w:p>
        </w:tc>
        <w:tc>
          <w:tcPr>
            <w:tcW w:w="1065" w:type="dxa"/>
            <w:tcBorders>
              <w:top w:val="nil"/>
              <w:bottom w:val="nil"/>
            </w:tcBorders>
          </w:tcPr>
          <w:p w14:paraId="1599F6C9" w14:textId="0C7DBADA"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.71</w:t>
            </w:r>
          </w:p>
        </w:tc>
      </w:tr>
      <w:tr w:rsidR="00522D22" w:rsidRPr="00522D22" w14:paraId="7300F673" w14:textId="4E9D3810" w:rsidTr="00522D22">
        <w:tc>
          <w:tcPr>
            <w:tcW w:w="3348" w:type="dxa"/>
            <w:tcBorders>
              <w:top w:val="nil"/>
              <w:bottom w:val="nil"/>
            </w:tcBorders>
          </w:tcPr>
          <w:p w14:paraId="0D581B0E"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Rotated Solution</w:t>
            </w:r>
          </w:p>
        </w:tc>
        <w:tc>
          <w:tcPr>
            <w:tcW w:w="1080" w:type="dxa"/>
            <w:tcBorders>
              <w:top w:val="nil"/>
              <w:bottom w:val="nil"/>
            </w:tcBorders>
          </w:tcPr>
          <w:p w14:paraId="08129EA3"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80" w:type="dxa"/>
            <w:tcBorders>
              <w:top w:val="nil"/>
              <w:bottom w:val="nil"/>
            </w:tcBorders>
          </w:tcPr>
          <w:p w14:paraId="4D5C8FAE"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13" w:type="dxa"/>
            <w:tcBorders>
              <w:top w:val="nil"/>
              <w:bottom w:val="nil"/>
            </w:tcBorders>
          </w:tcPr>
          <w:p w14:paraId="798737F2"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57" w:type="dxa"/>
            <w:tcBorders>
              <w:top w:val="nil"/>
              <w:bottom w:val="nil"/>
            </w:tcBorders>
          </w:tcPr>
          <w:p w14:paraId="35553A6D"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c>
          <w:tcPr>
            <w:tcW w:w="1065" w:type="dxa"/>
            <w:tcBorders>
              <w:top w:val="nil"/>
              <w:bottom w:val="nil"/>
            </w:tcBorders>
          </w:tcPr>
          <w:p w14:paraId="007C9CC0" w14:textId="7777777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p>
        </w:tc>
      </w:tr>
      <w:tr w:rsidR="00522D22" w:rsidRPr="00522D22" w14:paraId="4A726988" w14:textId="47962A8C" w:rsidTr="00522D22">
        <w:tc>
          <w:tcPr>
            <w:tcW w:w="3348" w:type="dxa"/>
            <w:tcBorders>
              <w:top w:val="nil"/>
              <w:bottom w:val="nil"/>
            </w:tcBorders>
          </w:tcPr>
          <w:p w14:paraId="06FB9DBB"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 xml:space="preserve">     Sum of Square Loadings</w:t>
            </w:r>
          </w:p>
        </w:tc>
        <w:tc>
          <w:tcPr>
            <w:tcW w:w="1080" w:type="dxa"/>
            <w:tcBorders>
              <w:top w:val="nil"/>
              <w:bottom w:val="nil"/>
            </w:tcBorders>
          </w:tcPr>
          <w:p w14:paraId="7DDEBD76" w14:textId="73BCD7D3"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2.62</w:t>
            </w:r>
          </w:p>
        </w:tc>
        <w:tc>
          <w:tcPr>
            <w:tcW w:w="1080" w:type="dxa"/>
            <w:tcBorders>
              <w:top w:val="nil"/>
              <w:bottom w:val="nil"/>
            </w:tcBorders>
          </w:tcPr>
          <w:p w14:paraId="6517505A" w14:textId="569D7523"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1.36</w:t>
            </w:r>
          </w:p>
        </w:tc>
        <w:tc>
          <w:tcPr>
            <w:tcW w:w="1013" w:type="dxa"/>
            <w:tcBorders>
              <w:top w:val="nil"/>
              <w:bottom w:val="nil"/>
            </w:tcBorders>
          </w:tcPr>
          <w:p w14:paraId="1463ED2F" w14:textId="49F31AE7"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.98</w:t>
            </w:r>
          </w:p>
        </w:tc>
        <w:tc>
          <w:tcPr>
            <w:tcW w:w="1057" w:type="dxa"/>
            <w:tcBorders>
              <w:top w:val="nil"/>
              <w:bottom w:val="nil"/>
            </w:tcBorders>
          </w:tcPr>
          <w:p w14:paraId="5A0CA744" w14:textId="60A330CC"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.79</w:t>
            </w:r>
          </w:p>
        </w:tc>
        <w:tc>
          <w:tcPr>
            <w:tcW w:w="1065" w:type="dxa"/>
            <w:tcBorders>
              <w:top w:val="nil"/>
              <w:bottom w:val="nil"/>
            </w:tcBorders>
          </w:tcPr>
          <w:p w14:paraId="66EB0A8F" w14:textId="5D3A7BD4"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.64</w:t>
            </w:r>
          </w:p>
        </w:tc>
      </w:tr>
      <w:tr w:rsidR="00522D22" w:rsidRPr="00522D22" w14:paraId="65BCCA4E" w14:textId="6201031D" w:rsidTr="00522D22">
        <w:tc>
          <w:tcPr>
            <w:tcW w:w="3348" w:type="dxa"/>
            <w:tcBorders>
              <w:top w:val="nil"/>
              <w:bottom w:val="nil"/>
            </w:tcBorders>
          </w:tcPr>
          <w:p w14:paraId="22476245"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 xml:space="preserve">     Proportion variance</w:t>
            </w:r>
          </w:p>
        </w:tc>
        <w:tc>
          <w:tcPr>
            <w:tcW w:w="1080" w:type="dxa"/>
            <w:tcBorders>
              <w:top w:val="nil"/>
              <w:bottom w:val="nil"/>
            </w:tcBorders>
          </w:tcPr>
          <w:p w14:paraId="2791BF12" w14:textId="10EC0574"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.29</w:t>
            </w:r>
          </w:p>
        </w:tc>
        <w:tc>
          <w:tcPr>
            <w:tcW w:w="1080" w:type="dxa"/>
            <w:tcBorders>
              <w:top w:val="nil"/>
              <w:bottom w:val="nil"/>
            </w:tcBorders>
          </w:tcPr>
          <w:p w14:paraId="1D5BCC64" w14:textId="419A52ED"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.15</w:t>
            </w:r>
          </w:p>
        </w:tc>
        <w:tc>
          <w:tcPr>
            <w:tcW w:w="1013" w:type="dxa"/>
            <w:tcBorders>
              <w:top w:val="nil"/>
              <w:bottom w:val="nil"/>
            </w:tcBorders>
          </w:tcPr>
          <w:p w14:paraId="79C7FB36" w14:textId="30750941"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.11</w:t>
            </w:r>
          </w:p>
        </w:tc>
        <w:tc>
          <w:tcPr>
            <w:tcW w:w="1057" w:type="dxa"/>
            <w:tcBorders>
              <w:top w:val="nil"/>
              <w:bottom w:val="nil"/>
            </w:tcBorders>
          </w:tcPr>
          <w:p w14:paraId="035E79DA" w14:textId="32E537AC"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.09</w:t>
            </w:r>
          </w:p>
        </w:tc>
        <w:tc>
          <w:tcPr>
            <w:tcW w:w="1065" w:type="dxa"/>
            <w:tcBorders>
              <w:top w:val="nil"/>
              <w:bottom w:val="nil"/>
            </w:tcBorders>
          </w:tcPr>
          <w:p w14:paraId="5BE15057" w14:textId="3DC6C378"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.07</w:t>
            </w:r>
          </w:p>
        </w:tc>
      </w:tr>
      <w:tr w:rsidR="00522D22" w:rsidRPr="00522D22" w14:paraId="51A5C07F" w14:textId="6DD40D84" w:rsidTr="00522D22">
        <w:tc>
          <w:tcPr>
            <w:tcW w:w="3348" w:type="dxa"/>
            <w:tcBorders>
              <w:top w:val="nil"/>
            </w:tcBorders>
          </w:tcPr>
          <w:p w14:paraId="16A9F219" w14:textId="77777777" w:rsidR="00522D22" w:rsidRPr="00522D22" w:rsidRDefault="00522D22" w:rsidP="00DC1F9E">
            <w:pPr>
              <w:spacing w:line="276" w:lineRule="auto"/>
              <w:rPr>
                <w:rFonts w:ascii="Times New Roman" w:eastAsiaTheme="majorEastAsia" w:hAnsi="Times New Roman" w:cs="Times New Roman"/>
                <w:color w:val="222222"/>
                <w:sz w:val="24"/>
                <w:szCs w:val="24"/>
              </w:rPr>
            </w:pPr>
            <w:r w:rsidRPr="00522D22">
              <w:rPr>
                <w:rFonts w:ascii="Times New Roman" w:eastAsiaTheme="majorEastAsia" w:hAnsi="Times New Roman" w:cs="Times New Roman"/>
                <w:color w:val="222222"/>
                <w:sz w:val="24"/>
                <w:szCs w:val="24"/>
              </w:rPr>
              <w:t xml:space="preserve">     Cumulative</w:t>
            </w:r>
          </w:p>
        </w:tc>
        <w:tc>
          <w:tcPr>
            <w:tcW w:w="1080" w:type="dxa"/>
            <w:tcBorders>
              <w:top w:val="nil"/>
            </w:tcBorders>
          </w:tcPr>
          <w:p w14:paraId="10B961CE" w14:textId="0FEB0729"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.29</w:t>
            </w:r>
          </w:p>
        </w:tc>
        <w:tc>
          <w:tcPr>
            <w:tcW w:w="1080" w:type="dxa"/>
            <w:tcBorders>
              <w:top w:val="nil"/>
            </w:tcBorders>
          </w:tcPr>
          <w:p w14:paraId="32E9E292" w14:textId="1C77A521"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.44</w:t>
            </w:r>
          </w:p>
        </w:tc>
        <w:tc>
          <w:tcPr>
            <w:tcW w:w="1013" w:type="dxa"/>
            <w:tcBorders>
              <w:top w:val="nil"/>
            </w:tcBorders>
          </w:tcPr>
          <w:p w14:paraId="1AE0549F" w14:textId="237CBE72"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.55</w:t>
            </w:r>
          </w:p>
        </w:tc>
        <w:tc>
          <w:tcPr>
            <w:tcW w:w="1057" w:type="dxa"/>
            <w:tcBorders>
              <w:top w:val="nil"/>
            </w:tcBorders>
          </w:tcPr>
          <w:p w14:paraId="61A7A433" w14:textId="704BA478"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.64</w:t>
            </w:r>
          </w:p>
        </w:tc>
        <w:tc>
          <w:tcPr>
            <w:tcW w:w="1065" w:type="dxa"/>
            <w:tcBorders>
              <w:top w:val="nil"/>
            </w:tcBorders>
          </w:tcPr>
          <w:p w14:paraId="7B178114" w14:textId="2E52A7C3" w:rsidR="00522D22" w:rsidRPr="00522D22" w:rsidRDefault="00522D22"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.71</w:t>
            </w:r>
          </w:p>
        </w:tc>
      </w:tr>
    </w:tbl>
    <w:p w14:paraId="5ED6B096" w14:textId="77777777" w:rsidR="00970642" w:rsidRPr="00522D22" w:rsidRDefault="00970642" w:rsidP="00970642">
      <w:pPr>
        <w:spacing w:after="0" w:line="480" w:lineRule="auto"/>
        <w:ind w:left="720" w:hanging="720"/>
        <w:rPr>
          <w:rFonts w:ascii="Times New Roman" w:eastAsiaTheme="majorEastAsia" w:hAnsi="Times New Roman" w:cs="Times New Roman"/>
          <w:color w:val="222222"/>
        </w:rPr>
      </w:pPr>
    </w:p>
    <w:p w14:paraId="6D414C45" w14:textId="634E73D1" w:rsidR="00970642" w:rsidRPr="00522D22" w:rsidRDefault="00970642" w:rsidP="00970642">
      <w:pPr>
        <w:spacing w:after="0" w:line="480" w:lineRule="auto"/>
        <w:ind w:left="720" w:hanging="720"/>
        <w:rPr>
          <w:rFonts w:ascii="Times New Roman" w:eastAsiaTheme="majorEastAsia" w:hAnsi="Times New Roman" w:cs="Times New Roman"/>
          <w:i/>
          <w:color w:val="222222"/>
        </w:rPr>
      </w:pPr>
      <w:r w:rsidRPr="00522D22">
        <w:rPr>
          <w:rFonts w:ascii="Times New Roman" w:eastAsiaTheme="majorEastAsia" w:hAnsi="Times New Roman" w:cs="Times New Roman"/>
          <w:i/>
          <w:color w:val="222222"/>
        </w:rPr>
        <w:lastRenderedPageBreak/>
        <w:t xml:space="preserve">Table </w:t>
      </w:r>
      <w:r w:rsidR="00F36B5B">
        <w:rPr>
          <w:rFonts w:ascii="Times New Roman" w:eastAsiaTheme="majorEastAsia" w:hAnsi="Times New Roman" w:cs="Times New Roman"/>
          <w:i/>
          <w:color w:val="222222"/>
        </w:rPr>
        <w:t>S</w:t>
      </w:r>
      <w:r w:rsidR="007D5C18">
        <w:rPr>
          <w:rFonts w:ascii="Times New Roman" w:eastAsiaTheme="majorEastAsia" w:hAnsi="Times New Roman" w:cs="Times New Roman"/>
          <w:i/>
          <w:color w:val="222222"/>
        </w:rPr>
        <w:t>3</w:t>
      </w:r>
      <w:r w:rsidRPr="00522D22">
        <w:rPr>
          <w:rFonts w:ascii="Times New Roman" w:eastAsiaTheme="majorEastAsia" w:hAnsi="Times New Roman" w:cs="Times New Roman"/>
          <w:i/>
          <w:color w:val="222222"/>
        </w:rPr>
        <w:t>. Factor Loadings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888"/>
        <w:gridCol w:w="880"/>
        <w:gridCol w:w="830"/>
        <w:gridCol w:w="874"/>
        <w:gridCol w:w="830"/>
        <w:gridCol w:w="830"/>
        <w:gridCol w:w="1336"/>
      </w:tblGrid>
      <w:tr w:rsidR="001A5E9D" w:rsidRPr="004B5C46" w14:paraId="605AC1AB" w14:textId="77777777" w:rsidTr="001A5E9D">
        <w:tc>
          <w:tcPr>
            <w:tcW w:w="3888" w:type="dxa"/>
            <w:tcBorders>
              <w:bottom w:val="single" w:sz="4" w:space="0" w:color="auto"/>
              <w:right w:val="nil"/>
            </w:tcBorders>
            <w:vAlign w:val="center"/>
          </w:tcPr>
          <w:p w14:paraId="7D17F4D7" w14:textId="77777777" w:rsidR="00522D22" w:rsidRPr="004B5C46" w:rsidRDefault="00522D22" w:rsidP="001A5E9D">
            <w:pPr>
              <w:spacing w:line="276" w:lineRule="auto"/>
              <w:jc w:val="center"/>
              <w:rPr>
                <w:rFonts w:ascii="Times New Roman" w:eastAsiaTheme="majorEastAsia" w:hAnsi="Times New Roman" w:cs="Times New Roman"/>
                <w:color w:val="222222"/>
                <w:sz w:val="24"/>
                <w:szCs w:val="24"/>
              </w:rPr>
            </w:pPr>
          </w:p>
        </w:tc>
        <w:tc>
          <w:tcPr>
            <w:tcW w:w="880" w:type="dxa"/>
            <w:tcBorders>
              <w:left w:val="nil"/>
              <w:bottom w:val="single" w:sz="4" w:space="0" w:color="auto"/>
              <w:right w:val="nil"/>
            </w:tcBorders>
            <w:vAlign w:val="center"/>
          </w:tcPr>
          <w:p w14:paraId="1B18CD06" w14:textId="77777777" w:rsidR="00522D22" w:rsidRPr="004B5C46" w:rsidRDefault="00522D22" w:rsidP="001A5E9D">
            <w:pPr>
              <w:spacing w:line="276" w:lineRule="auto"/>
              <w:jc w:val="center"/>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Factor 1</w:t>
            </w:r>
          </w:p>
        </w:tc>
        <w:tc>
          <w:tcPr>
            <w:tcW w:w="830" w:type="dxa"/>
            <w:tcBorders>
              <w:left w:val="nil"/>
              <w:bottom w:val="single" w:sz="4" w:space="0" w:color="auto"/>
              <w:right w:val="nil"/>
            </w:tcBorders>
            <w:vAlign w:val="center"/>
          </w:tcPr>
          <w:p w14:paraId="217E2ED5" w14:textId="77777777" w:rsidR="00522D22" w:rsidRPr="004B5C46" w:rsidRDefault="00522D22" w:rsidP="001A5E9D">
            <w:pPr>
              <w:spacing w:line="276" w:lineRule="auto"/>
              <w:jc w:val="center"/>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Factor 2</w:t>
            </w:r>
          </w:p>
        </w:tc>
        <w:tc>
          <w:tcPr>
            <w:tcW w:w="874" w:type="dxa"/>
            <w:tcBorders>
              <w:left w:val="nil"/>
              <w:bottom w:val="single" w:sz="4" w:space="0" w:color="auto"/>
              <w:right w:val="nil"/>
            </w:tcBorders>
            <w:vAlign w:val="center"/>
          </w:tcPr>
          <w:p w14:paraId="4908E1FE" w14:textId="199B5415" w:rsidR="00522D22" w:rsidRPr="004B5C46" w:rsidRDefault="00522D22" w:rsidP="001A5E9D">
            <w:pPr>
              <w:spacing w:line="276" w:lineRule="auto"/>
              <w:jc w:val="center"/>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Factor 3</w:t>
            </w:r>
          </w:p>
        </w:tc>
        <w:tc>
          <w:tcPr>
            <w:tcW w:w="830" w:type="dxa"/>
            <w:tcBorders>
              <w:left w:val="nil"/>
              <w:bottom w:val="single" w:sz="4" w:space="0" w:color="auto"/>
              <w:right w:val="nil"/>
            </w:tcBorders>
            <w:vAlign w:val="center"/>
          </w:tcPr>
          <w:p w14:paraId="5A659704" w14:textId="385CF549" w:rsidR="00522D22" w:rsidRPr="004B5C46" w:rsidRDefault="00522D22" w:rsidP="001A5E9D">
            <w:pPr>
              <w:spacing w:line="276" w:lineRule="auto"/>
              <w:jc w:val="center"/>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Factor 4</w:t>
            </w:r>
          </w:p>
        </w:tc>
        <w:tc>
          <w:tcPr>
            <w:tcW w:w="830" w:type="dxa"/>
            <w:tcBorders>
              <w:left w:val="nil"/>
              <w:bottom w:val="single" w:sz="4" w:space="0" w:color="auto"/>
              <w:right w:val="nil"/>
            </w:tcBorders>
            <w:vAlign w:val="center"/>
          </w:tcPr>
          <w:p w14:paraId="7995BCA3" w14:textId="1958EE8F" w:rsidR="00522D22" w:rsidRPr="004B5C46" w:rsidRDefault="00522D22" w:rsidP="001A5E9D">
            <w:pPr>
              <w:spacing w:line="276" w:lineRule="auto"/>
              <w:jc w:val="center"/>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Factor 5</w:t>
            </w:r>
          </w:p>
        </w:tc>
        <w:tc>
          <w:tcPr>
            <w:tcW w:w="1336" w:type="dxa"/>
            <w:tcBorders>
              <w:left w:val="nil"/>
              <w:bottom w:val="single" w:sz="4" w:space="0" w:color="auto"/>
            </w:tcBorders>
            <w:vAlign w:val="center"/>
          </w:tcPr>
          <w:p w14:paraId="00D75815" w14:textId="70B562A1" w:rsidR="00522D22" w:rsidRPr="004B5C46" w:rsidRDefault="00522D22" w:rsidP="001A5E9D">
            <w:pPr>
              <w:spacing w:line="276" w:lineRule="auto"/>
              <w:jc w:val="center"/>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Uniqueness</w:t>
            </w:r>
          </w:p>
        </w:tc>
      </w:tr>
      <w:tr w:rsidR="001A5E9D" w:rsidRPr="004B5C46" w14:paraId="74AB774B" w14:textId="77777777" w:rsidTr="001A5E9D">
        <w:tc>
          <w:tcPr>
            <w:tcW w:w="3888" w:type="dxa"/>
            <w:tcBorders>
              <w:top w:val="single" w:sz="4" w:space="0" w:color="auto"/>
              <w:bottom w:val="nil"/>
            </w:tcBorders>
          </w:tcPr>
          <w:p w14:paraId="14C4A520" w14:textId="60A9AB66" w:rsidR="00522D22" w:rsidRPr="004B5C46" w:rsidRDefault="00522D22"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Intimate photo</w:t>
            </w:r>
          </w:p>
        </w:tc>
        <w:tc>
          <w:tcPr>
            <w:tcW w:w="880" w:type="dxa"/>
            <w:tcBorders>
              <w:top w:val="single" w:sz="4" w:space="0" w:color="auto"/>
              <w:bottom w:val="nil"/>
            </w:tcBorders>
          </w:tcPr>
          <w:p w14:paraId="56FF800F" w14:textId="2A680E87"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1.25</w:t>
            </w:r>
          </w:p>
        </w:tc>
        <w:tc>
          <w:tcPr>
            <w:tcW w:w="830" w:type="dxa"/>
            <w:tcBorders>
              <w:top w:val="single" w:sz="4" w:space="0" w:color="auto"/>
              <w:bottom w:val="nil"/>
            </w:tcBorders>
          </w:tcPr>
          <w:p w14:paraId="22E0AB93"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single" w:sz="4" w:space="0" w:color="auto"/>
              <w:bottom w:val="nil"/>
            </w:tcBorders>
          </w:tcPr>
          <w:p w14:paraId="534D3395"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single" w:sz="4" w:space="0" w:color="auto"/>
              <w:bottom w:val="nil"/>
            </w:tcBorders>
          </w:tcPr>
          <w:p w14:paraId="135ADD3A" w14:textId="74D2BA9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single" w:sz="4" w:space="0" w:color="auto"/>
              <w:bottom w:val="nil"/>
            </w:tcBorders>
          </w:tcPr>
          <w:p w14:paraId="49716FF3" w14:textId="065F5C0C"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single" w:sz="4" w:space="0" w:color="auto"/>
              <w:bottom w:val="nil"/>
            </w:tcBorders>
          </w:tcPr>
          <w:p w14:paraId="2022DE00" w14:textId="612356E0" w:rsidR="00522D22" w:rsidRPr="004B5C46" w:rsidRDefault="004B5C46" w:rsidP="004B5C46">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-.34</w:t>
            </w:r>
          </w:p>
        </w:tc>
      </w:tr>
      <w:tr w:rsidR="001A5E9D" w:rsidRPr="004B5C46" w14:paraId="7DE1D19A" w14:textId="77777777" w:rsidTr="001A5E9D">
        <w:tc>
          <w:tcPr>
            <w:tcW w:w="3888" w:type="dxa"/>
            <w:tcBorders>
              <w:top w:val="nil"/>
              <w:bottom w:val="nil"/>
            </w:tcBorders>
          </w:tcPr>
          <w:p w14:paraId="710C7B85" w14:textId="2BC9DAB6"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Self-harm</w:t>
            </w:r>
          </w:p>
        </w:tc>
        <w:tc>
          <w:tcPr>
            <w:tcW w:w="880" w:type="dxa"/>
            <w:tcBorders>
              <w:top w:val="nil"/>
              <w:bottom w:val="nil"/>
            </w:tcBorders>
          </w:tcPr>
          <w:p w14:paraId="06EB8027" w14:textId="414A6FA5"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.74</w:t>
            </w:r>
          </w:p>
        </w:tc>
        <w:tc>
          <w:tcPr>
            <w:tcW w:w="830" w:type="dxa"/>
            <w:tcBorders>
              <w:top w:val="nil"/>
              <w:bottom w:val="nil"/>
            </w:tcBorders>
          </w:tcPr>
          <w:p w14:paraId="139FFBC3"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bottom w:val="nil"/>
            </w:tcBorders>
          </w:tcPr>
          <w:p w14:paraId="23475BA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4B5C0D38" w14:textId="53C0B75D"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0637955B" w14:textId="1FE5BBA3"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bottom w:val="nil"/>
            </w:tcBorders>
          </w:tcPr>
          <w:p w14:paraId="7B8A2607" w14:textId="2C6490BF"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.09</w:t>
            </w:r>
          </w:p>
        </w:tc>
      </w:tr>
      <w:tr w:rsidR="001A5E9D" w:rsidRPr="004B5C46" w14:paraId="7A1B00D0" w14:textId="77777777" w:rsidTr="001A5E9D">
        <w:tc>
          <w:tcPr>
            <w:tcW w:w="3888" w:type="dxa"/>
            <w:tcBorders>
              <w:top w:val="nil"/>
              <w:bottom w:val="nil"/>
            </w:tcBorders>
          </w:tcPr>
          <w:p w14:paraId="5B32F2E9" w14:textId="7EE7035B"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Skip hanging out with friends</w:t>
            </w:r>
          </w:p>
        </w:tc>
        <w:tc>
          <w:tcPr>
            <w:tcW w:w="880" w:type="dxa"/>
            <w:tcBorders>
              <w:top w:val="nil"/>
              <w:bottom w:val="nil"/>
            </w:tcBorders>
          </w:tcPr>
          <w:p w14:paraId="4C9DB91F" w14:textId="1C85CE57"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.68</w:t>
            </w:r>
          </w:p>
        </w:tc>
        <w:tc>
          <w:tcPr>
            <w:tcW w:w="830" w:type="dxa"/>
            <w:tcBorders>
              <w:top w:val="nil"/>
              <w:bottom w:val="nil"/>
            </w:tcBorders>
          </w:tcPr>
          <w:p w14:paraId="59D3CA5A" w14:textId="292D2A69"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bottom w:val="nil"/>
            </w:tcBorders>
          </w:tcPr>
          <w:p w14:paraId="38448AEF"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6BADE574" w14:textId="639455D6"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.43</w:t>
            </w:r>
          </w:p>
        </w:tc>
        <w:tc>
          <w:tcPr>
            <w:tcW w:w="830" w:type="dxa"/>
            <w:tcBorders>
              <w:top w:val="nil"/>
              <w:bottom w:val="nil"/>
            </w:tcBorders>
          </w:tcPr>
          <w:p w14:paraId="744EFB17" w14:textId="2573EF3E"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bottom w:val="nil"/>
            </w:tcBorders>
          </w:tcPr>
          <w:p w14:paraId="2D06D4B5" w14:textId="60EEDFBA"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.15</w:t>
            </w:r>
          </w:p>
        </w:tc>
      </w:tr>
      <w:tr w:rsidR="001A5E9D" w:rsidRPr="004B5C46" w14:paraId="5E2B4993" w14:textId="77777777" w:rsidTr="001A5E9D">
        <w:tc>
          <w:tcPr>
            <w:tcW w:w="3888" w:type="dxa"/>
            <w:tcBorders>
              <w:top w:val="nil"/>
              <w:bottom w:val="nil"/>
            </w:tcBorders>
          </w:tcPr>
          <w:p w14:paraId="7BF96716" w14:textId="5D34B360"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Staying safe</w:t>
            </w:r>
          </w:p>
        </w:tc>
        <w:tc>
          <w:tcPr>
            <w:tcW w:w="880" w:type="dxa"/>
            <w:tcBorders>
              <w:top w:val="nil"/>
              <w:bottom w:val="nil"/>
            </w:tcBorders>
          </w:tcPr>
          <w:p w14:paraId="29F4B06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2B1F369B" w14:textId="5E21FD63"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1.23</w:t>
            </w:r>
          </w:p>
        </w:tc>
        <w:tc>
          <w:tcPr>
            <w:tcW w:w="874" w:type="dxa"/>
            <w:tcBorders>
              <w:top w:val="nil"/>
              <w:bottom w:val="nil"/>
            </w:tcBorders>
          </w:tcPr>
          <w:p w14:paraId="677EA914"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01295D2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2AE66DF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bottom w:val="nil"/>
            </w:tcBorders>
          </w:tcPr>
          <w:p w14:paraId="65147DCF" w14:textId="320BEF64"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-.21</w:t>
            </w:r>
          </w:p>
        </w:tc>
      </w:tr>
      <w:tr w:rsidR="001A5E9D" w:rsidRPr="004B5C46" w14:paraId="00F8B798" w14:textId="77777777" w:rsidTr="001A5E9D">
        <w:tc>
          <w:tcPr>
            <w:tcW w:w="3888" w:type="dxa"/>
            <w:tcBorders>
              <w:top w:val="nil"/>
              <w:bottom w:val="nil"/>
            </w:tcBorders>
          </w:tcPr>
          <w:p w14:paraId="44F4B12E" w14:textId="478BA55A"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Share location</w:t>
            </w:r>
          </w:p>
        </w:tc>
        <w:tc>
          <w:tcPr>
            <w:tcW w:w="880" w:type="dxa"/>
            <w:tcBorders>
              <w:top w:val="nil"/>
              <w:bottom w:val="nil"/>
            </w:tcBorders>
          </w:tcPr>
          <w:p w14:paraId="7A3E0F12"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39D50BD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bottom w:val="nil"/>
            </w:tcBorders>
          </w:tcPr>
          <w:p w14:paraId="3D332884" w14:textId="0A12C6A1"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.86</w:t>
            </w:r>
          </w:p>
        </w:tc>
        <w:tc>
          <w:tcPr>
            <w:tcW w:w="830" w:type="dxa"/>
            <w:tcBorders>
              <w:top w:val="nil"/>
              <w:bottom w:val="nil"/>
            </w:tcBorders>
          </w:tcPr>
          <w:p w14:paraId="6EA636C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798F6C0B"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bottom w:val="nil"/>
            </w:tcBorders>
          </w:tcPr>
          <w:p w14:paraId="0E30CB6C" w14:textId="07BE1B3C"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.28</w:t>
            </w:r>
          </w:p>
        </w:tc>
      </w:tr>
      <w:tr w:rsidR="001A5E9D" w:rsidRPr="004B5C46" w14:paraId="13435F06" w14:textId="77777777" w:rsidTr="001A5E9D">
        <w:tc>
          <w:tcPr>
            <w:tcW w:w="3888" w:type="dxa"/>
            <w:tcBorders>
              <w:top w:val="nil"/>
              <w:bottom w:val="nil"/>
            </w:tcBorders>
          </w:tcPr>
          <w:p w14:paraId="53AF1803" w14:textId="4D4AD890"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Bystander behavior</w:t>
            </w:r>
          </w:p>
        </w:tc>
        <w:tc>
          <w:tcPr>
            <w:tcW w:w="880" w:type="dxa"/>
            <w:tcBorders>
              <w:top w:val="nil"/>
              <w:bottom w:val="nil"/>
            </w:tcBorders>
          </w:tcPr>
          <w:p w14:paraId="7F38FBA2"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481A802B"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bottom w:val="nil"/>
            </w:tcBorders>
          </w:tcPr>
          <w:p w14:paraId="3BB3D773"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7D5D2AD8" w14:textId="1836671E"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.48</w:t>
            </w:r>
          </w:p>
        </w:tc>
        <w:tc>
          <w:tcPr>
            <w:tcW w:w="830" w:type="dxa"/>
            <w:tcBorders>
              <w:top w:val="nil"/>
              <w:bottom w:val="nil"/>
            </w:tcBorders>
          </w:tcPr>
          <w:p w14:paraId="7A419906"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bottom w:val="nil"/>
            </w:tcBorders>
          </w:tcPr>
          <w:p w14:paraId="4198856C" w14:textId="4EFAE3D7"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.74</w:t>
            </w:r>
          </w:p>
        </w:tc>
      </w:tr>
      <w:tr w:rsidR="001A5E9D" w:rsidRPr="004B5C46" w14:paraId="4AA451CB" w14:textId="77777777" w:rsidTr="001A5E9D">
        <w:tc>
          <w:tcPr>
            <w:tcW w:w="3888" w:type="dxa"/>
            <w:tcBorders>
              <w:top w:val="nil"/>
              <w:bottom w:val="nil"/>
            </w:tcBorders>
          </w:tcPr>
          <w:p w14:paraId="78FB1C54" w14:textId="79C4911F"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Keep some things private</w:t>
            </w:r>
          </w:p>
        </w:tc>
        <w:tc>
          <w:tcPr>
            <w:tcW w:w="880" w:type="dxa"/>
            <w:tcBorders>
              <w:top w:val="nil"/>
              <w:bottom w:val="nil"/>
            </w:tcBorders>
          </w:tcPr>
          <w:p w14:paraId="547AAA97"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00EF483D"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bottom w:val="nil"/>
            </w:tcBorders>
          </w:tcPr>
          <w:p w14:paraId="7101FB9A"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3CB1921A" w14:textId="3892C0FA"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46F80118" w14:textId="2385BBA9"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.77</w:t>
            </w:r>
          </w:p>
        </w:tc>
        <w:tc>
          <w:tcPr>
            <w:tcW w:w="1336" w:type="dxa"/>
            <w:tcBorders>
              <w:top w:val="nil"/>
              <w:bottom w:val="nil"/>
            </w:tcBorders>
          </w:tcPr>
          <w:p w14:paraId="76B2F66B" w14:textId="13D691D6"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.46</w:t>
            </w:r>
          </w:p>
        </w:tc>
      </w:tr>
      <w:tr w:rsidR="001A5E9D" w:rsidRPr="004B5C46" w14:paraId="471B825C" w14:textId="77777777" w:rsidTr="001A5E9D">
        <w:tc>
          <w:tcPr>
            <w:tcW w:w="3888" w:type="dxa"/>
            <w:tcBorders>
              <w:top w:val="nil"/>
              <w:bottom w:val="nil"/>
            </w:tcBorders>
          </w:tcPr>
          <w:p w14:paraId="1CE2C5EB" w14:textId="56FE841F"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Hurtful name</w:t>
            </w:r>
          </w:p>
        </w:tc>
        <w:tc>
          <w:tcPr>
            <w:tcW w:w="880" w:type="dxa"/>
            <w:tcBorders>
              <w:top w:val="nil"/>
              <w:bottom w:val="nil"/>
            </w:tcBorders>
          </w:tcPr>
          <w:p w14:paraId="42CF94CC"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308C3A71"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bottom w:val="nil"/>
            </w:tcBorders>
          </w:tcPr>
          <w:p w14:paraId="468D2B5D"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181F0554" w14:textId="741E396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bottom w:val="nil"/>
            </w:tcBorders>
          </w:tcPr>
          <w:p w14:paraId="7077DE63" w14:textId="033EB7D5"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bottom w:val="nil"/>
            </w:tcBorders>
          </w:tcPr>
          <w:p w14:paraId="0EAABCD9" w14:textId="1EE66692" w:rsidR="00522D22" w:rsidRPr="004B5C46" w:rsidRDefault="004B5C46" w:rsidP="00DC1F9E">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.72</w:t>
            </w:r>
          </w:p>
        </w:tc>
      </w:tr>
      <w:tr w:rsidR="001A5E9D" w:rsidRPr="004B5C46" w14:paraId="094EAA94" w14:textId="77777777" w:rsidTr="001A5E9D">
        <w:tc>
          <w:tcPr>
            <w:tcW w:w="3888" w:type="dxa"/>
            <w:tcBorders>
              <w:top w:val="nil"/>
            </w:tcBorders>
          </w:tcPr>
          <w:p w14:paraId="0564DFBD" w14:textId="558B069D" w:rsidR="00522D22" w:rsidRPr="004B5C46" w:rsidRDefault="004B5C46" w:rsidP="00DC1F9E">
            <w:pPr>
              <w:spacing w:line="276" w:lineRule="auto"/>
              <w:rPr>
                <w:rFonts w:ascii="Times New Roman" w:eastAsiaTheme="majorEastAsia" w:hAnsi="Times New Roman" w:cs="Times New Roman"/>
                <w:color w:val="222222"/>
                <w:sz w:val="24"/>
                <w:szCs w:val="24"/>
              </w:rPr>
            </w:pPr>
            <w:r w:rsidRPr="004B5C46">
              <w:rPr>
                <w:rFonts w:ascii="Times New Roman" w:eastAsiaTheme="majorEastAsia" w:hAnsi="Times New Roman" w:cs="Times New Roman"/>
                <w:color w:val="222222"/>
                <w:sz w:val="24"/>
                <w:szCs w:val="24"/>
              </w:rPr>
              <w:t>Healthy balance</w:t>
            </w:r>
          </w:p>
        </w:tc>
        <w:tc>
          <w:tcPr>
            <w:tcW w:w="880" w:type="dxa"/>
            <w:tcBorders>
              <w:top w:val="nil"/>
            </w:tcBorders>
          </w:tcPr>
          <w:p w14:paraId="09E800BF"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tcBorders>
          </w:tcPr>
          <w:p w14:paraId="247163E0"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74" w:type="dxa"/>
            <w:tcBorders>
              <w:top w:val="nil"/>
            </w:tcBorders>
          </w:tcPr>
          <w:p w14:paraId="2114CABF" w14:textId="77777777"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tcBorders>
          </w:tcPr>
          <w:p w14:paraId="465E49C9" w14:textId="30C56DDF"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830" w:type="dxa"/>
            <w:tcBorders>
              <w:top w:val="nil"/>
            </w:tcBorders>
          </w:tcPr>
          <w:p w14:paraId="039B7F18" w14:textId="791C1BAA" w:rsidR="00522D22" w:rsidRPr="004B5C46" w:rsidRDefault="00522D22" w:rsidP="00DC1F9E">
            <w:pPr>
              <w:spacing w:line="276" w:lineRule="auto"/>
              <w:jc w:val="center"/>
              <w:rPr>
                <w:rFonts w:ascii="Times New Roman" w:eastAsiaTheme="majorEastAsia" w:hAnsi="Times New Roman" w:cs="Times New Roman"/>
                <w:color w:val="222222"/>
                <w:sz w:val="24"/>
                <w:szCs w:val="24"/>
              </w:rPr>
            </w:pPr>
          </w:p>
        </w:tc>
        <w:tc>
          <w:tcPr>
            <w:tcW w:w="1336" w:type="dxa"/>
            <w:tcBorders>
              <w:top w:val="nil"/>
            </w:tcBorders>
          </w:tcPr>
          <w:p w14:paraId="2D113C9A" w14:textId="557E20C3" w:rsidR="004B5C46" w:rsidRPr="004B5C46" w:rsidRDefault="004B5C46" w:rsidP="004B5C46">
            <w:pPr>
              <w:spacing w:line="276" w:lineRule="auto"/>
              <w:jc w:val="center"/>
              <w:rPr>
                <w:rFonts w:ascii="Times New Roman" w:eastAsiaTheme="majorEastAsia" w:hAnsi="Times New Roman" w:cs="Times New Roman"/>
                <w:color w:val="222222"/>
                <w:sz w:val="24"/>
                <w:szCs w:val="24"/>
              </w:rPr>
            </w:pPr>
            <w:r>
              <w:rPr>
                <w:rFonts w:ascii="Times New Roman" w:eastAsiaTheme="majorEastAsia" w:hAnsi="Times New Roman" w:cs="Times New Roman"/>
                <w:color w:val="222222"/>
                <w:sz w:val="24"/>
                <w:szCs w:val="24"/>
              </w:rPr>
              <w:t>.73</w:t>
            </w:r>
          </w:p>
        </w:tc>
      </w:tr>
    </w:tbl>
    <w:p w14:paraId="3ECC2EFE" w14:textId="77777777" w:rsidR="00F6033A" w:rsidRDefault="00F6033A" w:rsidP="00970642">
      <w:pPr>
        <w:rPr>
          <w:rFonts w:ascii="Times New Roman" w:hAnsi="Times New Roman" w:cs="Times New Roman"/>
          <w:b/>
          <w:bCs/>
        </w:rPr>
      </w:pPr>
    </w:p>
    <w:p w14:paraId="0C2C76DC" w14:textId="77777777" w:rsidR="00E0265A" w:rsidRDefault="00E0265A" w:rsidP="005A4BD9">
      <w:pPr>
        <w:rPr>
          <w:rFonts w:ascii="Times New Roman" w:hAnsi="Times New Roman" w:cs="Times New Roman"/>
          <w:b/>
          <w:bCs/>
        </w:rPr>
      </w:pPr>
    </w:p>
    <w:sectPr w:rsidR="00E0265A" w:rsidSect="00E02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1931"/>
    <w:multiLevelType w:val="hybridMultilevel"/>
    <w:tmpl w:val="80969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73229B"/>
    <w:multiLevelType w:val="multilevel"/>
    <w:tmpl w:val="6ED2FD3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20041042">
    <w:abstractNumId w:val="1"/>
  </w:num>
  <w:num w:numId="2" w16cid:durableId="110173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42"/>
    <w:rsid w:val="0003203C"/>
    <w:rsid w:val="00037B9D"/>
    <w:rsid w:val="000450ED"/>
    <w:rsid w:val="00065C5A"/>
    <w:rsid w:val="000A1BED"/>
    <w:rsid w:val="001A5E9D"/>
    <w:rsid w:val="001B2D71"/>
    <w:rsid w:val="0025546C"/>
    <w:rsid w:val="00294642"/>
    <w:rsid w:val="002A1F4B"/>
    <w:rsid w:val="0035246E"/>
    <w:rsid w:val="003D3B0F"/>
    <w:rsid w:val="00424CD4"/>
    <w:rsid w:val="004274F9"/>
    <w:rsid w:val="0044062F"/>
    <w:rsid w:val="004B1451"/>
    <w:rsid w:val="004B5C46"/>
    <w:rsid w:val="00522D22"/>
    <w:rsid w:val="00542577"/>
    <w:rsid w:val="005A4BD9"/>
    <w:rsid w:val="00691ED5"/>
    <w:rsid w:val="006E75F2"/>
    <w:rsid w:val="00766AB0"/>
    <w:rsid w:val="007A11E3"/>
    <w:rsid w:val="007B5992"/>
    <w:rsid w:val="007D5C18"/>
    <w:rsid w:val="007D7DE7"/>
    <w:rsid w:val="008006F7"/>
    <w:rsid w:val="00931A9F"/>
    <w:rsid w:val="0093443C"/>
    <w:rsid w:val="00961A28"/>
    <w:rsid w:val="00970642"/>
    <w:rsid w:val="00990D0D"/>
    <w:rsid w:val="00994F67"/>
    <w:rsid w:val="009A33F6"/>
    <w:rsid w:val="009E51B3"/>
    <w:rsid w:val="00A622C2"/>
    <w:rsid w:val="00AC7BF9"/>
    <w:rsid w:val="00B540EF"/>
    <w:rsid w:val="00B67A38"/>
    <w:rsid w:val="00C14770"/>
    <w:rsid w:val="00C62E3D"/>
    <w:rsid w:val="00D07A4C"/>
    <w:rsid w:val="00D50742"/>
    <w:rsid w:val="00D54265"/>
    <w:rsid w:val="00D73CD9"/>
    <w:rsid w:val="00DA4BAB"/>
    <w:rsid w:val="00DC1F9E"/>
    <w:rsid w:val="00DC5066"/>
    <w:rsid w:val="00DD4A06"/>
    <w:rsid w:val="00DF55A8"/>
    <w:rsid w:val="00E0265A"/>
    <w:rsid w:val="00E20A64"/>
    <w:rsid w:val="00ED6B0F"/>
    <w:rsid w:val="00EE516E"/>
    <w:rsid w:val="00F06D63"/>
    <w:rsid w:val="00F36B5B"/>
    <w:rsid w:val="00F6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0793B"/>
  <w15:chartTrackingRefBased/>
  <w15:docId w15:val="{F4B98568-4BB9-924F-BFDB-67700FAF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642"/>
    <w:rPr>
      <w:rFonts w:eastAsiaTheme="majorEastAsia" w:cstheme="majorBidi"/>
      <w:color w:val="272727" w:themeColor="text1" w:themeTint="D8"/>
    </w:rPr>
  </w:style>
  <w:style w:type="paragraph" w:styleId="Title">
    <w:name w:val="Title"/>
    <w:basedOn w:val="Normal"/>
    <w:next w:val="Normal"/>
    <w:link w:val="TitleChar"/>
    <w:uiPriority w:val="10"/>
    <w:qFormat/>
    <w:rsid w:val="00970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642"/>
    <w:pPr>
      <w:spacing w:before="160"/>
      <w:jc w:val="center"/>
    </w:pPr>
    <w:rPr>
      <w:i/>
      <w:iCs/>
      <w:color w:val="404040" w:themeColor="text1" w:themeTint="BF"/>
    </w:rPr>
  </w:style>
  <w:style w:type="character" w:customStyle="1" w:styleId="QuoteChar">
    <w:name w:val="Quote Char"/>
    <w:basedOn w:val="DefaultParagraphFont"/>
    <w:link w:val="Quote"/>
    <w:uiPriority w:val="29"/>
    <w:rsid w:val="00970642"/>
    <w:rPr>
      <w:i/>
      <w:iCs/>
      <w:color w:val="404040" w:themeColor="text1" w:themeTint="BF"/>
    </w:rPr>
  </w:style>
  <w:style w:type="paragraph" w:styleId="ListParagraph">
    <w:name w:val="List Paragraph"/>
    <w:basedOn w:val="Normal"/>
    <w:uiPriority w:val="34"/>
    <w:qFormat/>
    <w:rsid w:val="00970642"/>
    <w:pPr>
      <w:ind w:left="720"/>
      <w:contextualSpacing/>
    </w:pPr>
  </w:style>
  <w:style w:type="character" w:styleId="IntenseEmphasis">
    <w:name w:val="Intense Emphasis"/>
    <w:basedOn w:val="DefaultParagraphFont"/>
    <w:uiPriority w:val="21"/>
    <w:qFormat/>
    <w:rsid w:val="00970642"/>
    <w:rPr>
      <w:i/>
      <w:iCs/>
      <w:color w:val="0F4761" w:themeColor="accent1" w:themeShade="BF"/>
    </w:rPr>
  </w:style>
  <w:style w:type="paragraph" w:styleId="IntenseQuote">
    <w:name w:val="Intense Quote"/>
    <w:basedOn w:val="Normal"/>
    <w:next w:val="Normal"/>
    <w:link w:val="IntenseQuoteChar"/>
    <w:uiPriority w:val="30"/>
    <w:qFormat/>
    <w:rsid w:val="00970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642"/>
    <w:rPr>
      <w:i/>
      <w:iCs/>
      <w:color w:val="0F4761" w:themeColor="accent1" w:themeShade="BF"/>
    </w:rPr>
  </w:style>
  <w:style w:type="character" w:styleId="IntenseReference">
    <w:name w:val="Intense Reference"/>
    <w:basedOn w:val="DefaultParagraphFont"/>
    <w:uiPriority w:val="32"/>
    <w:qFormat/>
    <w:rsid w:val="00970642"/>
    <w:rPr>
      <w:b/>
      <w:bCs/>
      <w:smallCaps/>
      <w:color w:val="0F4761" w:themeColor="accent1" w:themeShade="BF"/>
      <w:spacing w:val="5"/>
    </w:rPr>
  </w:style>
  <w:style w:type="table" w:styleId="TableGrid">
    <w:name w:val="Table Grid"/>
    <w:basedOn w:val="TableNormal"/>
    <w:uiPriority w:val="39"/>
    <w:rsid w:val="009706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C46"/>
    <w:rPr>
      <w:sz w:val="16"/>
      <w:szCs w:val="16"/>
    </w:rPr>
  </w:style>
  <w:style w:type="paragraph" w:styleId="CommentText">
    <w:name w:val="annotation text"/>
    <w:basedOn w:val="Normal"/>
    <w:link w:val="CommentTextChar"/>
    <w:uiPriority w:val="99"/>
    <w:unhideWhenUsed/>
    <w:rsid w:val="004B5C4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4B5C46"/>
    <w:rPr>
      <w:kern w:val="0"/>
      <w:sz w:val="20"/>
      <w:szCs w:val="20"/>
      <w14:ligatures w14:val="none"/>
    </w:rPr>
  </w:style>
  <w:style w:type="table" w:customStyle="1" w:styleId="TableGrid1">
    <w:name w:val="Table Grid1"/>
    <w:basedOn w:val="TableNormal"/>
    <w:next w:val="TableGrid"/>
    <w:uiPriority w:val="39"/>
    <w:rsid w:val="00F603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65A"/>
    <w:rPr>
      <w:color w:val="467886" w:themeColor="hyperlink"/>
      <w:u w:val="single"/>
    </w:rPr>
  </w:style>
  <w:style w:type="paragraph" w:styleId="BalloonText">
    <w:name w:val="Balloon Text"/>
    <w:basedOn w:val="Normal"/>
    <w:link w:val="BalloonTextChar"/>
    <w:uiPriority w:val="99"/>
    <w:semiHidden/>
    <w:unhideWhenUsed/>
    <w:rsid w:val="00DC1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9E"/>
    <w:rPr>
      <w:rFonts w:ascii="Segoe UI" w:hAnsi="Segoe UI" w:cs="Segoe UI"/>
      <w:sz w:val="18"/>
      <w:szCs w:val="18"/>
    </w:rPr>
  </w:style>
  <w:style w:type="paragraph" w:styleId="Revision">
    <w:name w:val="Revision"/>
    <w:hidden/>
    <w:uiPriority w:val="99"/>
    <w:semiHidden/>
    <w:rsid w:val="00294642"/>
    <w:pPr>
      <w:spacing w:after="0" w:line="240" w:lineRule="auto"/>
    </w:pPr>
  </w:style>
  <w:style w:type="character" w:styleId="UnresolvedMention">
    <w:name w:val="Unresolved Mention"/>
    <w:basedOn w:val="DefaultParagraphFont"/>
    <w:uiPriority w:val="99"/>
    <w:semiHidden/>
    <w:unhideWhenUsed/>
    <w:rsid w:val="0042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eda0102-c442-4bf3-a201-f49f32bc35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B011BA0892F4894AEF5CD76A15435" ma:contentTypeVersion="6" ma:contentTypeDescription="Create a new document." ma:contentTypeScope="" ma:versionID="0dfd129706a8907bce4fc6f8881890d2">
  <xsd:schema xmlns:xsd="http://www.w3.org/2001/XMLSchema" xmlns:xs="http://www.w3.org/2001/XMLSchema" xmlns:p="http://schemas.microsoft.com/office/2006/metadata/properties" xmlns:ns3="4eda0102-c442-4bf3-a201-f49f32bc3525" targetNamespace="http://schemas.microsoft.com/office/2006/metadata/properties" ma:root="true" ma:fieldsID="3cb393c338f0869df405ce58a361efe7" ns3:_="">
    <xsd:import namespace="4eda0102-c442-4bf3-a201-f49f32bc352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a0102-c442-4bf3-a201-f49f32b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011F1-50E2-4063-9681-20639A3BA462}">
  <ds:schemaRefs>
    <ds:schemaRef ds:uri="http://schemas.microsoft.com/sharepoint/v3/contenttype/forms"/>
  </ds:schemaRefs>
</ds:datastoreItem>
</file>

<file path=customXml/itemProps2.xml><?xml version="1.0" encoding="utf-8"?>
<ds:datastoreItem xmlns:ds="http://schemas.openxmlformats.org/officeDocument/2006/customXml" ds:itemID="{56FB1089-90C9-4A06-BAF2-E0E1BF1AC143}">
  <ds:schemaRefs>
    <ds:schemaRef ds:uri="http://schemas.microsoft.com/office/2006/metadata/properties"/>
    <ds:schemaRef ds:uri="http://schemas.microsoft.com/office/infopath/2007/PartnerControls"/>
    <ds:schemaRef ds:uri="4eda0102-c442-4bf3-a201-f49f32bc3525"/>
  </ds:schemaRefs>
</ds:datastoreItem>
</file>

<file path=customXml/itemProps3.xml><?xml version="1.0" encoding="utf-8"?>
<ds:datastoreItem xmlns:ds="http://schemas.openxmlformats.org/officeDocument/2006/customXml" ds:itemID="{0BB37AC1-CBF6-44B1-A461-1480DF493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a0102-c442-4bf3-a201-f49f32bc3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4858</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Scozzafava</dc:creator>
  <cp:keywords/>
  <dc:description/>
  <cp:lastModifiedBy>Weems, Carl [HD FS]</cp:lastModifiedBy>
  <cp:revision>2</cp:revision>
  <dcterms:created xsi:type="dcterms:W3CDTF">2026-03-04T21:41:00Z</dcterms:created>
  <dcterms:modified xsi:type="dcterms:W3CDTF">2026-03-04T21:41:00Z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5d9bc092-ab5f-4c2d-adec-dc66c8013ba3</vt:lpwstr>
  </property>
  <property fmtid="{D5CDD505-2E9C-101B-9397-08002B2CF9AE}" pid="3" name="ContentTypeId">
    <vt:lpwstr>0x01010064AB011BA0892F4894AEF5CD76A15435</vt:lpwstr>
  </property>
</Properties>
</file>