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5EDB5" w14:textId="5F2B2F8C" w:rsidR="00B8739B" w:rsidRPr="00B71177" w:rsidRDefault="003C13F7" w:rsidP="000D79D0">
      <w:pPr>
        <w:pStyle w:val="Titel"/>
      </w:pPr>
      <w:r>
        <w:t>Additional File 1: Supplementary</w:t>
      </w:r>
      <w:r w:rsidR="00394B63">
        <w:t xml:space="preserve"> Tables and Figures for </w:t>
      </w:r>
      <w:r w:rsidR="00B8739B" w:rsidRPr="00B71177">
        <w:t>patRoon 3.0: Enhanced non-target analysis workflows with ion mobility separation and other major improvements</w:t>
      </w:r>
    </w:p>
    <w:p w14:paraId="5A4D368F" w14:textId="77777777" w:rsidR="00B8739B" w:rsidRDefault="00B8739B" w:rsidP="00B8739B">
      <w:pPr>
        <w:spacing w:line="480" w:lineRule="auto"/>
        <w:rPr>
          <w:vertAlign w:val="superscript"/>
        </w:rPr>
      </w:pPr>
      <w:r w:rsidRPr="00A17303">
        <w:t>Rick Helmus</w:t>
      </w:r>
      <w:r>
        <w:t>*</w:t>
      </w:r>
      <w:r w:rsidRPr="00136617">
        <w:rPr>
          <w:vertAlign w:val="superscript"/>
        </w:rPr>
        <w:t>a</w:t>
      </w:r>
      <w:r w:rsidRPr="00A17303">
        <w:t>, Jan C. Specker</w:t>
      </w:r>
      <w:r w:rsidRPr="00925C71">
        <w:rPr>
          <w:vertAlign w:val="superscript"/>
        </w:rPr>
        <w:t>a</w:t>
      </w:r>
      <w:r w:rsidRPr="00A17303">
        <w:t>,</w:t>
      </w:r>
      <w:r>
        <w:t xml:space="preserve"> </w:t>
      </w:r>
      <w:r w:rsidRPr="002C3695">
        <w:t>Christine Gallampois</w:t>
      </w:r>
      <w:r w:rsidRPr="00925C71">
        <w:rPr>
          <w:vertAlign w:val="superscript"/>
        </w:rPr>
        <w:t>b</w:t>
      </w:r>
      <w:r>
        <w:t xml:space="preserve"> and</w:t>
      </w:r>
      <w:r w:rsidRPr="00A17303">
        <w:t xml:space="preserve"> Emma L. Schymanski</w:t>
      </w:r>
      <w:r w:rsidRPr="00925C71">
        <w:rPr>
          <w:vertAlign w:val="superscript"/>
        </w:rPr>
        <w:t>c</w:t>
      </w:r>
    </w:p>
    <w:p w14:paraId="3E83C99B" w14:textId="0D99412D" w:rsidR="00B8739B" w:rsidRDefault="00B8739B" w:rsidP="00ED7EB6">
      <w:r w:rsidRPr="002B4967">
        <w:rPr>
          <w:vertAlign w:val="superscript"/>
        </w:rPr>
        <w:t>a</w:t>
      </w:r>
      <w:r>
        <w:t xml:space="preserve"> Institute for Biodiversity and Ecosystem Dynamics, University of Amsterdam, Science Park 904</w:t>
      </w:r>
      <w:r w:rsidR="00753973">
        <w:t>,</w:t>
      </w:r>
      <w:r>
        <w:t xml:space="preserve"> 1098 XH Amsterdam, the Netherlands</w:t>
      </w:r>
    </w:p>
    <w:p w14:paraId="60DA23C9" w14:textId="55B64E0F" w:rsidR="00B8739B" w:rsidRDefault="00B8739B" w:rsidP="00ED7EB6">
      <w:r w:rsidRPr="00AA0322">
        <w:rPr>
          <w:vertAlign w:val="superscript"/>
        </w:rPr>
        <w:t>b</w:t>
      </w:r>
      <w:r>
        <w:t xml:space="preserve"> </w:t>
      </w:r>
      <w:r w:rsidRPr="00030A6C">
        <w:t>Department of Chemistry, Umeå University,</w:t>
      </w:r>
      <w:r w:rsidR="001263B1">
        <w:t xml:space="preserve"> </w:t>
      </w:r>
      <w:r w:rsidR="00D14730" w:rsidRPr="00D14730">
        <w:t>Linneaus väg 6</w:t>
      </w:r>
      <w:r w:rsidR="001263B1">
        <w:t>,</w:t>
      </w:r>
      <w:r>
        <w:t xml:space="preserve"> 901 87</w:t>
      </w:r>
      <w:r w:rsidRPr="00030A6C">
        <w:t xml:space="preserve"> Umeå, Sweden</w:t>
      </w:r>
    </w:p>
    <w:p w14:paraId="345EA029" w14:textId="2B9BC61D" w:rsidR="008A070B" w:rsidRDefault="00B8739B" w:rsidP="00ED7EB6">
      <w:r w:rsidRPr="00371C8D">
        <w:rPr>
          <w:vertAlign w:val="superscript"/>
        </w:rPr>
        <w:t>c</w:t>
      </w:r>
      <w:r>
        <w:t xml:space="preserve"> </w:t>
      </w:r>
      <w:r w:rsidRPr="00973695">
        <w:t>Luxembourg Centre for Systems Biomedicine, University of Luxembourg, 6 avenue du Swing, Belvaux L-4367, Luxembourg</w:t>
      </w:r>
    </w:p>
    <w:p w14:paraId="088BA59C" w14:textId="6280983B" w:rsidR="005736DC" w:rsidRDefault="005736DC" w:rsidP="00ED7EB6">
      <w:r w:rsidRPr="005736DC">
        <w:t xml:space="preserve">* Corresponding author: </w:t>
      </w:r>
      <w:hyperlink r:id="rId8" w:history="1">
        <w:r w:rsidR="009A027D" w:rsidRPr="00053791">
          <w:rPr>
            <w:rStyle w:val="Hyperlink"/>
          </w:rPr>
          <w:t>r.helmus@uva.nl</w:t>
        </w:r>
      </w:hyperlink>
    </w:p>
    <w:p w14:paraId="1B34201A" w14:textId="77777777" w:rsidR="006974DD" w:rsidRDefault="006974DD" w:rsidP="00ED7EB6"/>
    <w:sdt>
      <w:sdtPr>
        <w:rPr>
          <w:rFonts w:asciiTheme="minorHAnsi" w:eastAsiaTheme="minorHAnsi" w:hAnsiTheme="minorHAnsi" w:cstheme="minorBidi"/>
          <w:b w:val="0"/>
          <w:kern w:val="2"/>
          <w:sz w:val="22"/>
          <w:szCs w:val="22"/>
          <w:lang w:val="en-US" w:eastAsia="en-US"/>
          <w14:ligatures w14:val="standardContextual"/>
        </w:rPr>
        <w:id w:val="-907689229"/>
        <w:docPartObj>
          <w:docPartGallery w:val="Table of Contents"/>
          <w:docPartUnique/>
        </w:docPartObj>
      </w:sdtPr>
      <w:sdtEndPr>
        <w:rPr>
          <w:bCs/>
        </w:rPr>
      </w:sdtEndPr>
      <w:sdtContent>
        <w:p w14:paraId="2786EF60" w14:textId="688CF610" w:rsidR="006974DD" w:rsidRDefault="006974DD">
          <w:pPr>
            <w:pStyle w:val="Kopvaninhoudsopgave"/>
          </w:pPr>
          <w:r>
            <w:t>Table of contents</w:t>
          </w:r>
        </w:p>
        <w:p w14:paraId="71C7B2DE" w14:textId="0313D7BC" w:rsidR="00054E45" w:rsidRDefault="006974DD">
          <w:pPr>
            <w:pStyle w:val="Inhopg1"/>
            <w:tabs>
              <w:tab w:val="right" w:leader="dot" w:pos="9062"/>
            </w:tabs>
            <w:rPr>
              <w:rFonts w:eastAsiaTheme="minorEastAsia"/>
              <w:noProof/>
              <w:sz w:val="24"/>
              <w:szCs w:val="24"/>
              <w:lang w:val="nl-NL" w:eastAsia="nl-NL"/>
            </w:rPr>
          </w:pPr>
          <w:r>
            <w:fldChar w:fldCharType="begin"/>
          </w:r>
          <w:r>
            <w:instrText xml:space="preserve"> TOC \o "1-3" \h \z \u </w:instrText>
          </w:r>
          <w:r>
            <w:fldChar w:fldCharType="separate"/>
          </w:r>
          <w:hyperlink w:anchor="_Toc226102323" w:history="1">
            <w:r w:rsidR="00054E45" w:rsidRPr="00E8450D">
              <w:rPr>
                <w:rStyle w:val="Hyperlink"/>
                <w:noProof/>
              </w:rPr>
              <w:t>Supplementary tables</w:t>
            </w:r>
            <w:r w:rsidR="00054E45">
              <w:rPr>
                <w:noProof/>
                <w:webHidden/>
              </w:rPr>
              <w:tab/>
            </w:r>
            <w:r w:rsidR="00054E45">
              <w:rPr>
                <w:noProof/>
                <w:webHidden/>
              </w:rPr>
              <w:fldChar w:fldCharType="begin"/>
            </w:r>
            <w:r w:rsidR="00054E45">
              <w:rPr>
                <w:noProof/>
                <w:webHidden/>
              </w:rPr>
              <w:instrText xml:space="preserve"> PAGEREF _Toc226102323 \h </w:instrText>
            </w:r>
            <w:r w:rsidR="00054E45">
              <w:rPr>
                <w:noProof/>
                <w:webHidden/>
              </w:rPr>
            </w:r>
            <w:r w:rsidR="00054E45">
              <w:rPr>
                <w:noProof/>
                <w:webHidden/>
              </w:rPr>
              <w:fldChar w:fldCharType="separate"/>
            </w:r>
            <w:r w:rsidR="00054E45">
              <w:rPr>
                <w:noProof/>
                <w:webHidden/>
              </w:rPr>
              <w:t>2</w:t>
            </w:r>
            <w:r w:rsidR="00054E45">
              <w:rPr>
                <w:noProof/>
                <w:webHidden/>
              </w:rPr>
              <w:fldChar w:fldCharType="end"/>
            </w:r>
          </w:hyperlink>
        </w:p>
        <w:p w14:paraId="1525E88F" w14:textId="04A5A183" w:rsidR="00054E45" w:rsidRDefault="00054E45">
          <w:pPr>
            <w:pStyle w:val="Inhopg3"/>
            <w:tabs>
              <w:tab w:val="right" w:leader="dot" w:pos="9062"/>
            </w:tabs>
            <w:rPr>
              <w:rFonts w:eastAsiaTheme="minorEastAsia"/>
              <w:noProof/>
              <w:sz w:val="24"/>
              <w:szCs w:val="24"/>
              <w:lang w:val="nl-NL" w:eastAsia="nl-NL"/>
            </w:rPr>
          </w:pPr>
          <w:hyperlink w:anchor="_Toc226102324" w:history="1">
            <w:r w:rsidRPr="00E8450D">
              <w:rPr>
                <w:rStyle w:val="Hyperlink"/>
                <w:i/>
                <w:noProof/>
              </w:rPr>
              <w:t>Table S1</w:t>
            </w:r>
            <w:r>
              <w:rPr>
                <w:noProof/>
                <w:webHidden/>
              </w:rPr>
              <w:tab/>
            </w:r>
            <w:r>
              <w:rPr>
                <w:noProof/>
                <w:webHidden/>
              </w:rPr>
              <w:fldChar w:fldCharType="begin"/>
            </w:r>
            <w:r>
              <w:rPr>
                <w:noProof/>
                <w:webHidden/>
              </w:rPr>
              <w:instrText xml:space="preserve"> PAGEREF _Toc226102324 \h </w:instrText>
            </w:r>
            <w:r>
              <w:rPr>
                <w:noProof/>
                <w:webHidden/>
              </w:rPr>
            </w:r>
            <w:r>
              <w:rPr>
                <w:noProof/>
                <w:webHidden/>
              </w:rPr>
              <w:fldChar w:fldCharType="separate"/>
            </w:r>
            <w:r>
              <w:rPr>
                <w:noProof/>
                <w:webHidden/>
              </w:rPr>
              <w:t>2</w:t>
            </w:r>
            <w:r>
              <w:rPr>
                <w:noProof/>
                <w:webHidden/>
              </w:rPr>
              <w:fldChar w:fldCharType="end"/>
            </w:r>
          </w:hyperlink>
        </w:p>
        <w:p w14:paraId="6A577DCE" w14:textId="4EA26FDE" w:rsidR="00054E45" w:rsidRDefault="00054E45">
          <w:pPr>
            <w:pStyle w:val="Inhopg3"/>
            <w:tabs>
              <w:tab w:val="right" w:leader="dot" w:pos="9062"/>
            </w:tabs>
            <w:rPr>
              <w:rFonts w:eastAsiaTheme="minorEastAsia"/>
              <w:noProof/>
              <w:sz w:val="24"/>
              <w:szCs w:val="24"/>
              <w:lang w:val="nl-NL" w:eastAsia="nl-NL"/>
            </w:rPr>
          </w:pPr>
          <w:hyperlink w:anchor="_Toc226102325" w:history="1">
            <w:r w:rsidRPr="00E8450D">
              <w:rPr>
                <w:rStyle w:val="Hyperlink"/>
                <w:i/>
                <w:noProof/>
              </w:rPr>
              <w:t>Table S2</w:t>
            </w:r>
            <w:r>
              <w:rPr>
                <w:noProof/>
                <w:webHidden/>
              </w:rPr>
              <w:tab/>
            </w:r>
            <w:r>
              <w:rPr>
                <w:noProof/>
                <w:webHidden/>
              </w:rPr>
              <w:fldChar w:fldCharType="begin"/>
            </w:r>
            <w:r>
              <w:rPr>
                <w:noProof/>
                <w:webHidden/>
              </w:rPr>
              <w:instrText xml:space="preserve"> PAGEREF _Toc226102325 \h </w:instrText>
            </w:r>
            <w:r>
              <w:rPr>
                <w:noProof/>
                <w:webHidden/>
              </w:rPr>
            </w:r>
            <w:r>
              <w:rPr>
                <w:noProof/>
                <w:webHidden/>
              </w:rPr>
              <w:fldChar w:fldCharType="separate"/>
            </w:r>
            <w:r>
              <w:rPr>
                <w:noProof/>
                <w:webHidden/>
              </w:rPr>
              <w:t>2</w:t>
            </w:r>
            <w:r>
              <w:rPr>
                <w:noProof/>
                <w:webHidden/>
              </w:rPr>
              <w:fldChar w:fldCharType="end"/>
            </w:r>
          </w:hyperlink>
        </w:p>
        <w:p w14:paraId="39822918" w14:textId="4BCB315C" w:rsidR="00054E45" w:rsidRDefault="00054E45">
          <w:pPr>
            <w:pStyle w:val="Inhopg3"/>
            <w:tabs>
              <w:tab w:val="right" w:leader="dot" w:pos="9062"/>
            </w:tabs>
            <w:rPr>
              <w:rFonts w:eastAsiaTheme="minorEastAsia"/>
              <w:noProof/>
              <w:sz w:val="24"/>
              <w:szCs w:val="24"/>
              <w:lang w:val="nl-NL" w:eastAsia="nl-NL"/>
            </w:rPr>
          </w:pPr>
          <w:hyperlink w:anchor="_Toc226102326" w:history="1">
            <w:r w:rsidRPr="00E8450D">
              <w:rPr>
                <w:rStyle w:val="Hyperlink"/>
                <w:i/>
                <w:noProof/>
              </w:rPr>
              <w:t>Table S3</w:t>
            </w:r>
            <w:r>
              <w:rPr>
                <w:noProof/>
                <w:webHidden/>
              </w:rPr>
              <w:tab/>
            </w:r>
            <w:r>
              <w:rPr>
                <w:noProof/>
                <w:webHidden/>
              </w:rPr>
              <w:fldChar w:fldCharType="begin"/>
            </w:r>
            <w:r>
              <w:rPr>
                <w:noProof/>
                <w:webHidden/>
              </w:rPr>
              <w:instrText xml:space="preserve"> PAGEREF _Toc226102326 \h </w:instrText>
            </w:r>
            <w:r>
              <w:rPr>
                <w:noProof/>
                <w:webHidden/>
              </w:rPr>
            </w:r>
            <w:r>
              <w:rPr>
                <w:noProof/>
                <w:webHidden/>
              </w:rPr>
              <w:fldChar w:fldCharType="separate"/>
            </w:r>
            <w:r>
              <w:rPr>
                <w:noProof/>
                <w:webHidden/>
              </w:rPr>
              <w:t>3</w:t>
            </w:r>
            <w:r>
              <w:rPr>
                <w:noProof/>
                <w:webHidden/>
              </w:rPr>
              <w:fldChar w:fldCharType="end"/>
            </w:r>
          </w:hyperlink>
        </w:p>
        <w:p w14:paraId="516F4EB7" w14:textId="7E89B68A" w:rsidR="00054E45" w:rsidRDefault="00054E45">
          <w:pPr>
            <w:pStyle w:val="Inhopg3"/>
            <w:tabs>
              <w:tab w:val="right" w:leader="dot" w:pos="9062"/>
            </w:tabs>
            <w:rPr>
              <w:rFonts w:eastAsiaTheme="minorEastAsia"/>
              <w:noProof/>
              <w:sz w:val="24"/>
              <w:szCs w:val="24"/>
              <w:lang w:val="nl-NL" w:eastAsia="nl-NL"/>
            </w:rPr>
          </w:pPr>
          <w:hyperlink w:anchor="_Toc226102327" w:history="1">
            <w:r w:rsidRPr="00E8450D">
              <w:rPr>
                <w:rStyle w:val="Hyperlink"/>
                <w:i/>
                <w:noProof/>
              </w:rPr>
              <w:t>Table S4</w:t>
            </w:r>
            <w:r>
              <w:rPr>
                <w:noProof/>
                <w:webHidden/>
              </w:rPr>
              <w:tab/>
            </w:r>
            <w:r>
              <w:rPr>
                <w:noProof/>
                <w:webHidden/>
              </w:rPr>
              <w:fldChar w:fldCharType="begin"/>
            </w:r>
            <w:r>
              <w:rPr>
                <w:noProof/>
                <w:webHidden/>
              </w:rPr>
              <w:instrText xml:space="preserve"> PAGEREF _Toc226102327 \h </w:instrText>
            </w:r>
            <w:r>
              <w:rPr>
                <w:noProof/>
                <w:webHidden/>
              </w:rPr>
            </w:r>
            <w:r>
              <w:rPr>
                <w:noProof/>
                <w:webHidden/>
              </w:rPr>
              <w:fldChar w:fldCharType="separate"/>
            </w:r>
            <w:r>
              <w:rPr>
                <w:noProof/>
                <w:webHidden/>
              </w:rPr>
              <w:t>4</w:t>
            </w:r>
            <w:r>
              <w:rPr>
                <w:noProof/>
                <w:webHidden/>
              </w:rPr>
              <w:fldChar w:fldCharType="end"/>
            </w:r>
          </w:hyperlink>
        </w:p>
        <w:p w14:paraId="362BA9E2" w14:textId="468DC6A5" w:rsidR="00054E45" w:rsidRDefault="00054E45">
          <w:pPr>
            <w:pStyle w:val="Inhopg3"/>
            <w:tabs>
              <w:tab w:val="right" w:leader="dot" w:pos="9062"/>
            </w:tabs>
            <w:rPr>
              <w:rFonts w:eastAsiaTheme="minorEastAsia"/>
              <w:noProof/>
              <w:sz w:val="24"/>
              <w:szCs w:val="24"/>
              <w:lang w:val="nl-NL" w:eastAsia="nl-NL"/>
            </w:rPr>
          </w:pPr>
          <w:hyperlink w:anchor="_Toc226102328" w:history="1">
            <w:r w:rsidRPr="00E8450D">
              <w:rPr>
                <w:rStyle w:val="Hyperlink"/>
                <w:i/>
                <w:noProof/>
              </w:rPr>
              <w:t>Table S5</w:t>
            </w:r>
            <w:r>
              <w:rPr>
                <w:noProof/>
                <w:webHidden/>
              </w:rPr>
              <w:tab/>
            </w:r>
            <w:r>
              <w:rPr>
                <w:noProof/>
                <w:webHidden/>
              </w:rPr>
              <w:fldChar w:fldCharType="begin"/>
            </w:r>
            <w:r>
              <w:rPr>
                <w:noProof/>
                <w:webHidden/>
              </w:rPr>
              <w:instrText xml:space="preserve"> PAGEREF _Toc226102328 \h </w:instrText>
            </w:r>
            <w:r>
              <w:rPr>
                <w:noProof/>
                <w:webHidden/>
              </w:rPr>
            </w:r>
            <w:r>
              <w:rPr>
                <w:noProof/>
                <w:webHidden/>
              </w:rPr>
              <w:fldChar w:fldCharType="separate"/>
            </w:r>
            <w:r>
              <w:rPr>
                <w:noProof/>
                <w:webHidden/>
              </w:rPr>
              <w:t>4</w:t>
            </w:r>
            <w:r>
              <w:rPr>
                <w:noProof/>
                <w:webHidden/>
              </w:rPr>
              <w:fldChar w:fldCharType="end"/>
            </w:r>
          </w:hyperlink>
        </w:p>
        <w:p w14:paraId="4421100E" w14:textId="53B1E364" w:rsidR="00054E45" w:rsidRDefault="00054E45">
          <w:pPr>
            <w:pStyle w:val="Inhopg1"/>
            <w:tabs>
              <w:tab w:val="right" w:leader="dot" w:pos="9062"/>
            </w:tabs>
            <w:rPr>
              <w:rFonts w:eastAsiaTheme="minorEastAsia"/>
              <w:noProof/>
              <w:sz w:val="24"/>
              <w:szCs w:val="24"/>
              <w:lang w:val="nl-NL" w:eastAsia="nl-NL"/>
            </w:rPr>
          </w:pPr>
          <w:hyperlink w:anchor="_Toc226102329" w:history="1">
            <w:r w:rsidRPr="00E8450D">
              <w:rPr>
                <w:rStyle w:val="Hyperlink"/>
                <w:noProof/>
              </w:rPr>
              <w:t>Supplementary figures</w:t>
            </w:r>
            <w:r>
              <w:rPr>
                <w:noProof/>
                <w:webHidden/>
              </w:rPr>
              <w:tab/>
            </w:r>
            <w:r>
              <w:rPr>
                <w:noProof/>
                <w:webHidden/>
              </w:rPr>
              <w:fldChar w:fldCharType="begin"/>
            </w:r>
            <w:r>
              <w:rPr>
                <w:noProof/>
                <w:webHidden/>
              </w:rPr>
              <w:instrText xml:space="preserve"> PAGEREF _Toc226102329 \h </w:instrText>
            </w:r>
            <w:r>
              <w:rPr>
                <w:noProof/>
                <w:webHidden/>
              </w:rPr>
            </w:r>
            <w:r>
              <w:rPr>
                <w:noProof/>
                <w:webHidden/>
              </w:rPr>
              <w:fldChar w:fldCharType="separate"/>
            </w:r>
            <w:r>
              <w:rPr>
                <w:noProof/>
                <w:webHidden/>
              </w:rPr>
              <w:t>5</w:t>
            </w:r>
            <w:r>
              <w:rPr>
                <w:noProof/>
                <w:webHidden/>
              </w:rPr>
              <w:fldChar w:fldCharType="end"/>
            </w:r>
          </w:hyperlink>
        </w:p>
        <w:p w14:paraId="4371B177" w14:textId="7FEE0881" w:rsidR="00054E45" w:rsidRDefault="00054E45">
          <w:pPr>
            <w:pStyle w:val="Inhopg3"/>
            <w:tabs>
              <w:tab w:val="right" w:leader="dot" w:pos="9062"/>
            </w:tabs>
            <w:rPr>
              <w:rFonts w:eastAsiaTheme="minorEastAsia"/>
              <w:noProof/>
              <w:sz w:val="24"/>
              <w:szCs w:val="24"/>
              <w:lang w:val="nl-NL" w:eastAsia="nl-NL"/>
            </w:rPr>
          </w:pPr>
          <w:hyperlink w:anchor="_Toc226102330" w:history="1">
            <w:r w:rsidRPr="00E8450D">
              <w:rPr>
                <w:rStyle w:val="Hyperlink"/>
                <w:i/>
                <w:noProof/>
              </w:rPr>
              <w:t>Figure S1</w:t>
            </w:r>
            <w:r>
              <w:rPr>
                <w:noProof/>
                <w:webHidden/>
              </w:rPr>
              <w:tab/>
            </w:r>
            <w:r>
              <w:rPr>
                <w:noProof/>
                <w:webHidden/>
              </w:rPr>
              <w:fldChar w:fldCharType="begin"/>
            </w:r>
            <w:r>
              <w:rPr>
                <w:noProof/>
                <w:webHidden/>
              </w:rPr>
              <w:instrText xml:space="preserve"> PAGEREF _Toc226102330 \h </w:instrText>
            </w:r>
            <w:r>
              <w:rPr>
                <w:noProof/>
                <w:webHidden/>
              </w:rPr>
            </w:r>
            <w:r>
              <w:rPr>
                <w:noProof/>
                <w:webHidden/>
              </w:rPr>
              <w:fldChar w:fldCharType="separate"/>
            </w:r>
            <w:r>
              <w:rPr>
                <w:noProof/>
                <w:webHidden/>
              </w:rPr>
              <w:t>5</w:t>
            </w:r>
            <w:r>
              <w:rPr>
                <w:noProof/>
                <w:webHidden/>
              </w:rPr>
              <w:fldChar w:fldCharType="end"/>
            </w:r>
          </w:hyperlink>
        </w:p>
        <w:p w14:paraId="7BB20DE6" w14:textId="65A6449C" w:rsidR="00054E45" w:rsidRDefault="00054E45">
          <w:pPr>
            <w:pStyle w:val="Inhopg3"/>
            <w:tabs>
              <w:tab w:val="right" w:leader="dot" w:pos="9062"/>
            </w:tabs>
            <w:rPr>
              <w:rFonts w:eastAsiaTheme="minorEastAsia"/>
              <w:noProof/>
              <w:sz w:val="24"/>
              <w:szCs w:val="24"/>
              <w:lang w:val="nl-NL" w:eastAsia="nl-NL"/>
            </w:rPr>
          </w:pPr>
          <w:hyperlink w:anchor="_Toc226102331" w:history="1">
            <w:r w:rsidRPr="00E8450D">
              <w:rPr>
                <w:rStyle w:val="Hyperlink"/>
                <w:i/>
                <w:noProof/>
              </w:rPr>
              <w:t>Figure S2</w:t>
            </w:r>
            <w:r>
              <w:rPr>
                <w:noProof/>
                <w:webHidden/>
              </w:rPr>
              <w:tab/>
            </w:r>
            <w:r>
              <w:rPr>
                <w:noProof/>
                <w:webHidden/>
              </w:rPr>
              <w:fldChar w:fldCharType="begin"/>
            </w:r>
            <w:r>
              <w:rPr>
                <w:noProof/>
                <w:webHidden/>
              </w:rPr>
              <w:instrText xml:space="preserve"> PAGEREF _Toc226102331 \h </w:instrText>
            </w:r>
            <w:r>
              <w:rPr>
                <w:noProof/>
                <w:webHidden/>
              </w:rPr>
            </w:r>
            <w:r>
              <w:rPr>
                <w:noProof/>
                <w:webHidden/>
              </w:rPr>
              <w:fldChar w:fldCharType="separate"/>
            </w:r>
            <w:r>
              <w:rPr>
                <w:noProof/>
                <w:webHidden/>
              </w:rPr>
              <w:t>5</w:t>
            </w:r>
            <w:r>
              <w:rPr>
                <w:noProof/>
                <w:webHidden/>
              </w:rPr>
              <w:fldChar w:fldCharType="end"/>
            </w:r>
          </w:hyperlink>
        </w:p>
        <w:p w14:paraId="78CC316E" w14:textId="291CCA48" w:rsidR="00054E45" w:rsidRDefault="00054E45">
          <w:pPr>
            <w:pStyle w:val="Inhopg3"/>
            <w:tabs>
              <w:tab w:val="right" w:leader="dot" w:pos="9062"/>
            </w:tabs>
            <w:rPr>
              <w:rFonts w:eastAsiaTheme="minorEastAsia"/>
              <w:noProof/>
              <w:sz w:val="24"/>
              <w:szCs w:val="24"/>
              <w:lang w:val="nl-NL" w:eastAsia="nl-NL"/>
            </w:rPr>
          </w:pPr>
          <w:hyperlink w:anchor="_Toc226102332" w:history="1">
            <w:r w:rsidRPr="00E8450D">
              <w:rPr>
                <w:rStyle w:val="Hyperlink"/>
                <w:i/>
                <w:noProof/>
              </w:rPr>
              <w:t>Figure S3</w:t>
            </w:r>
            <w:r>
              <w:rPr>
                <w:noProof/>
                <w:webHidden/>
              </w:rPr>
              <w:tab/>
            </w:r>
            <w:r>
              <w:rPr>
                <w:noProof/>
                <w:webHidden/>
              </w:rPr>
              <w:fldChar w:fldCharType="begin"/>
            </w:r>
            <w:r>
              <w:rPr>
                <w:noProof/>
                <w:webHidden/>
              </w:rPr>
              <w:instrText xml:space="preserve"> PAGEREF _Toc226102332 \h </w:instrText>
            </w:r>
            <w:r>
              <w:rPr>
                <w:noProof/>
                <w:webHidden/>
              </w:rPr>
            </w:r>
            <w:r>
              <w:rPr>
                <w:noProof/>
                <w:webHidden/>
              </w:rPr>
              <w:fldChar w:fldCharType="separate"/>
            </w:r>
            <w:r>
              <w:rPr>
                <w:noProof/>
                <w:webHidden/>
              </w:rPr>
              <w:t>6</w:t>
            </w:r>
            <w:r>
              <w:rPr>
                <w:noProof/>
                <w:webHidden/>
              </w:rPr>
              <w:fldChar w:fldCharType="end"/>
            </w:r>
          </w:hyperlink>
        </w:p>
        <w:p w14:paraId="4C9132FC" w14:textId="31D7CEE8" w:rsidR="00054E45" w:rsidRDefault="00054E45">
          <w:pPr>
            <w:pStyle w:val="Inhopg1"/>
            <w:tabs>
              <w:tab w:val="right" w:leader="dot" w:pos="9062"/>
            </w:tabs>
            <w:rPr>
              <w:rFonts w:eastAsiaTheme="minorEastAsia"/>
              <w:noProof/>
              <w:sz w:val="24"/>
              <w:szCs w:val="24"/>
              <w:lang w:val="nl-NL" w:eastAsia="nl-NL"/>
            </w:rPr>
          </w:pPr>
          <w:hyperlink w:anchor="_Toc226102333" w:history="1">
            <w:r w:rsidRPr="00E8450D">
              <w:rPr>
                <w:rStyle w:val="Hyperlink"/>
                <w:noProof/>
              </w:rPr>
              <w:t>References</w:t>
            </w:r>
            <w:r>
              <w:rPr>
                <w:noProof/>
                <w:webHidden/>
              </w:rPr>
              <w:tab/>
            </w:r>
            <w:r>
              <w:rPr>
                <w:noProof/>
                <w:webHidden/>
              </w:rPr>
              <w:fldChar w:fldCharType="begin"/>
            </w:r>
            <w:r>
              <w:rPr>
                <w:noProof/>
                <w:webHidden/>
              </w:rPr>
              <w:instrText xml:space="preserve"> PAGEREF _Toc226102333 \h </w:instrText>
            </w:r>
            <w:r>
              <w:rPr>
                <w:noProof/>
                <w:webHidden/>
              </w:rPr>
            </w:r>
            <w:r>
              <w:rPr>
                <w:noProof/>
                <w:webHidden/>
              </w:rPr>
              <w:fldChar w:fldCharType="separate"/>
            </w:r>
            <w:r>
              <w:rPr>
                <w:noProof/>
                <w:webHidden/>
              </w:rPr>
              <w:t>6</w:t>
            </w:r>
            <w:r>
              <w:rPr>
                <w:noProof/>
                <w:webHidden/>
              </w:rPr>
              <w:fldChar w:fldCharType="end"/>
            </w:r>
          </w:hyperlink>
        </w:p>
        <w:p w14:paraId="7E99F81C" w14:textId="795DC848" w:rsidR="006974DD" w:rsidRDefault="006974DD">
          <w:r>
            <w:rPr>
              <w:b/>
              <w:bCs/>
            </w:rPr>
            <w:fldChar w:fldCharType="end"/>
          </w:r>
        </w:p>
      </w:sdtContent>
    </w:sdt>
    <w:p w14:paraId="63B46783" w14:textId="77777777" w:rsidR="009A027D" w:rsidRDefault="009A027D" w:rsidP="00ED7EB6"/>
    <w:p w14:paraId="755BAF43" w14:textId="77777777" w:rsidR="009E7857" w:rsidRDefault="009E7857">
      <w:pPr>
        <w:rPr>
          <w:rFonts w:asciiTheme="majorHAnsi" w:eastAsiaTheme="majorEastAsia" w:hAnsiTheme="majorHAnsi" w:cstheme="majorBidi"/>
          <w:sz w:val="32"/>
          <w:szCs w:val="40"/>
        </w:rPr>
      </w:pPr>
      <w:r>
        <w:br w:type="page"/>
      </w:r>
    </w:p>
    <w:p w14:paraId="3F6C9CB3" w14:textId="06974C6D" w:rsidR="00ED7EB6" w:rsidRDefault="00994AAB" w:rsidP="00994AAB">
      <w:pPr>
        <w:pStyle w:val="Kop1"/>
      </w:pPr>
      <w:bookmarkStart w:id="0" w:name="_Toc226102323"/>
      <w:r>
        <w:lastRenderedPageBreak/>
        <w:t xml:space="preserve">Supplementary </w:t>
      </w:r>
      <w:r w:rsidR="00982BCE">
        <w:t>tables</w:t>
      </w:r>
      <w:bookmarkEnd w:id="0"/>
    </w:p>
    <w:p w14:paraId="64937F05" w14:textId="1666E7E5" w:rsidR="005A3BBB" w:rsidRDefault="005A3BBB" w:rsidP="005A3BBB">
      <w:pPr>
        <w:pStyle w:val="Bijschrift"/>
        <w:keepNext/>
      </w:pPr>
      <w:bookmarkStart w:id="1" w:name="_Toc226102324"/>
      <w:r w:rsidRPr="009A027D">
        <w:rPr>
          <w:rStyle w:val="TableFigTOCChar"/>
        </w:rPr>
        <w:t>Table S</w:t>
      </w:r>
      <w:r w:rsidRPr="009A027D">
        <w:rPr>
          <w:rStyle w:val="TableFigTOCChar"/>
        </w:rPr>
        <w:fldChar w:fldCharType="begin"/>
      </w:r>
      <w:r w:rsidRPr="009A027D">
        <w:rPr>
          <w:rStyle w:val="TableFigTOCChar"/>
        </w:rPr>
        <w:instrText xml:space="preserve"> SEQ Table_S \* ARABIC </w:instrText>
      </w:r>
      <w:r w:rsidRPr="009A027D">
        <w:rPr>
          <w:rStyle w:val="TableFigTOCChar"/>
        </w:rPr>
        <w:fldChar w:fldCharType="separate"/>
      </w:r>
      <w:r w:rsidRPr="009A027D">
        <w:rPr>
          <w:rStyle w:val="TableFigTOCChar"/>
        </w:rPr>
        <w:t>1</w:t>
      </w:r>
      <w:bookmarkEnd w:id="1"/>
      <w:r w:rsidRPr="009A027D">
        <w:rPr>
          <w:rStyle w:val="TableFigTOCChar"/>
        </w:rPr>
        <w:fldChar w:fldCharType="end"/>
      </w:r>
      <w:r>
        <w:t xml:space="preserve">. </w:t>
      </w:r>
      <w:r w:rsidRPr="00DD0F4A">
        <w:t>Developed or interfaced algorithms for the automatic peak detection in extracted ion chromatograms or extracted ion mobilograms.</w:t>
      </w:r>
    </w:p>
    <w:tbl>
      <w:tblPr>
        <w:tblStyle w:val="Tabelraster"/>
        <w:tblW w:w="0" w:type="auto"/>
        <w:tblLook w:val="04A0" w:firstRow="1" w:lastRow="0" w:firstColumn="1" w:lastColumn="0" w:noHBand="0" w:noVBand="1"/>
      </w:tblPr>
      <w:tblGrid>
        <w:gridCol w:w="1457"/>
        <w:gridCol w:w="7469"/>
      </w:tblGrid>
      <w:tr w:rsidR="006064FE" w14:paraId="7B047293" w14:textId="77777777" w:rsidTr="00164E39">
        <w:tc>
          <w:tcPr>
            <w:tcW w:w="1457" w:type="dxa"/>
          </w:tcPr>
          <w:p w14:paraId="079F60C3" w14:textId="238AA026" w:rsidR="006064FE" w:rsidRPr="00B70761" w:rsidRDefault="006064FE" w:rsidP="006D10B1">
            <w:pPr>
              <w:jc w:val="center"/>
              <w:rPr>
                <w:b/>
                <w:bCs/>
              </w:rPr>
            </w:pPr>
            <w:r w:rsidRPr="00B70761">
              <w:rPr>
                <w:b/>
                <w:bCs/>
              </w:rPr>
              <w:t>Algorithm</w:t>
            </w:r>
          </w:p>
        </w:tc>
        <w:tc>
          <w:tcPr>
            <w:tcW w:w="7469" w:type="dxa"/>
          </w:tcPr>
          <w:p w14:paraId="084FDE01" w14:textId="02A5B26F" w:rsidR="006064FE" w:rsidRPr="00B70761" w:rsidRDefault="00B70761" w:rsidP="006D10B1">
            <w:pPr>
              <w:jc w:val="center"/>
              <w:rPr>
                <w:b/>
                <w:bCs/>
              </w:rPr>
            </w:pPr>
            <w:r w:rsidRPr="00B70761">
              <w:rPr>
                <w:b/>
                <w:bCs/>
              </w:rPr>
              <w:t>Remarks</w:t>
            </w:r>
          </w:p>
        </w:tc>
      </w:tr>
      <w:tr w:rsidR="006064FE" w14:paraId="6B981EDA" w14:textId="77777777" w:rsidTr="00164E39">
        <w:tc>
          <w:tcPr>
            <w:tcW w:w="1457" w:type="dxa"/>
          </w:tcPr>
          <w:p w14:paraId="74AC63AA" w14:textId="243881CC" w:rsidR="006064FE" w:rsidRPr="00CB2139" w:rsidRDefault="00B70761" w:rsidP="002440AB">
            <w:pPr>
              <w:rPr>
                <w:i/>
                <w:iCs/>
              </w:rPr>
            </w:pPr>
            <w:r w:rsidRPr="00CB2139">
              <w:rPr>
                <w:i/>
                <w:iCs/>
              </w:rPr>
              <w:t>piek</w:t>
            </w:r>
          </w:p>
        </w:tc>
        <w:tc>
          <w:tcPr>
            <w:tcW w:w="7469" w:type="dxa"/>
          </w:tcPr>
          <w:p w14:paraId="1478711D" w14:textId="1F1AC6E4" w:rsidR="006064FE" w:rsidRDefault="00164E39" w:rsidP="002440AB">
            <w:r>
              <w:t xml:space="preserve">Based on the peak detection algorithm </w:t>
            </w:r>
            <w:r w:rsidR="00260297">
              <w:t>from</w:t>
            </w:r>
            <w:r w:rsidR="002E13F1">
              <w:t xml:space="preserve"> </w:t>
            </w:r>
            <w:r w:rsidR="002E13F1">
              <w:fldChar w:fldCharType="begin"/>
            </w:r>
            <w:r w:rsidR="002E13F1">
              <w:instrText xml:space="preserve"> ADDIN ZOTERO_ITEM CSL_CITATION {"citationID":"FpNZ9PcH","properties":{"unsorted":false,"formattedCitation":"[1]","plainCitation":"[1]","noteIndex":0},"citationItems":[{"id":167,"uris":["http://zotero.org/users/5177344/items/6JRB8U48"],"itemData":{"id":167,"type":"article-journal","abstract":"RATIONALE Non-target screening techniques using high resolution mass spectrometers become more and more important for environmental sciences. Highly reliable and sophisticated software solutions are required to deal with the large amount of data obtained from such analyses. METHODS Processing of high-resolution LC-HRMS data was performed upon conversion into an open, xml-based data format followed by an automated assignment of chromatographic peaks using the open-source programming language R. Raw data from three different LC-HRMS systems were processed as a proof of principle. RESULTS Within this manuscript we present a simple and straightforward algorithm to extract chromatographic peaks from previously m/z-centroided data based on the open-source programming language R and C++. The working principle and processing parameters are explained in detail. A ready-to-use script is provided in the SI. CONCLUSIONS The developed algorithm enables a comprehensible automated peak picking of non-target LC-MS data. Application to three completely different HRMS raw data files showed reasonable false positives and false negatives detection and moderate calculation times.","container-title":"Rapid Communications in Mass Spectrometry","DOI":"10.1002/rcm.9206","ISSN":"1097-0231","issue":"n/a","language":"en","license":"This article is protected by copyright. All rights reserved.","note":"_eprint: https://onlinelibrary.wiley.com/doi/pdf/10.1002/rcm.9206","page":"e9206","source":"Wiley Online Library","title":"Open source feature detection for non-target LC-MS analytics","volume":"n/a","author":[{"family":"Dietrich","given":"Christian"},{"family":"Wick","given":"Arne"},{"family":"Ternes","given":"Thomas A."}]}}],"schema":"https://github.com/citation-style-language/schema/raw/master/csl-citation.json"} </w:instrText>
            </w:r>
            <w:r w:rsidR="002E13F1">
              <w:fldChar w:fldCharType="separate"/>
            </w:r>
            <w:r w:rsidR="002E13F1" w:rsidRPr="002E13F1">
              <w:rPr>
                <w:rFonts w:ascii="Aptos" w:hAnsi="Aptos"/>
              </w:rPr>
              <w:t>[1]</w:t>
            </w:r>
            <w:r w:rsidR="002E13F1">
              <w:fldChar w:fldCharType="end"/>
            </w:r>
            <w:r w:rsidR="00E631BF">
              <w:t>, which was</w:t>
            </w:r>
            <w:r w:rsidR="00260297">
              <w:t xml:space="preserve"> </w:t>
            </w:r>
            <w:r w:rsidR="00E631BF">
              <w:t>o</w:t>
            </w:r>
            <w:r w:rsidR="00F731F4">
              <w:t>ptimized with OpenMP multithreading</w:t>
            </w:r>
            <w:r w:rsidR="00251B06">
              <w:t xml:space="preserve"> </w:t>
            </w:r>
            <w:r w:rsidR="00251B06">
              <w:fldChar w:fldCharType="begin"/>
            </w:r>
            <w:r w:rsidR="00251B06">
              <w:instrText xml:space="preserve"> ADDIN ZOTERO_ITEM CSL_CITATION {"citationID":"au20qXoF","properties":{"unsorted":false,"formattedCitation":"[2]","plainCitation":"[2]","noteIndex":0},"citationItems":[{"id":45,"uris":["http://zotero.org/users/5177344/items/LJ3QIYBB"],"itemData":{"id":45,"type":"webpage","abstract":"yes","language":"en-US","title":"OpenMP","URL":"https://www.openmp.org/","author":[{"literal":"OpenMP consortium"}],"accessed":{"date-parts":[["2025",12,23]]}}}],"schema":"https://github.com/citation-style-language/schema/raw/master/csl-citation.json"} </w:instrText>
            </w:r>
            <w:r w:rsidR="00251B06">
              <w:fldChar w:fldCharType="separate"/>
            </w:r>
            <w:r w:rsidR="00251B06" w:rsidRPr="00251B06">
              <w:rPr>
                <w:rFonts w:ascii="Aptos" w:hAnsi="Aptos"/>
              </w:rPr>
              <w:t>[2]</w:t>
            </w:r>
            <w:r w:rsidR="00251B06">
              <w:fldChar w:fldCharType="end"/>
            </w:r>
            <w:r w:rsidR="00F731F4">
              <w:t>.</w:t>
            </w:r>
          </w:p>
        </w:tc>
      </w:tr>
      <w:tr w:rsidR="006064FE" w14:paraId="0669807A" w14:textId="77777777" w:rsidTr="00164E39">
        <w:tc>
          <w:tcPr>
            <w:tcW w:w="1457" w:type="dxa"/>
          </w:tcPr>
          <w:p w14:paraId="45E48FAD" w14:textId="7B2C7608" w:rsidR="006064FE" w:rsidRDefault="00B70761" w:rsidP="002440AB">
            <w:r w:rsidRPr="00CB2139">
              <w:rPr>
                <w:i/>
                <w:iCs/>
              </w:rPr>
              <w:t>OpenMS</w:t>
            </w:r>
            <w:r w:rsidR="00164E39">
              <w:t xml:space="preserve"> </w:t>
            </w:r>
            <w:r w:rsidR="00043C2B">
              <w:fldChar w:fldCharType="begin"/>
            </w:r>
            <w:r w:rsidR="00251B06">
              <w:instrText xml:space="preserve"> ADDIN ZOTERO_ITEM CSL_CITATION {"citationID":"MNCnavc6","properties":{"formattedCitation":"[3]","plainCitation":"[3]","noteIndex":0},"citationItems":[{"id":403,"uris":["http://zotero.org/users/5177344/items/2AZG846V"],"itemData":{"id":403,"type":"article-journal","abstract":"High-resolution mass spectrometry (MS) has become an important tool in the life sciences, contributing to the diagnosis and understanding of human diseases, elucidating biomolecular structural information and characterizing cellular signaling networks. However, the rapid growth in the volume and complexity of MS data makes transparent, accurate and reproducible analysis difficult. We present OpenMS 2.0 (http://www.openms.de), a robust, open-source, cross-platform software specifically designed for the flexible and reproducible analysis of high-throughput MS data. The extensible OpenMS software implements common mass spectrometric data processing tasks through a well-defined application programming interface in C++ and Python and through standardized open data formats. OpenMS additionally provides a set of 185 tools and ready-made workflows for common mass spectrometric data processing tasks, which enable users to perform complex quantitative mass spectrometric analyses with ease.","container-title":"Nature Methods","DOI":"10.1038/nmeth.3959","ISSN":"1548-7105","issue":"9","language":"en","license":"2016 Nature Publishing Group","page":"741-748","source":"www.nature.com","title":"OpenMS: a flexible open-source software platform for mass spectrometry data analysis","title-short":"OpenMS","volume":"13","author":[{"family":"Röst","given":"Hannes L."},{"family":"Sachsenberg","given":"Timo"},{"family":"Aiche","given":"Stephan"},{"family":"Bielow","given":"Chris"},{"family":"Weisser","given":"Hendrik"},{"family":"Aicheler","given":"Fabian"},{"family":"Andreotti","given":"Sandro"},{"family":"Ehrlich","given":"Hans-Christian"},{"family":"Gutenbrunner","given":"Petra"},{"family":"Kenar","given":"Erhan"},{"family":"Liang","given":"Xiao"},{"family":"Nahnsen","given":"Sven"},{"family":"Nilse","given":"Lars"},{"family":"Pfeuffer","given":"Julianus"},{"family":"Rosenberger","given":"George"},{"family":"Rurik","given":"Marc"},{"family":"Schmitt","given":"Uwe"},{"family":"Veit","given":"Johannes"},{"family":"Walzer","given":"Mathias"},{"family":"Wojnar","given":"David"},{"family":"Wolski","given":"Witold E."},{"family":"Schilling","given":"Oliver"},{"family":"Choudhary","given":"Jyoti S."},{"family":"Malmström","given":"Lars"},{"family":"Aebersold","given":"Ruedi"},{"family":"Reinert","given":"Knut"},{"family":"Kohlbacher","given":"Oliver"}],"issued":{"date-parts":[["2016",9]]}}}],"schema":"https://github.com/citation-style-language/schema/raw/master/csl-citation.json"} </w:instrText>
            </w:r>
            <w:r w:rsidR="00043C2B">
              <w:fldChar w:fldCharType="separate"/>
            </w:r>
            <w:r w:rsidR="00251B06" w:rsidRPr="00251B06">
              <w:rPr>
                <w:rFonts w:ascii="Aptos" w:hAnsi="Aptos"/>
              </w:rPr>
              <w:t>[3]</w:t>
            </w:r>
            <w:r w:rsidR="00043C2B">
              <w:fldChar w:fldCharType="end"/>
            </w:r>
          </w:p>
        </w:tc>
        <w:tc>
          <w:tcPr>
            <w:tcW w:w="7469" w:type="dxa"/>
          </w:tcPr>
          <w:p w14:paraId="6C68AAB3" w14:textId="017393C4" w:rsidR="006064FE" w:rsidRDefault="006B1ED4" w:rsidP="002440AB">
            <w:r>
              <w:t xml:space="preserve">The </w:t>
            </w:r>
            <w:r w:rsidR="00372C03">
              <w:t>data is exported</w:t>
            </w:r>
            <w:r w:rsidR="00FB2620">
              <w:t xml:space="preserve"> as chromatographic traces in a temporary mzML </w:t>
            </w:r>
            <w:r w:rsidR="00251B06">
              <w:fldChar w:fldCharType="begin"/>
            </w:r>
            <w:r w:rsidR="00251B06">
              <w:instrText xml:space="preserve"> ADDIN ZOTERO_ITEM CSL_CITATION {"citationID":"zyoQZBgm","properties":{"unsorted":false,"formattedCitation":"[4]","plainCitation":"[4]","noteIndex":0},"citationItems":[{"id":217,"uris":["http://zotero.org/users/5177344/items/K6K2DQRS"],"itemData":{"id":217,"type":"article-journal","abstract":"Mass spectrometry is a fundamental tool for discovery and analysis in the life sciences. With the rapid advances in mass spectrometry technology and methods, it has become imperative to provide a standard output format for mass spectrometry data that will facilitate data sharing and analysis. Initially, the efforts to develop a standard format for mass spectrometry data resulted in multiple formats, each designed with a different underlying philosophy. To resolve the issues associated with having multiple formats, vendors, researchers, and software developers convened under the banner of the HUPO PSI to develop a single standard. The new data format incorporated many of the desirable technical attributes from the previous data formats, while adding a number of improvements, including features such as a controlled vocabulary with validation tools to ensure consistent usage of the format, improved support for selected reaction monitoring data, and immediately available implementations to facilitate rapid adoption by the community. The resulting standard data format, mzML, is a well tested open-source format for mass spectrometer output files that can be readily utilized by the community and easily adapted for incremental advances in mass spectrometry technology.","container-title":"Molecular &amp; Cellular Proteomics","DOI":"10.1074/mcp.R110.000133","ISSN":"1535-9476, 1535-9484","issue":"1","language":"en","license":"© 2011 by The American Society for Biochemistry and Molecular Biology, Inc.. Author's Choice—Final version full access.","PMID":"20716697","publisher":"American Society for Biochemistry and Molecular Biology","section":"Review","source":"www.mcponline.org","title":"mzML—a Community Standard for Mass Spectrometry Data","URL":"https://www.mcponline.org/content/10/1/R110.000133","volume":"10","author":[{"family":"Martens","given":"Lennart"},{"family":"Chambers","given":"Matthew"},{"family":"Sturm","given":"Marc"},{"family":"Kessner","given":"Darren"},{"family":"Levander","given":"Fredrik"},{"family":"Shofstahl","given":"Jim"},{"family":"Tang","given":"Wilfred H."},{"family":"Römpp","given":"Andreas"},{"family":"Neumann","given":"Steffen"},{"family":"Pizarro","given":"Angel D."},{"family":"Montecchi-Palazzi","given":"Luisa"},{"family":"Tasman","given":"Natalie"},{"family":"Coleman","given":"Mike"},{"family":"Reisinger","given":"Florian"},{"family":"Souda","given":"Puneet"},{"family":"Hermjakob","given":"Henning"},{"family":"Binz","given":"Pierre-Alain"},{"family":"Deutsch","given":"Eric W."}],"accessed":{"date-parts":[["2020",4,6]]},"issued":{"date-parts":[["2011",1,1]]}}}],"schema":"https://github.com/citation-style-language/schema/raw/master/csl-citation.json"} </w:instrText>
            </w:r>
            <w:r w:rsidR="00251B06">
              <w:fldChar w:fldCharType="separate"/>
            </w:r>
            <w:r w:rsidR="00251B06" w:rsidRPr="00251B06">
              <w:rPr>
                <w:rFonts w:ascii="Aptos" w:hAnsi="Aptos"/>
              </w:rPr>
              <w:t>[4]</w:t>
            </w:r>
            <w:r w:rsidR="00251B06">
              <w:fldChar w:fldCharType="end"/>
            </w:r>
            <w:r w:rsidR="00FB2620">
              <w:t xml:space="preserve"> file</w:t>
            </w:r>
            <w:r w:rsidR="00782393">
              <w:t xml:space="preserve">, </w:t>
            </w:r>
            <w:r w:rsidR="00FB2620">
              <w:t xml:space="preserve">subsequently processed with the </w:t>
            </w:r>
            <w:r w:rsidR="00CC250F" w:rsidRPr="00A04F6F">
              <w:rPr>
                <w:rFonts w:ascii="Consolas" w:hAnsi="Consolas"/>
              </w:rPr>
              <w:t>MRMTransitionGroupPicker</w:t>
            </w:r>
            <w:r w:rsidR="00CC250F">
              <w:t xml:space="preserve"> tool of </w:t>
            </w:r>
            <w:r w:rsidR="00CC250F" w:rsidRPr="00507D9E">
              <w:rPr>
                <w:i/>
                <w:iCs/>
              </w:rPr>
              <w:t>OpenMS</w:t>
            </w:r>
            <w:r w:rsidR="00782393">
              <w:t xml:space="preserve">, and </w:t>
            </w:r>
            <w:r w:rsidR="00A42282">
              <w:t xml:space="preserve">the results are then imported through </w:t>
            </w:r>
            <w:r w:rsidR="003E2E7E">
              <w:t xml:space="preserve">a C++ interface using </w:t>
            </w:r>
            <w:r w:rsidR="00A42282">
              <w:t>pugixml</w:t>
            </w:r>
            <w:r w:rsidR="00A04F6F">
              <w:t xml:space="preserve"> </w:t>
            </w:r>
            <w:r w:rsidR="00A04F6F">
              <w:fldChar w:fldCharType="begin"/>
            </w:r>
            <w:r w:rsidR="002A1100">
              <w:instrText xml:space="preserve"> ADDIN ZOTERO_ITEM CSL_CITATION {"citationID":"C2MC5kJ8","properties":{"unsorted":false,"formattedCitation":"[5]","plainCitation":"[5]","noteIndex":0},"citationItems":[{"id":250,"uris":["http://zotero.org/users/5177344/items/37B5U8RS"],"itemData":{"id":250,"type":"webpage","title":"pugixml","URL":"https://pugixml.org/","author":[{"family":"Kapoulkine","given":"Arseny"}],"accessed":{"date-parts":[["2026",4,3]]}}}],"schema":"https://github.com/citation-style-language/schema/raw/master/csl-citation.json"} </w:instrText>
            </w:r>
            <w:r w:rsidR="00A04F6F">
              <w:fldChar w:fldCharType="separate"/>
            </w:r>
            <w:r w:rsidR="00A04F6F" w:rsidRPr="00A04F6F">
              <w:rPr>
                <w:rFonts w:ascii="Aptos" w:hAnsi="Aptos"/>
              </w:rPr>
              <w:t>[5]</w:t>
            </w:r>
            <w:r w:rsidR="00A04F6F">
              <w:fldChar w:fldCharType="end"/>
            </w:r>
            <w:r w:rsidR="003E2E7E">
              <w:t xml:space="preserve"> and Rcpp</w:t>
            </w:r>
            <w:r w:rsidR="00CC3FED">
              <w:t xml:space="preserve"> </w:t>
            </w:r>
            <w:r w:rsidR="00CC3FED">
              <w:fldChar w:fldCharType="begin"/>
            </w:r>
            <w:r w:rsidR="00CC3FED">
              <w:instrText xml:space="preserve"> ADDIN ZOTERO_ITEM CSL_CITATION {"citationID":"OwVes4bg","properties":{"unsorted":false,"formattedCitation":"[6\\uc0\\u8211{}8]","plainCitation":"[6–8]","noteIndex":0},"citationItems":[{"id":299,"uris":["http://zotero.org/users/5177344/items/KREU9FUF"],"itemData":{"id":299,"type":"article-journal","container-title":"Journal of Statistical Software","DOI":"10.18637/jss.v040.i08","issue":"8","page":"1–18","title":"Rcpp: Seamless R and C++ Integration","volume":"40","author":[{"family":"Eddelbuettel","given":"Dirk"},{"family":"François","given":"Romain"}],"issued":{"date-parts":[["2011"]]}}},{"id":298,"uris":["http://zotero.org/users/5177344/items/65MWK3WU"],"itemData":{"id":298,"type":"book","DOI":"10.1007/978-1-4614-6868-4","publisher":"Springer","publisher-place":"New York","title":"Seamless R and C++ Integration with Rcpp","author":[{"family":"Eddelbuettel","given":"Dirk"}],"issued":{"date-parts":[["2013"]]}}},{"id":297,"uris":["http://zotero.org/users/5177344/items/ZDWLXZ37"],"itemData":{"id":297,"type":"article-journal","container-title":"PeerJ Preprints","DOI":"10.7287/peerj.preprints.3188v1","ISSN":"2167-9843","page":"e3188v1","title":"Extending R with C++: A Brief Introduction to Rcpp","volume":"5","author":[{"family":"Eddelbuettel","given":"Dirk"},{"family":"Balamuta","given":"James Joseph"}],"issued":{"date-parts":[["2017",8]]}}}],"schema":"https://github.com/citation-style-language/schema/raw/master/csl-citation.json"} </w:instrText>
            </w:r>
            <w:r w:rsidR="00CC3FED">
              <w:fldChar w:fldCharType="separate"/>
            </w:r>
            <w:r w:rsidR="00CC3FED" w:rsidRPr="00CC3FED">
              <w:rPr>
                <w:rFonts w:ascii="Aptos" w:hAnsi="Aptos" w:cs="Times New Roman"/>
                <w:kern w:val="0"/>
              </w:rPr>
              <w:t>[6–8]</w:t>
            </w:r>
            <w:r w:rsidR="00CC3FED">
              <w:fldChar w:fldCharType="end"/>
            </w:r>
            <w:r w:rsidR="00CC250F">
              <w:t>.</w:t>
            </w:r>
          </w:p>
        </w:tc>
      </w:tr>
      <w:tr w:rsidR="006064FE" w14:paraId="016E495F" w14:textId="77777777" w:rsidTr="00164E39">
        <w:tc>
          <w:tcPr>
            <w:tcW w:w="1457" w:type="dxa"/>
          </w:tcPr>
          <w:p w14:paraId="18728E15" w14:textId="356C3B4A" w:rsidR="006064FE" w:rsidRDefault="00B70761" w:rsidP="002440AB">
            <w:r w:rsidRPr="00CB2139">
              <w:rPr>
                <w:i/>
                <w:iCs/>
              </w:rPr>
              <w:t>XCMS</w:t>
            </w:r>
            <w:r w:rsidR="00164E39">
              <w:t xml:space="preserve"> </w:t>
            </w:r>
            <w:r w:rsidR="00043C2B">
              <w:fldChar w:fldCharType="begin"/>
            </w:r>
            <w:r w:rsidR="00CC3FED">
              <w:instrText xml:space="preserve"> ADDIN ZOTERO_ITEM CSL_CITATION {"citationID":"KmZw1MjH","properties":{"formattedCitation":"[9]","plainCitation":"[9]","noteIndex":0},"citationItems":[{"id":44,"uris":["http://zotero.org/users/5177344/items/AKWYGG62"],"itemData":{"id":44,"type":"article-journal","abstract":"High-quality data preprocessing is essential for untargeted metabolomics experiments, where increasing data set scale and complexity demand adaptable, robust, and reproducible software solutions. Modern preprocessing tools must evolve to integrate seamlessly with downstream analysis platforms, ensuring efficient and streamlined workflows. Since its introduction in 2005, the xcms R package has become one of the most widely used tools for LC-MS data preprocessing. Developed through an open-source, community-driven approach, xcms maintains long-term stability while continuously expanding its capabilities and accessibility. We present recent advancements that position xcms as a central component of a modular and interoperable software ecosystem for metabolomics data analysis. Key improvements include enhanced scalability, enabling the processing of large-scale experiments with thousands of samples on standard computing hardware. These developments empower users to build comprehensive, customizable, and reproducible workflows tailored to diverse experimental designs and analytical needs. An expanding collection of tutorials, documentation, and teaching materials further supports both new and experienced users in leveraging broader R and Bioconductor ecosystems. These resources facilitate the integration of statistical modeling, visualization tools, and domain-specific packages, extending the reach and impact of xcms workflows. Together, these enhancements solidify xcms as a cornerstone of modern metabolomics research.","container-title":"Analytical Chemistry","DOI":"10.1021/acs.analchem.5c04338","ISSN":"0003-2700","issue":"50","journalAbbreviation":"Anal. Chem.","page":"27639-27645","publisher":"American Chemical Society","source":"ACS Publications","title":"xcms in Peak Form: Now Anchoring a Complete Metabolomics Data Preprocessing and Analysis Software Ecosystem","title-short":"xcms in Peak Form","volume":"97","author":[{"family":"Louail","given":"Philippine"},{"family":"Brunius","given":"Carl"},{"family":"Garcia-Aloy","given":"Mar"},{"family":"Kumler","given":"William"},{"family":"Storz","given":"Norman"},{"family":"Stanstrup","given":"Jan"},{"family":"Treutler","given":"Hendrik"},{"family":"Vangeenderhuysen","given":"Pablo"},{"family":"Witting","given":"Michael"},{"family":"Neumann","given":"Steffen"},{"family":"Rainer","given":"Johannes"}],"issued":{"date-parts":[["2025",12,23]]}}}],"schema":"https://github.com/citation-style-language/schema/raw/master/csl-citation.json"} </w:instrText>
            </w:r>
            <w:r w:rsidR="00043C2B">
              <w:fldChar w:fldCharType="separate"/>
            </w:r>
            <w:r w:rsidR="00CC3FED" w:rsidRPr="00CC3FED">
              <w:rPr>
                <w:rFonts w:ascii="Aptos" w:hAnsi="Aptos"/>
              </w:rPr>
              <w:t>[9]</w:t>
            </w:r>
            <w:r w:rsidR="00043C2B">
              <w:fldChar w:fldCharType="end"/>
            </w:r>
          </w:p>
        </w:tc>
        <w:tc>
          <w:tcPr>
            <w:tcW w:w="7469" w:type="dxa"/>
          </w:tcPr>
          <w:p w14:paraId="7DC17339" w14:textId="14757788" w:rsidR="006064FE" w:rsidRDefault="00D60F8E" w:rsidP="002440AB">
            <w:r>
              <w:t xml:space="preserve">Using the </w:t>
            </w:r>
            <w:r w:rsidRPr="00BE0B68">
              <w:rPr>
                <w:rFonts w:ascii="Consolas" w:hAnsi="Consolas"/>
              </w:rPr>
              <w:t>xcms::</w:t>
            </w:r>
            <w:r w:rsidR="00BE0B68" w:rsidRPr="00BE0B68">
              <w:rPr>
                <w:rFonts w:ascii="Consolas" w:hAnsi="Consolas"/>
              </w:rPr>
              <w:t>peaksWithCentWave()</w:t>
            </w:r>
            <w:r>
              <w:t xml:space="preserve"> function.</w:t>
            </w:r>
          </w:p>
        </w:tc>
      </w:tr>
      <w:tr w:rsidR="006064FE" w14:paraId="72A89B76" w14:textId="77777777" w:rsidTr="00164E39">
        <w:tc>
          <w:tcPr>
            <w:tcW w:w="1457" w:type="dxa"/>
          </w:tcPr>
          <w:p w14:paraId="7F017822" w14:textId="121983A4" w:rsidR="006064FE" w:rsidRDefault="00164E39" w:rsidP="002440AB">
            <w:r w:rsidRPr="00CB2139">
              <w:rPr>
                <w:i/>
                <w:iCs/>
              </w:rPr>
              <w:t>enviPick</w:t>
            </w:r>
            <w:r>
              <w:t xml:space="preserve"> </w:t>
            </w:r>
            <w:r w:rsidR="00043C2B">
              <w:fldChar w:fldCharType="begin"/>
            </w:r>
            <w:r w:rsidR="00CC3FED">
              <w:instrText xml:space="preserve"> ADDIN ZOTERO_ITEM CSL_CITATION {"citationID":"Tj1QMrI3","properties":{"unsorted":false,"formattedCitation":"[10]","plainCitation":"[10]","noteIndex":0},"citationItems":[{"id":961,"uris":["http://zotero.org/users/5177344/items/9SUAGFP3"],"itemData":{"id":961,"type":"webpage","abstract":"Peak picking in LC-HRMS data - R package","note":"original-date: 2014-12-23T19:39:11Z","title":"enviPick: Peak Picking for High Resolution Mass Spectrometry Data","URL":"https://github.com/blosloos/enviPick","author":[{"family":"Loos","given":"Martin"}],"accessed":{"date-parts":[["2026",3,31]]}}}],"schema":"https://github.com/citation-style-language/schema/raw/master/csl-citation.json"} </w:instrText>
            </w:r>
            <w:r w:rsidR="00043C2B">
              <w:fldChar w:fldCharType="separate"/>
            </w:r>
            <w:r w:rsidR="00CC3FED" w:rsidRPr="00CC3FED">
              <w:rPr>
                <w:rFonts w:ascii="Aptos" w:hAnsi="Aptos"/>
              </w:rPr>
              <w:t>[10]</w:t>
            </w:r>
            <w:r w:rsidR="00043C2B">
              <w:fldChar w:fldCharType="end"/>
            </w:r>
          </w:p>
        </w:tc>
        <w:tc>
          <w:tcPr>
            <w:tcW w:w="7469" w:type="dxa"/>
          </w:tcPr>
          <w:p w14:paraId="766A9A26" w14:textId="19CE1E48" w:rsidR="006064FE" w:rsidRDefault="00BE0B68" w:rsidP="002440AB">
            <w:r>
              <w:t xml:space="preserve">Using the </w:t>
            </w:r>
            <w:r w:rsidRPr="00BE0B68">
              <w:rPr>
                <w:rFonts w:ascii="Consolas" w:hAnsi="Consolas"/>
              </w:rPr>
              <w:t>enviPick::mzpick()</w:t>
            </w:r>
            <w:r>
              <w:t xml:space="preserve"> function.</w:t>
            </w:r>
          </w:p>
        </w:tc>
      </w:tr>
    </w:tbl>
    <w:p w14:paraId="1BF6051B" w14:textId="3B7B7032" w:rsidR="002440AB" w:rsidRDefault="002440AB" w:rsidP="002440AB"/>
    <w:p w14:paraId="5BC66497" w14:textId="664B0C9F" w:rsidR="005A3BBB" w:rsidRDefault="005A3BBB" w:rsidP="005A3BBB">
      <w:pPr>
        <w:pStyle w:val="Bijschrift"/>
        <w:keepNext/>
      </w:pPr>
      <w:bookmarkStart w:id="2" w:name="_Toc226102325"/>
      <w:r w:rsidRPr="006974DD">
        <w:rPr>
          <w:rStyle w:val="TableFigTOCChar"/>
        </w:rPr>
        <w:t>Table S</w:t>
      </w:r>
      <w:r w:rsidRPr="006974DD">
        <w:rPr>
          <w:rStyle w:val="TableFigTOCChar"/>
        </w:rPr>
        <w:fldChar w:fldCharType="begin"/>
      </w:r>
      <w:r w:rsidRPr="006974DD">
        <w:rPr>
          <w:rStyle w:val="TableFigTOCChar"/>
        </w:rPr>
        <w:instrText xml:space="preserve"> SEQ Table_S \* ARABIC </w:instrText>
      </w:r>
      <w:r w:rsidRPr="006974DD">
        <w:rPr>
          <w:rStyle w:val="TableFigTOCChar"/>
        </w:rPr>
        <w:fldChar w:fldCharType="separate"/>
      </w:r>
      <w:r w:rsidRPr="006974DD">
        <w:rPr>
          <w:rStyle w:val="TableFigTOCChar"/>
        </w:rPr>
        <w:t>2</w:t>
      </w:r>
      <w:bookmarkEnd w:id="2"/>
      <w:r w:rsidRPr="006974DD">
        <w:rPr>
          <w:rStyle w:val="TableFigTOCChar"/>
        </w:rPr>
        <w:fldChar w:fldCharType="end"/>
      </w:r>
      <w:r>
        <w:t xml:space="preserve">. </w:t>
      </w:r>
      <w:r w:rsidRPr="001E79C7">
        <w:t>Scoring terms used by the greedy sample analysis feature grouping algorithm.</w:t>
      </w:r>
    </w:p>
    <w:tbl>
      <w:tblPr>
        <w:tblStyle w:val="Tabelraster"/>
        <w:tblW w:w="8926" w:type="dxa"/>
        <w:tblLook w:val="04A0" w:firstRow="1" w:lastRow="0" w:firstColumn="1" w:lastColumn="0" w:noHBand="0" w:noVBand="1"/>
      </w:tblPr>
      <w:tblGrid>
        <w:gridCol w:w="3256"/>
        <w:gridCol w:w="5670"/>
      </w:tblGrid>
      <w:tr w:rsidR="00066178" w14:paraId="3ABA04A4" w14:textId="77777777" w:rsidTr="00B53613">
        <w:tc>
          <w:tcPr>
            <w:tcW w:w="3256" w:type="dxa"/>
          </w:tcPr>
          <w:p w14:paraId="2AE1CEAA" w14:textId="35A79D7D" w:rsidR="00066178" w:rsidRPr="00B53613" w:rsidRDefault="00EA3A86" w:rsidP="00743D9C">
            <w:pPr>
              <w:keepNext/>
              <w:keepLines/>
              <w:jc w:val="center"/>
              <w:rPr>
                <w:b/>
                <w:bCs/>
              </w:rPr>
            </w:pPr>
            <w:r w:rsidRPr="00B53613">
              <w:rPr>
                <w:b/>
                <w:bCs/>
              </w:rPr>
              <w:t>Score</w:t>
            </w:r>
          </w:p>
        </w:tc>
        <w:tc>
          <w:tcPr>
            <w:tcW w:w="5670" w:type="dxa"/>
          </w:tcPr>
          <w:p w14:paraId="33C22960" w14:textId="0D29D8C7" w:rsidR="00066178" w:rsidRPr="00B53613" w:rsidRDefault="009B55DD" w:rsidP="00743D9C">
            <w:pPr>
              <w:keepNext/>
              <w:keepLines/>
              <w:jc w:val="center"/>
              <w:rPr>
                <w:b/>
                <w:bCs/>
              </w:rPr>
            </w:pPr>
            <w:r w:rsidRPr="00B53613">
              <w:rPr>
                <w:b/>
                <w:bCs/>
              </w:rPr>
              <w:t>Calculation</w:t>
            </w:r>
          </w:p>
        </w:tc>
      </w:tr>
      <w:tr w:rsidR="00066178" w14:paraId="44524D80" w14:textId="77777777" w:rsidTr="00B53613">
        <w:tc>
          <w:tcPr>
            <w:tcW w:w="3256" w:type="dxa"/>
          </w:tcPr>
          <w:p w14:paraId="0D50ED56" w14:textId="0F1D32D4" w:rsidR="00066178" w:rsidRPr="00EE39D7" w:rsidRDefault="00D5579D" w:rsidP="00743D9C">
            <w:pPr>
              <w:keepNext/>
              <w:keepLines/>
              <w:rPr>
                <w:i/>
                <w:iCs/>
              </w:rPr>
            </w:pPr>
            <w:r w:rsidRPr="00EE39D7">
              <w:rPr>
                <w:i/>
                <w:iCs/>
              </w:rPr>
              <w:t>r</w:t>
            </w:r>
            <w:r w:rsidR="00313CC9" w:rsidRPr="00EE39D7">
              <w:rPr>
                <w:i/>
                <w:iCs/>
              </w:rPr>
              <w:t xml:space="preserve">etention time </w:t>
            </w:r>
            <w:r w:rsidR="00685325" w:rsidRPr="00EE39D7">
              <w:rPr>
                <w:i/>
                <w:iCs/>
              </w:rPr>
              <w:t xml:space="preserve">(RT) </w:t>
            </w:r>
            <w:r w:rsidR="00313CC9" w:rsidRPr="00EE39D7">
              <w:rPr>
                <w:i/>
                <w:iCs/>
              </w:rPr>
              <w:t>proximity</w:t>
            </w:r>
          </w:p>
        </w:tc>
        <w:tc>
          <w:tcPr>
            <w:tcW w:w="5670" w:type="dxa"/>
          </w:tcPr>
          <w:p w14:paraId="74ADA2FA" w14:textId="32EED672" w:rsidR="00066178" w:rsidRPr="008D40A0" w:rsidRDefault="00000000" w:rsidP="00743D9C">
            <w:pPr>
              <w:keepNext/>
              <w:keepLines/>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score</m:t>
                    </m:r>
                  </m:e>
                  <m:sub>
                    <m:r>
                      <w:rPr>
                        <w:rFonts w:ascii="Cambria Math" w:eastAsiaTheme="minorEastAsia" w:hAnsi="Cambria Math"/>
                      </w:rPr>
                      <m:t>RT</m:t>
                    </m:r>
                  </m:sub>
                </m:sSub>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RT</m:t>
                                </m:r>
                              </m:e>
                              <m:sub>
                                <m:r>
                                  <w:rPr>
                                    <w:rFonts w:ascii="Cambria Math" w:hAnsi="Cambria Math"/>
                                  </w:rPr>
                                  <m:t>i</m:t>
                                </m:r>
                              </m:sub>
                            </m:sSub>
                            <m:sSub>
                              <m:sSubPr>
                                <m:ctrlPr>
                                  <w:rPr>
                                    <w:rFonts w:ascii="Cambria Math" w:hAnsi="Cambria Math"/>
                                    <w:i/>
                                  </w:rPr>
                                </m:ctrlPr>
                              </m:sSubPr>
                              <m:e>
                                <m:r>
                                  <w:rPr>
                                    <w:rFonts w:ascii="Cambria Math" w:hAnsi="Cambria Math"/>
                                  </w:rPr>
                                  <m:t>-RT</m:t>
                                </m:r>
                              </m:e>
                              <m:sub>
                                <m:r>
                                  <w:rPr>
                                    <w:rFonts w:ascii="Cambria Math" w:hAnsi="Cambria Math"/>
                                  </w:rPr>
                                  <m:t>ref</m:t>
                                </m:r>
                              </m:sub>
                            </m:sSub>
                          </m:e>
                        </m:d>
                      </m:num>
                      <m:den>
                        <m:sSub>
                          <m:sSubPr>
                            <m:ctrlPr>
                              <w:rPr>
                                <w:rFonts w:ascii="Cambria Math" w:hAnsi="Cambria Math"/>
                                <w:i/>
                              </w:rPr>
                            </m:ctrlPr>
                          </m:sSubPr>
                          <m:e>
                            <m:r>
                              <w:rPr>
                                <w:rFonts w:ascii="Cambria Math" w:hAnsi="Cambria Math"/>
                              </w:rPr>
                              <m:t>RT</m:t>
                            </m:r>
                          </m:e>
                          <m:sub>
                            <m:r>
                              <w:rPr>
                                <w:rFonts w:ascii="Cambria Math" w:hAnsi="Cambria Math"/>
                              </w:rPr>
                              <m:t>tolerance</m:t>
                            </m:r>
                          </m:sub>
                        </m:sSub>
                      </m:den>
                    </m:f>
                  </m:e>
                </m:nary>
              </m:oMath>
            </m:oMathPara>
          </w:p>
        </w:tc>
      </w:tr>
      <w:tr w:rsidR="00066178" w14:paraId="7004C72F" w14:textId="77777777" w:rsidTr="00B53613">
        <w:tc>
          <w:tcPr>
            <w:tcW w:w="3256" w:type="dxa"/>
          </w:tcPr>
          <w:p w14:paraId="24740AEF" w14:textId="0B97585C" w:rsidR="00066178" w:rsidRPr="00EE39D7" w:rsidRDefault="00313CC9" w:rsidP="00743D9C">
            <w:pPr>
              <w:keepNext/>
              <w:keepLines/>
              <w:rPr>
                <w:i/>
                <w:iCs/>
              </w:rPr>
            </w:pPr>
            <w:r w:rsidRPr="00EE39D7">
              <w:rPr>
                <w:i/>
                <w:iCs/>
              </w:rPr>
              <w:t>m/z proximity</w:t>
            </w:r>
          </w:p>
        </w:tc>
        <w:tc>
          <w:tcPr>
            <w:tcW w:w="5670" w:type="dxa"/>
          </w:tcPr>
          <w:p w14:paraId="12D427BA" w14:textId="725265E1" w:rsidR="00066178" w:rsidRPr="008D40A0" w:rsidRDefault="00000000" w:rsidP="00743D9C">
            <w:pPr>
              <w:keepNext/>
              <w:keepLines/>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score</m:t>
                    </m:r>
                  </m:e>
                  <m:sub>
                    <m:r>
                      <w:rPr>
                        <w:rFonts w:ascii="Cambria Math" w:eastAsiaTheme="minorEastAsia" w:hAnsi="Cambria Math"/>
                      </w:rPr>
                      <m:t>mz</m:t>
                    </m:r>
                  </m:sub>
                </m:sSub>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mz</m:t>
                                </m:r>
                              </m:e>
                              <m:sub>
                                <m:r>
                                  <w:rPr>
                                    <w:rFonts w:ascii="Cambria Math" w:hAnsi="Cambria Math"/>
                                  </w:rPr>
                                  <m:t>i</m:t>
                                </m:r>
                              </m:sub>
                            </m:sSub>
                            <m:sSub>
                              <m:sSubPr>
                                <m:ctrlPr>
                                  <w:rPr>
                                    <w:rFonts w:ascii="Cambria Math" w:hAnsi="Cambria Math"/>
                                    <w:i/>
                                  </w:rPr>
                                </m:ctrlPr>
                              </m:sSubPr>
                              <m:e>
                                <m:r>
                                  <w:rPr>
                                    <w:rFonts w:ascii="Cambria Math" w:hAnsi="Cambria Math"/>
                                  </w:rPr>
                                  <m:t>-mz</m:t>
                                </m:r>
                              </m:e>
                              <m:sub>
                                <m:r>
                                  <w:rPr>
                                    <w:rFonts w:ascii="Cambria Math" w:hAnsi="Cambria Math"/>
                                  </w:rPr>
                                  <m:t>ref</m:t>
                                </m:r>
                              </m:sub>
                            </m:sSub>
                          </m:e>
                        </m:d>
                      </m:num>
                      <m:den>
                        <m:sSub>
                          <m:sSubPr>
                            <m:ctrlPr>
                              <w:rPr>
                                <w:rFonts w:ascii="Cambria Math" w:hAnsi="Cambria Math"/>
                                <w:i/>
                              </w:rPr>
                            </m:ctrlPr>
                          </m:sSubPr>
                          <m:e>
                            <m:r>
                              <w:rPr>
                                <w:rFonts w:ascii="Cambria Math" w:hAnsi="Cambria Math"/>
                              </w:rPr>
                              <m:t>mz</m:t>
                            </m:r>
                          </m:e>
                          <m:sub>
                            <m:r>
                              <w:rPr>
                                <w:rFonts w:ascii="Cambria Math" w:hAnsi="Cambria Math"/>
                              </w:rPr>
                              <m:t>tolerance</m:t>
                            </m:r>
                          </m:sub>
                        </m:sSub>
                      </m:den>
                    </m:f>
                  </m:e>
                </m:nary>
              </m:oMath>
            </m:oMathPara>
          </w:p>
        </w:tc>
      </w:tr>
      <w:tr w:rsidR="00066178" w14:paraId="01008A94" w14:textId="77777777" w:rsidTr="00B53613">
        <w:tc>
          <w:tcPr>
            <w:tcW w:w="3256" w:type="dxa"/>
          </w:tcPr>
          <w:p w14:paraId="025A5442" w14:textId="480AAD74" w:rsidR="00066178" w:rsidRPr="00EE39D7" w:rsidRDefault="00D5579D" w:rsidP="00743D9C">
            <w:pPr>
              <w:keepNext/>
              <w:keepLines/>
              <w:rPr>
                <w:i/>
                <w:iCs/>
              </w:rPr>
            </w:pPr>
            <w:r w:rsidRPr="00EE39D7">
              <w:rPr>
                <w:i/>
                <w:iCs/>
              </w:rPr>
              <w:t>m</w:t>
            </w:r>
            <w:r w:rsidR="00313CC9" w:rsidRPr="00EE39D7">
              <w:rPr>
                <w:i/>
                <w:iCs/>
              </w:rPr>
              <w:t>obility proximity</w:t>
            </w:r>
          </w:p>
        </w:tc>
        <w:tc>
          <w:tcPr>
            <w:tcW w:w="5670" w:type="dxa"/>
          </w:tcPr>
          <w:p w14:paraId="5E5F16F5" w14:textId="587302EC" w:rsidR="00066178" w:rsidRPr="008D40A0" w:rsidRDefault="00000000" w:rsidP="00743D9C">
            <w:pPr>
              <w:keepNext/>
              <w:keepLines/>
            </w:pPr>
            <m:oMathPara>
              <m:oMathParaPr>
                <m:jc m:val="left"/>
              </m:oMathParaPr>
              <m:oMath>
                <m:sSub>
                  <m:sSubPr>
                    <m:ctrlPr>
                      <w:rPr>
                        <w:rFonts w:ascii="Cambria Math" w:hAnsi="Cambria Math"/>
                        <w:i/>
                      </w:rPr>
                    </m:ctrlPr>
                  </m:sSubPr>
                  <m:e>
                    <m:r>
                      <w:rPr>
                        <w:rFonts w:ascii="Cambria Math" w:hAnsi="Cambria Math"/>
                      </w:rPr>
                      <m:t>score</m:t>
                    </m:r>
                  </m:e>
                  <m:sub>
                    <m:r>
                      <w:rPr>
                        <w:rFonts w:ascii="Cambria Math" w:hAnsi="Cambria Math"/>
                      </w:rPr>
                      <m:t>mobility</m:t>
                    </m:r>
                  </m:sub>
                </m:sSub>
                <m:r>
                  <w:rPr>
                    <w:rFonts w:ascii="Cambria Math" w:hAnsi="Cambria Math"/>
                  </w:rPr>
                  <m:t>=1-</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mobility</m:t>
                                </m:r>
                              </m:e>
                              <m:sub>
                                <m:r>
                                  <w:rPr>
                                    <w:rFonts w:ascii="Cambria Math" w:hAnsi="Cambria Math"/>
                                  </w:rPr>
                                  <m:t>i</m:t>
                                </m:r>
                              </m:sub>
                            </m:sSub>
                            <m:sSub>
                              <m:sSubPr>
                                <m:ctrlPr>
                                  <w:rPr>
                                    <w:rFonts w:ascii="Cambria Math" w:hAnsi="Cambria Math"/>
                                    <w:i/>
                                  </w:rPr>
                                </m:ctrlPr>
                              </m:sSubPr>
                              <m:e>
                                <m:r>
                                  <w:rPr>
                                    <w:rFonts w:ascii="Cambria Math" w:hAnsi="Cambria Math"/>
                                  </w:rPr>
                                  <m:t>-mobility</m:t>
                                </m:r>
                              </m:e>
                              <m:sub>
                                <m:r>
                                  <w:rPr>
                                    <w:rFonts w:ascii="Cambria Math" w:hAnsi="Cambria Math"/>
                                  </w:rPr>
                                  <m:t>ref</m:t>
                                </m:r>
                              </m:sub>
                            </m:sSub>
                          </m:e>
                        </m:d>
                      </m:num>
                      <m:den>
                        <m:sSub>
                          <m:sSubPr>
                            <m:ctrlPr>
                              <w:rPr>
                                <w:rFonts w:ascii="Cambria Math" w:hAnsi="Cambria Math"/>
                                <w:i/>
                              </w:rPr>
                            </m:ctrlPr>
                          </m:sSubPr>
                          <m:e>
                            <m:r>
                              <w:rPr>
                                <w:rFonts w:ascii="Cambria Math" w:hAnsi="Cambria Math"/>
                              </w:rPr>
                              <m:t>mobility</m:t>
                            </m:r>
                          </m:e>
                          <m:sub>
                            <m:r>
                              <w:rPr>
                                <w:rFonts w:ascii="Cambria Math" w:hAnsi="Cambria Math"/>
                              </w:rPr>
                              <m:t>tolerance</m:t>
                            </m:r>
                          </m:sub>
                        </m:sSub>
                      </m:den>
                    </m:f>
                  </m:e>
                </m:nary>
              </m:oMath>
            </m:oMathPara>
          </w:p>
        </w:tc>
      </w:tr>
      <w:tr w:rsidR="00066178" w14:paraId="2943F233" w14:textId="77777777" w:rsidTr="00B53613">
        <w:tc>
          <w:tcPr>
            <w:tcW w:w="3256" w:type="dxa"/>
          </w:tcPr>
          <w:p w14:paraId="0CD10485" w14:textId="6E508AC7" w:rsidR="00066178" w:rsidRPr="00EE39D7" w:rsidRDefault="00D5579D" w:rsidP="00743D9C">
            <w:pPr>
              <w:keepNext/>
              <w:keepLines/>
              <w:rPr>
                <w:i/>
                <w:iCs/>
              </w:rPr>
            </w:pPr>
            <w:r w:rsidRPr="00EE39D7">
              <w:rPr>
                <w:i/>
                <w:iCs/>
              </w:rPr>
              <w:t>replicate intensity similarity</w:t>
            </w:r>
          </w:p>
        </w:tc>
        <w:tc>
          <w:tcPr>
            <w:tcW w:w="5670" w:type="dxa"/>
          </w:tcPr>
          <w:p w14:paraId="49A710FF" w14:textId="6C13CB97" w:rsidR="00066178" w:rsidRPr="008D40A0" w:rsidRDefault="00000000" w:rsidP="00743D9C">
            <w:pPr>
              <w:keepNext/>
              <w:keepLines/>
            </w:pPr>
            <m:oMathPara>
              <m:oMathParaPr>
                <m:jc m:val="left"/>
              </m:oMathParaPr>
              <m:oMath>
                <m:sSub>
                  <m:sSubPr>
                    <m:ctrlPr>
                      <w:rPr>
                        <w:rFonts w:ascii="Cambria Math" w:eastAsiaTheme="minorEastAsia" w:hAnsi="Cambria Math"/>
                        <w:i/>
                      </w:rPr>
                    </m:ctrlPr>
                  </m:sSubPr>
                  <m:e>
                    <m:r>
                      <w:rPr>
                        <w:rFonts w:ascii="Cambria Math" w:eastAsiaTheme="minorEastAsia" w:hAnsi="Cambria Math"/>
                      </w:rPr>
                      <m:t>score</m:t>
                    </m:r>
                  </m:e>
                  <m:sub>
                    <m:r>
                      <w:rPr>
                        <w:rFonts w:ascii="Cambria Math" w:eastAsiaTheme="minorEastAsia" w:hAnsi="Cambria Math"/>
                      </w:rPr>
                      <m:t>intensity</m:t>
                    </m:r>
                  </m:sub>
                </m:sSub>
                <m:r>
                  <w:rPr>
                    <w:rFonts w:ascii="Cambria Math" w:eastAsiaTheme="minorEastAsia"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intensity</m:t>
                            </m:r>
                          </m:e>
                          <m:sub>
                            <m:r>
                              <w:rPr>
                                <w:rFonts w:ascii="Cambria Math" w:hAnsi="Cambria Math"/>
                              </w:rPr>
                              <m:t>i</m:t>
                            </m:r>
                          </m:sub>
                        </m:sSub>
                      </m:num>
                      <m:den>
                        <m:sSub>
                          <m:sSubPr>
                            <m:ctrlPr>
                              <w:rPr>
                                <w:rFonts w:ascii="Cambria Math" w:hAnsi="Cambria Math"/>
                                <w:i/>
                              </w:rPr>
                            </m:ctrlPr>
                          </m:sSubPr>
                          <m:e>
                            <m:r>
                              <m:rPr>
                                <m:sty m:val="p"/>
                              </m:rPr>
                              <w:rPr>
                                <w:rFonts w:ascii="Cambria Math" w:hAnsi="Cambria Math"/>
                              </w:rPr>
                              <m:t>max⁡</m:t>
                            </m:r>
                            <m:r>
                              <w:rPr>
                                <w:rFonts w:ascii="Cambria Math" w:hAnsi="Cambria Math"/>
                              </w:rPr>
                              <m:t>(intensity</m:t>
                            </m:r>
                          </m:e>
                          <m:sub>
                            <m:r>
                              <w:rPr>
                                <w:rFonts w:ascii="Cambria Math" w:hAnsi="Cambria Math"/>
                              </w:rPr>
                              <m:t>replicate</m:t>
                            </m:r>
                          </m:sub>
                        </m:sSub>
                        <m:r>
                          <w:rPr>
                            <w:rFonts w:ascii="Cambria Math" w:hAnsi="Cambria Math"/>
                          </w:rPr>
                          <m:t>)</m:t>
                        </m:r>
                      </m:den>
                    </m:f>
                  </m:e>
                </m:nary>
              </m:oMath>
            </m:oMathPara>
          </w:p>
        </w:tc>
      </w:tr>
      <w:tr w:rsidR="00066178" w14:paraId="7D4AD0FD" w14:textId="77777777" w:rsidTr="00996237">
        <w:tc>
          <w:tcPr>
            <w:tcW w:w="3256" w:type="dxa"/>
            <w:tcBorders>
              <w:bottom w:val="single" w:sz="4" w:space="0" w:color="auto"/>
            </w:tcBorders>
          </w:tcPr>
          <w:p w14:paraId="2EAF4B5F" w14:textId="05D7EF79" w:rsidR="00066178" w:rsidRPr="00EE39D7" w:rsidRDefault="00A4710B" w:rsidP="00743D9C">
            <w:pPr>
              <w:keepNext/>
              <w:keepLines/>
              <w:rPr>
                <w:i/>
                <w:iCs/>
              </w:rPr>
            </w:pPr>
            <w:r w:rsidRPr="00EE39D7">
              <w:rPr>
                <w:i/>
                <w:iCs/>
              </w:rPr>
              <w:t>group score</w:t>
            </w:r>
            <w:r w:rsidR="0017685D" w:rsidRPr="00EE39D7">
              <w:rPr>
                <w:i/>
                <w:iCs/>
                <w:vertAlign w:val="superscript"/>
              </w:rPr>
              <w:t>1</w:t>
            </w:r>
          </w:p>
        </w:tc>
        <w:tc>
          <w:tcPr>
            <w:tcW w:w="5670" w:type="dxa"/>
            <w:tcBorders>
              <w:bottom w:val="single" w:sz="4" w:space="0" w:color="auto"/>
            </w:tcBorders>
          </w:tcPr>
          <w:p w14:paraId="15EB41DF" w14:textId="7DBDD9E0" w:rsidR="00066178" w:rsidRPr="008D40A0" w:rsidRDefault="00000000" w:rsidP="00743D9C">
            <w:pPr>
              <w:keepNext/>
              <w:keepLines/>
            </w:pPr>
            <m:oMathPara>
              <m:oMathParaPr>
                <m:jc m:val="left"/>
              </m:oMathParaPr>
              <m:oMath>
                <m:sSub>
                  <m:sSubPr>
                    <m:ctrlPr>
                      <w:rPr>
                        <w:rFonts w:ascii="Cambria Math" w:hAnsi="Cambria Math"/>
                        <w:i/>
                      </w:rPr>
                    </m:ctrlPr>
                  </m:sSubPr>
                  <m:e>
                    <m:r>
                      <w:rPr>
                        <w:rFonts w:ascii="Cambria Math" w:hAnsi="Cambria Math"/>
                      </w:rPr>
                      <m:t>score</m:t>
                    </m:r>
                  </m:e>
                  <m:sub>
                    <m:r>
                      <w:rPr>
                        <w:rFonts w:ascii="Cambria Math" w:hAnsi="Cambria Math"/>
                      </w:rPr>
                      <m:t>group</m:t>
                    </m:r>
                  </m:sub>
                </m:sSub>
                <m:r>
                  <w:rPr>
                    <w:rFonts w:ascii="Cambria Math" w:hAnsi="Cambria Math"/>
                  </w:rPr>
                  <m:t>=</m:t>
                </m:r>
                <m:sSub>
                  <m:sSubPr>
                    <m:ctrlPr>
                      <w:rPr>
                        <w:rFonts w:ascii="Cambria Math" w:hAnsi="Cambria Math"/>
                        <w:i/>
                      </w:rPr>
                    </m:ctrlPr>
                  </m:sSubPr>
                  <m:e>
                    <m:r>
                      <w:rPr>
                        <w:rFonts w:ascii="Cambria Math" w:hAnsi="Cambria Math"/>
                      </w:rPr>
                      <m:t>score</m:t>
                    </m:r>
                  </m:e>
                  <m:sub>
                    <m:r>
                      <w:rPr>
                        <w:rFonts w:ascii="Cambria Math" w:hAnsi="Cambria Math"/>
                      </w:rPr>
                      <m:t>RT</m:t>
                    </m:r>
                  </m:sub>
                </m:sSub>
                <m:r>
                  <w:rPr>
                    <w:rFonts w:ascii="Cambria Math" w:hAnsi="Cambria Math"/>
                  </w:rPr>
                  <m:t>∙</m:t>
                </m:r>
                <m:sSub>
                  <m:sSubPr>
                    <m:ctrlPr>
                      <w:rPr>
                        <w:rFonts w:ascii="Cambria Math" w:hAnsi="Cambria Math"/>
                        <w:i/>
                      </w:rPr>
                    </m:ctrlPr>
                  </m:sSubPr>
                  <m:e>
                    <m:r>
                      <w:rPr>
                        <w:rFonts w:ascii="Cambria Math" w:hAnsi="Cambria Math"/>
                      </w:rPr>
                      <m:t>wt</m:t>
                    </m:r>
                  </m:e>
                  <m:sub>
                    <m:r>
                      <w:rPr>
                        <w:rFonts w:ascii="Cambria Math" w:hAnsi="Cambria Math"/>
                      </w:rPr>
                      <m:t>RT</m:t>
                    </m:r>
                  </m:sub>
                </m:sSub>
                <m:r>
                  <w:rPr>
                    <w:rFonts w:ascii="Cambria Math" w:hAnsi="Cambria Math"/>
                  </w:rPr>
                  <m:t>+</m:t>
                </m:r>
                <m:sSub>
                  <m:sSubPr>
                    <m:ctrlPr>
                      <w:rPr>
                        <w:rFonts w:ascii="Cambria Math" w:hAnsi="Cambria Math"/>
                        <w:i/>
                      </w:rPr>
                    </m:ctrlPr>
                  </m:sSubPr>
                  <m:e>
                    <m:r>
                      <w:rPr>
                        <w:rFonts w:ascii="Cambria Math" w:hAnsi="Cambria Math"/>
                      </w:rPr>
                      <m:t>score</m:t>
                    </m:r>
                  </m:e>
                  <m:sub>
                    <m:r>
                      <w:rPr>
                        <w:rFonts w:ascii="Cambria Math" w:hAnsi="Cambria Math"/>
                      </w:rPr>
                      <m:t>mz</m:t>
                    </m:r>
                  </m:sub>
                </m:sSub>
                <m:r>
                  <w:rPr>
                    <w:rFonts w:ascii="Cambria Math" w:hAnsi="Cambria Math"/>
                  </w:rPr>
                  <m:t>∙</m:t>
                </m:r>
                <m:sSub>
                  <m:sSubPr>
                    <m:ctrlPr>
                      <w:rPr>
                        <w:rFonts w:ascii="Cambria Math" w:hAnsi="Cambria Math"/>
                        <w:i/>
                      </w:rPr>
                    </m:ctrlPr>
                  </m:sSubPr>
                  <m:e>
                    <m:r>
                      <w:rPr>
                        <w:rFonts w:ascii="Cambria Math" w:hAnsi="Cambria Math"/>
                      </w:rPr>
                      <m:t>wt</m:t>
                    </m:r>
                  </m:e>
                  <m:sub>
                    <m:r>
                      <w:rPr>
                        <w:rFonts w:ascii="Cambria Math" w:hAnsi="Cambria Math"/>
                      </w:rPr>
                      <m:t>mz</m:t>
                    </m:r>
                  </m:sub>
                </m:sSub>
                <m:r>
                  <w:rPr>
                    <w:rFonts w:ascii="Cambria Math" w:hAnsi="Cambria Math"/>
                  </w:rPr>
                  <m:t>+</m:t>
                </m:r>
                <m:sSub>
                  <m:sSubPr>
                    <m:ctrlPr>
                      <w:rPr>
                        <w:rFonts w:ascii="Cambria Math" w:hAnsi="Cambria Math"/>
                        <w:i/>
                      </w:rPr>
                    </m:ctrlPr>
                  </m:sSubPr>
                  <m:e>
                    <m:r>
                      <w:rPr>
                        <w:rFonts w:ascii="Cambria Math" w:hAnsi="Cambria Math"/>
                      </w:rPr>
                      <m:t>score</m:t>
                    </m:r>
                  </m:e>
                  <m:sub>
                    <m:r>
                      <w:rPr>
                        <w:rFonts w:ascii="Cambria Math" w:hAnsi="Cambria Math"/>
                      </w:rPr>
                      <m:t>mobility</m:t>
                    </m:r>
                  </m:sub>
                </m:sSub>
                <m:r>
                  <w:rPr>
                    <w:rFonts w:ascii="Cambria Math" w:hAnsi="Cambria Math"/>
                  </w:rPr>
                  <m:t>∙</m:t>
                </m:r>
                <m:sSub>
                  <m:sSubPr>
                    <m:ctrlPr>
                      <w:rPr>
                        <w:rFonts w:ascii="Cambria Math" w:hAnsi="Cambria Math"/>
                        <w:i/>
                      </w:rPr>
                    </m:ctrlPr>
                  </m:sSubPr>
                  <m:e>
                    <m:r>
                      <w:rPr>
                        <w:rFonts w:ascii="Cambria Math" w:hAnsi="Cambria Math"/>
                      </w:rPr>
                      <m:t>wt</m:t>
                    </m:r>
                  </m:e>
                  <m:sub>
                    <m:r>
                      <w:rPr>
                        <w:rFonts w:ascii="Cambria Math" w:hAnsi="Cambria Math"/>
                      </w:rPr>
                      <m:t>mobility</m:t>
                    </m:r>
                  </m:sub>
                </m:sSub>
                <m:r>
                  <w:rPr>
                    <w:rFonts w:ascii="Cambria Math" w:hAnsi="Cambria Math"/>
                  </w:rPr>
                  <m:t>+</m:t>
                </m:r>
                <m:sSub>
                  <m:sSubPr>
                    <m:ctrlPr>
                      <w:rPr>
                        <w:rFonts w:ascii="Cambria Math" w:hAnsi="Cambria Math"/>
                        <w:i/>
                      </w:rPr>
                    </m:ctrlPr>
                  </m:sSubPr>
                  <m:e>
                    <m:r>
                      <w:rPr>
                        <w:rFonts w:ascii="Cambria Math" w:hAnsi="Cambria Math"/>
                      </w:rPr>
                      <m:t>score</m:t>
                    </m:r>
                  </m:e>
                  <m:sub>
                    <m:r>
                      <w:rPr>
                        <w:rFonts w:ascii="Cambria Math" w:hAnsi="Cambria Math"/>
                      </w:rPr>
                      <m:t>intensity</m:t>
                    </m:r>
                  </m:sub>
                </m:sSub>
                <m:r>
                  <w:rPr>
                    <w:rFonts w:ascii="Cambria Math" w:hAnsi="Cambria Math"/>
                  </w:rPr>
                  <m:t>∙</m:t>
                </m:r>
                <m:sSub>
                  <m:sSubPr>
                    <m:ctrlPr>
                      <w:rPr>
                        <w:rFonts w:ascii="Cambria Math" w:hAnsi="Cambria Math"/>
                        <w:i/>
                      </w:rPr>
                    </m:ctrlPr>
                  </m:sSubPr>
                  <m:e>
                    <m:r>
                      <w:rPr>
                        <w:rFonts w:ascii="Cambria Math" w:hAnsi="Cambria Math"/>
                      </w:rPr>
                      <m:t>wt</m:t>
                    </m:r>
                  </m:e>
                  <m:sub>
                    <m:r>
                      <w:rPr>
                        <w:rFonts w:ascii="Cambria Math" w:hAnsi="Cambria Math"/>
                      </w:rPr>
                      <m:t>intensity</m:t>
                    </m:r>
                  </m:sub>
                </m:sSub>
              </m:oMath>
            </m:oMathPara>
          </w:p>
        </w:tc>
      </w:tr>
      <w:tr w:rsidR="0028433A" w14:paraId="48028D4A" w14:textId="77777777" w:rsidTr="00996237">
        <w:tc>
          <w:tcPr>
            <w:tcW w:w="8926" w:type="dxa"/>
            <w:gridSpan w:val="2"/>
            <w:tcBorders>
              <w:left w:val="nil"/>
              <w:bottom w:val="nil"/>
              <w:right w:val="nil"/>
            </w:tcBorders>
          </w:tcPr>
          <w:p w14:paraId="6BE84095" w14:textId="242F9B5F" w:rsidR="0028433A" w:rsidRPr="00623DEB" w:rsidRDefault="00105815" w:rsidP="00743D9C">
            <w:pPr>
              <w:keepLines/>
              <w:rPr>
                <w:rFonts w:ascii="Aptos" w:eastAsia="Aptos" w:hAnsi="Aptos" w:cs="Times New Roman"/>
              </w:rPr>
            </w:pPr>
            <w:r w:rsidRPr="00105815">
              <w:rPr>
                <w:rFonts w:ascii="Aptos" w:eastAsia="Aptos" w:hAnsi="Aptos" w:cs="Times New Roman"/>
                <w:sz w:val="20"/>
                <w:szCs w:val="20"/>
                <w:vertAlign w:val="superscript"/>
              </w:rPr>
              <w:t>1</w:t>
            </w:r>
            <w:r>
              <w:rPr>
                <w:rFonts w:ascii="Aptos" w:eastAsia="Aptos" w:hAnsi="Aptos" w:cs="Times New Roman"/>
                <w:sz w:val="20"/>
                <w:szCs w:val="20"/>
              </w:rPr>
              <w:t>:</w:t>
            </w:r>
            <w:r w:rsidR="0028433A" w:rsidRPr="00A16501">
              <w:rPr>
                <w:rFonts w:ascii="Aptos" w:eastAsia="Aptos" w:hAnsi="Aptos" w:cs="Times New Roman"/>
                <w:sz w:val="20"/>
                <w:szCs w:val="20"/>
              </w:rPr>
              <w:t xml:space="preserve"> score</w:t>
            </w:r>
            <w:r w:rsidR="000638F2" w:rsidRPr="00A16501">
              <w:rPr>
                <w:rFonts w:ascii="Aptos" w:eastAsia="Aptos" w:hAnsi="Aptos" w:cs="Times New Roman"/>
                <w:sz w:val="20"/>
                <w:szCs w:val="20"/>
                <w:vertAlign w:val="subscript"/>
              </w:rPr>
              <w:t>mobility</w:t>
            </w:r>
            <w:r w:rsidR="000638F2" w:rsidRPr="00A16501">
              <w:rPr>
                <w:rFonts w:ascii="Aptos" w:eastAsia="Aptos" w:hAnsi="Aptos" w:cs="Times New Roman"/>
                <w:sz w:val="20"/>
                <w:szCs w:val="20"/>
              </w:rPr>
              <w:t xml:space="preserve"> is zero in non-IMS workflows and </w:t>
            </w:r>
            <w:r w:rsidR="00EC421A" w:rsidRPr="00A16501">
              <w:rPr>
                <w:rFonts w:ascii="Aptos" w:eastAsia="Aptos" w:hAnsi="Aptos" w:cs="Times New Roman"/>
                <w:sz w:val="20"/>
                <w:szCs w:val="20"/>
              </w:rPr>
              <w:t>score</w:t>
            </w:r>
            <w:r w:rsidR="00EC421A" w:rsidRPr="00A16501">
              <w:rPr>
                <w:rFonts w:ascii="Aptos" w:eastAsia="Aptos" w:hAnsi="Aptos" w:cs="Times New Roman"/>
                <w:sz w:val="20"/>
                <w:szCs w:val="20"/>
                <w:vertAlign w:val="subscript"/>
              </w:rPr>
              <w:t>RT</w:t>
            </w:r>
            <w:r w:rsidR="00EC421A" w:rsidRPr="00A16501">
              <w:rPr>
                <w:rFonts w:ascii="Aptos" w:eastAsia="Aptos" w:hAnsi="Aptos" w:cs="Times New Roman"/>
                <w:sz w:val="20"/>
                <w:szCs w:val="20"/>
              </w:rPr>
              <w:t xml:space="preserve"> and score</w:t>
            </w:r>
            <w:r w:rsidR="00EC421A" w:rsidRPr="00A16501">
              <w:rPr>
                <w:rFonts w:ascii="Aptos" w:eastAsia="Aptos" w:hAnsi="Aptos" w:cs="Times New Roman"/>
                <w:sz w:val="20"/>
                <w:szCs w:val="20"/>
                <w:vertAlign w:val="subscript"/>
              </w:rPr>
              <w:t>mz</w:t>
            </w:r>
            <w:r w:rsidR="00EC421A" w:rsidRPr="00A16501">
              <w:rPr>
                <w:rFonts w:ascii="Aptos" w:eastAsia="Aptos" w:hAnsi="Aptos" w:cs="Times New Roman"/>
                <w:sz w:val="20"/>
                <w:szCs w:val="20"/>
              </w:rPr>
              <w:t xml:space="preserve"> are zero when updating </w:t>
            </w:r>
            <w:r w:rsidR="00534465">
              <w:rPr>
                <w:rFonts w:ascii="Aptos" w:eastAsia="Aptos" w:hAnsi="Aptos" w:cs="Times New Roman"/>
                <w:sz w:val="20"/>
                <w:szCs w:val="20"/>
              </w:rPr>
              <w:t xml:space="preserve">sample grouped </w:t>
            </w:r>
            <w:r w:rsidR="00772A61" w:rsidRPr="00A16501">
              <w:rPr>
                <w:rFonts w:ascii="Aptos" w:eastAsia="Aptos" w:hAnsi="Aptos" w:cs="Times New Roman"/>
                <w:sz w:val="20"/>
                <w:szCs w:val="20"/>
              </w:rPr>
              <w:t>feature</w:t>
            </w:r>
            <w:r w:rsidR="00534465">
              <w:rPr>
                <w:rFonts w:ascii="Aptos" w:eastAsia="Aptos" w:hAnsi="Aptos" w:cs="Times New Roman"/>
                <w:sz w:val="20"/>
                <w:szCs w:val="20"/>
              </w:rPr>
              <w:t>s</w:t>
            </w:r>
            <w:r w:rsidR="00772A61" w:rsidRPr="00A16501">
              <w:rPr>
                <w:rFonts w:ascii="Aptos" w:eastAsia="Aptos" w:hAnsi="Aptos" w:cs="Times New Roman"/>
                <w:sz w:val="20"/>
                <w:szCs w:val="20"/>
              </w:rPr>
              <w:t xml:space="preserve"> in post mobility assignment workflows; ref: reference feature</w:t>
            </w:r>
            <w:r w:rsidR="00571CF3" w:rsidRPr="00A16501">
              <w:rPr>
                <w:rFonts w:ascii="Aptos" w:eastAsia="Aptos" w:hAnsi="Aptos" w:cs="Times New Roman"/>
                <w:sz w:val="20"/>
                <w:szCs w:val="20"/>
              </w:rPr>
              <w:t xml:space="preserve">: most intense feature or a sibling from the same sample analysis; </w:t>
            </w:r>
            <w:r w:rsidR="00A16501" w:rsidRPr="00A16501">
              <w:rPr>
                <w:rFonts w:ascii="Aptos" w:eastAsia="Aptos" w:hAnsi="Aptos" w:cs="Times New Roman"/>
                <w:sz w:val="20"/>
                <w:szCs w:val="20"/>
              </w:rPr>
              <w:t>wt: configurable weight</w:t>
            </w:r>
            <w:r w:rsidR="00712AAF" w:rsidRPr="00A16501">
              <w:rPr>
                <w:rFonts w:ascii="Aptos" w:eastAsia="Aptos" w:hAnsi="Aptos" w:cs="Times New Roman"/>
                <w:sz w:val="20"/>
                <w:szCs w:val="20"/>
              </w:rPr>
              <w:t xml:space="preserve"> </w:t>
            </w:r>
          </w:p>
        </w:tc>
      </w:tr>
    </w:tbl>
    <w:p w14:paraId="034E2AAA" w14:textId="084708FB" w:rsidR="00982BCE" w:rsidRDefault="00982BCE" w:rsidP="00982BCE">
      <w:pPr>
        <w:pStyle w:val="Bijschrift"/>
        <w:keepNext/>
      </w:pPr>
      <w:bookmarkStart w:id="3" w:name="_Toc226102326"/>
      <w:r w:rsidRPr="006974DD">
        <w:rPr>
          <w:rStyle w:val="TableFigTOCChar"/>
        </w:rPr>
        <w:lastRenderedPageBreak/>
        <w:t>Table S</w:t>
      </w:r>
      <w:r w:rsidRPr="006974DD">
        <w:rPr>
          <w:rStyle w:val="TableFigTOCChar"/>
        </w:rPr>
        <w:fldChar w:fldCharType="begin"/>
      </w:r>
      <w:r w:rsidRPr="006974DD">
        <w:rPr>
          <w:rStyle w:val="TableFigTOCChar"/>
        </w:rPr>
        <w:instrText xml:space="preserve"> SEQ Table_S \* ARABIC </w:instrText>
      </w:r>
      <w:r w:rsidRPr="006974DD">
        <w:rPr>
          <w:rStyle w:val="TableFigTOCChar"/>
        </w:rPr>
        <w:fldChar w:fldCharType="separate"/>
      </w:r>
      <w:r w:rsidR="005A3BBB" w:rsidRPr="006974DD">
        <w:rPr>
          <w:rStyle w:val="TableFigTOCChar"/>
        </w:rPr>
        <w:t>3</w:t>
      </w:r>
      <w:bookmarkEnd w:id="3"/>
      <w:r w:rsidRPr="006974DD">
        <w:rPr>
          <w:rStyle w:val="TableFigTOCChar"/>
        </w:rPr>
        <w:fldChar w:fldCharType="end"/>
      </w:r>
      <w:r>
        <w:t xml:space="preserve">. </w:t>
      </w:r>
      <w:r w:rsidRPr="00317DE1">
        <w:t xml:space="preserve">Acquisition parameters used for the </w:t>
      </w:r>
      <w:r w:rsidRPr="00982BCE">
        <w:rPr>
          <w:i w:val="0"/>
          <w:iCs w:val="0"/>
        </w:rPr>
        <w:t>AgilentST</w:t>
      </w:r>
      <w:r w:rsidRPr="00317DE1">
        <w:t xml:space="preserve"> dataset.</w:t>
      </w:r>
    </w:p>
    <w:tbl>
      <w:tblPr>
        <w:tblStyle w:val="Tabelraster"/>
        <w:tblW w:w="0" w:type="auto"/>
        <w:tblLook w:val="04A0" w:firstRow="1" w:lastRow="0" w:firstColumn="1" w:lastColumn="0" w:noHBand="0" w:noVBand="1"/>
      </w:tblPr>
      <w:tblGrid>
        <w:gridCol w:w="1352"/>
        <w:gridCol w:w="3260"/>
        <w:gridCol w:w="4314"/>
      </w:tblGrid>
      <w:tr w:rsidR="00B914D2" w14:paraId="49112513" w14:textId="77777777" w:rsidTr="00EE39D7">
        <w:tc>
          <w:tcPr>
            <w:tcW w:w="1352" w:type="dxa"/>
            <w:vMerge w:val="restart"/>
            <w:vAlign w:val="center"/>
          </w:tcPr>
          <w:p w14:paraId="41AB7538" w14:textId="3E2D34FE" w:rsidR="00B914D2" w:rsidRPr="00EE39D7" w:rsidRDefault="00B914D2" w:rsidP="00EE39D7">
            <w:pPr>
              <w:keepNext/>
              <w:keepLines/>
              <w:rPr>
                <w:b/>
                <w:bCs/>
              </w:rPr>
            </w:pPr>
            <w:r w:rsidRPr="00EE39D7">
              <w:rPr>
                <w:b/>
                <w:bCs/>
              </w:rPr>
              <w:t>LC</w:t>
            </w:r>
          </w:p>
        </w:tc>
        <w:tc>
          <w:tcPr>
            <w:tcW w:w="3260" w:type="dxa"/>
          </w:tcPr>
          <w:p w14:paraId="69BCC267" w14:textId="5298FA81" w:rsidR="00B914D2" w:rsidRPr="00EE39D7" w:rsidRDefault="00B914D2" w:rsidP="00DF647E">
            <w:pPr>
              <w:keepNext/>
              <w:keepLines/>
              <w:rPr>
                <w:i/>
                <w:iCs/>
              </w:rPr>
            </w:pPr>
            <w:r w:rsidRPr="00EE39D7">
              <w:rPr>
                <w:i/>
                <w:iCs/>
              </w:rPr>
              <w:t>Instrumentation</w:t>
            </w:r>
          </w:p>
        </w:tc>
        <w:tc>
          <w:tcPr>
            <w:tcW w:w="4314" w:type="dxa"/>
          </w:tcPr>
          <w:p w14:paraId="097ADA30" w14:textId="10615F33" w:rsidR="00B914D2" w:rsidRDefault="00B914D2" w:rsidP="00DF647E">
            <w:pPr>
              <w:keepNext/>
              <w:keepLines/>
            </w:pPr>
            <w:r>
              <w:t>Infinity II HPLC (Agilent, Solna, Sweden)</w:t>
            </w:r>
          </w:p>
        </w:tc>
      </w:tr>
      <w:tr w:rsidR="00B914D2" w14:paraId="7EA9B826" w14:textId="77777777" w:rsidTr="00EE39D7">
        <w:tc>
          <w:tcPr>
            <w:tcW w:w="1352" w:type="dxa"/>
            <w:vMerge/>
            <w:vAlign w:val="center"/>
          </w:tcPr>
          <w:p w14:paraId="683A4F72" w14:textId="77777777" w:rsidR="00B914D2" w:rsidRPr="00EE39D7" w:rsidRDefault="00B914D2" w:rsidP="00EE39D7">
            <w:pPr>
              <w:keepNext/>
              <w:keepLines/>
              <w:rPr>
                <w:b/>
                <w:bCs/>
              </w:rPr>
            </w:pPr>
          </w:p>
        </w:tc>
        <w:tc>
          <w:tcPr>
            <w:tcW w:w="3260" w:type="dxa"/>
          </w:tcPr>
          <w:p w14:paraId="2006B5F6" w14:textId="2E0C7180" w:rsidR="00B914D2" w:rsidRPr="00EE39D7" w:rsidRDefault="00B914D2" w:rsidP="00DF647E">
            <w:pPr>
              <w:keepNext/>
              <w:keepLines/>
              <w:rPr>
                <w:i/>
                <w:iCs/>
              </w:rPr>
            </w:pPr>
            <w:r w:rsidRPr="00EE39D7">
              <w:rPr>
                <w:i/>
                <w:iCs/>
              </w:rPr>
              <w:t>Stationary phase</w:t>
            </w:r>
          </w:p>
        </w:tc>
        <w:tc>
          <w:tcPr>
            <w:tcW w:w="4314" w:type="dxa"/>
          </w:tcPr>
          <w:p w14:paraId="3C7F6746" w14:textId="08DDF2FD" w:rsidR="00B914D2" w:rsidRDefault="00B914D2" w:rsidP="00DF647E">
            <w:pPr>
              <w:keepNext/>
              <w:keepLines/>
            </w:pPr>
            <w:r>
              <w:t>C18</w:t>
            </w:r>
          </w:p>
        </w:tc>
      </w:tr>
      <w:tr w:rsidR="00B914D2" w:rsidRPr="00753973" w14:paraId="4E7F2A7A" w14:textId="77777777" w:rsidTr="00EE39D7">
        <w:tc>
          <w:tcPr>
            <w:tcW w:w="1352" w:type="dxa"/>
            <w:vMerge/>
            <w:vAlign w:val="center"/>
          </w:tcPr>
          <w:p w14:paraId="31C8283D" w14:textId="77777777" w:rsidR="00B914D2" w:rsidRPr="00EE39D7" w:rsidRDefault="00B914D2" w:rsidP="00EE39D7">
            <w:pPr>
              <w:keepNext/>
              <w:keepLines/>
              <w:rPr>
                <w:b/>
                <w:bCs/>
              </w:rPr>
            </w:pPr>
          </w:p>
        </w:tc>
        <w:tc>
          <w:tcPr>
            <w:tcW w:w="3260" w:type="dxa"/>
          </w:tcPr>
          <w:p w14:paraId="66BC79EF" w14:textId="25CBA376" w:rsidR="00B914D2" w:rsidRPr="00EE39D7" w:rsidRDefault="00B914D2" w:rsidP="00DF647E">
            <w:pPr>
              <w:keepNext/>
              <w:keepLines/>
              <w:rPr>
                <w:i/>
                <w:iCs/>
              </w:rPr>
            </w:pPr>
            <w:r w:rsidRPr="00EE39D7">
              <w:rPr>
                <w:i/>
                <w:iCs/>
              </w:rPr>
              <w:t>Column</w:t>
            </w:r>
          </w:p>
        </w:tc>
        <w:tc>
          <w:tcPr>
            <w:tcW w:w="4314" w:type="dxa"/>
          </w:tcPr>
          <w:p w14:paraId="679EB47E" w14:textId="0E024A02" w:rsidR="00B914D2" w:rsidRPr="00F407BC" w:rsidRDefault="00B914D2" w:rsidP="00DF647E">
            <w:pPr>
              <w:keepNext/>
              <w:keepLines/>
              <w:rPr>
                <w:lang w:val="it-IT"/>
              </w:rPr>
            </w:pPr>
            <w:r w:rsidRPr="00F407BC">
              <w:rPr>
                <w:lang w:val="it-IT"/>
              </w:rPr>
              <w:t>Kinetex  (2.6 µm, 100 Å, 150 x 2.1 mm, Phenomenex, Torrance, CA, USA)</w:t>
            </w:r>
          </w:p>
        </w:tc>
      </w:tr>
      <w:tr w:rsidR="00B914D2" w14:paraId="17150532" w14:textId="77777777" w:rsidTr="00EE39D7">
        <w:tc>
          <w:tcPr>
            <w:tcW w:w="1352" w:type="dxa"/>
            <w:vMerge/>
            <w:vAlign w:val="center"/>
          </w:tcPr>
          <w:p w14:paraId="7F8D68F4" w14:textId="77777777" w:rsidR="00B914D2" w:rsidRPr="00F407BC" w:rsidRDefault="00B914D2" w:rsidP="00EE39D7">
            <w:pPr>
              <w:keepNext/>
              <w:keepLines/>
              <w:rPr>
                <w:b/>
                <w:bCs/>
                <w:lang w:val="it-IT"/>
              </w:rPr>
            </w:pPr>
          </w:p>
        </w:tc>
        <w:tc>
          <w:tcPr>
            <w:tcW w:w="3260" w:type="dxa"/>
          </w:tcPr>
          <w:p w14:paraId="6F004249" w14:textId="01D093A8" w:rsidR="00B914D2" w:rsidRPr="00EE39D7" w:rsidRDefault="00B914D2" w:rsidP="00DF647E">
            <w:pPr>
              <w:keepNext/>
              <w:keepLines/>
              <w:rPr>
                <w:i/>
                <w:iCs/>
              </w:rPr>
            </w:pPr>
            <w:r w:rsidRPr="00EE39D7">
              <w:rPr>
                <w:i/>
                <w:iCs/>
              </w:rPr>
              <w:t>Column temperature</w:t>
            </w:r>
          </w:p>
        </w:tc>
        <w:tc>
          <w:tcPr>
            <w:tcW w:w="4314" w:type="dxa"/>
          </w:tcPr>
          <w:p w14:paraId="77FBEF37" w14:textId="65DE93DD" w:rsidR="00B914D2" w:rsidRDefault="00B914D2" w:rsidP="00DF647E">
            <w:pPr>
              <w:keepNext/>
              <w:keepLines/>
            </w:pPr>
            <w:r>
              <w:t>40 °C</w:t>
            </w:r>
          </w:p>
        </w:tc>
      </w:tr>
      <w:tr w:rsidR="00B914D2" w14:paraId="6267B224" w14:textId="77777777" w:rsidTr="00EE39D7">
        <w:tc>
          <w:tcPr>
            <w:tcW w:w="1352" w:type="dxa"/>
            <w:vMerge/>
            <w:vAlign w:val="center"/>
          </w:tcPr>
          <w:p w14:paraId="182467DC" w14:textId="77777777" w:rsidR="00B914D2" w:rsidRPr="00EE39D7" w:rsidRDefault="00B914D2" w:rsidP="00EE39D7">
            <w:pPr>
              <w:keepNext/>
              <w:keepLines/>
              <w:rPr>
                <w:b/>
                <w:bCs/>
              </w:rPr>
            </w:pPr>
          </w:p>
        </w:tc>
        <w:tc>
          <w:tcPr>
            <w:tcW w:w="3260" w:type="dxa"/>
          </w:tcPr>
          <w:p w14:paraId="47B1101A" w14:textId="376914E3" w:rsidR="00B914D2" w:rsidRPr="00EE39D7" w:rsidRDefault="00B914D2" w:rsidP="00DF647E">
            <w:pPr>
              <w:keepNext/>
              <w:keepLines/>
              <w:rPr>
                <w:i/>
                <w:iCs/>
              </w:rPr>
            </w:pPr>
            <w:r w:rsidRPr="00EE39D7">
              <w:rPr>
                <w:i/>
                <w:iCs/>
              </w:rPr>
              <w:t>Pump flow</w:t>
            </w:r>
          </w:p>
        </w:tc>
        <w:tc>
          <w:tcPr>
            <w:tcW w:w="4314" w:type="dxa"/>
          </w:tcPr>
          <w:p w14:paraId="6EC3A396" w14:textId="0AF42891" w:rsidR="00B914D2" w:rsidRDefault="00B914D2" w:rsidP="00DF647E">
            <w:pPr>
              <w:keepNext/>
              <w:keepLines/>
            </w:pPr>
            <w:r>
              <w:t>0.5 ml/min</w:t>
            </w:r>
          </w:p>
        </w:tc>
      </w:tr>
      <w:tr w:rsidR="00B914D2" w:rsidRPr="00753973" w14:paraId="55E7604F" w14:textId="77777777" w:rsidTr="00EE39D7">
        <w:tc>
          <w:tcPr>
            <w:tcW w:w="1352" w:type="dxa"/>
            <w:vMerge/>
            <w:vAlign w:val="center"/>
          </w:tcPr>
          <w:p w14:paraId="0296AE09" w14:textId="77777777" w:rsidR="00B914D2" w:rsidRPr="00EE39D7" w:rsidRDefault="00B914D2" w:rsidP="00EE39D7">
            <w:pPr>
              <w:keepNext/>
              <w:keepLines/>
              <w:rPr>
                <w:b/>
                <w:bCs/>
              </w:rPr>
            </w:pPr>
          </w:p>
        </w:tc>
        <w:tc>
          <w:tcPr>
            <w:tcW w:w="3260" w:type="dxa"/>
          </w:tcPr>
          <w:p w14:paraId="699F3EFF" w14:textId="459118B9" w:rsidR="00B914D2" w:rsidRPr="00EE39D7" w:rsidRDefault="00B914D2" w:rsidP="00DF647E">
            <w:pPr>
              <w:keepNext/>
              <w:keepLines/>
              <w:rPr>
                <w:i/>
                <w:iCs/>
              </w:rPr>
            </w:pPr>
            <w:r w:rsidRPr="00EE39D7">
              <w:rPr>
                <w:i/>
                <w:iCs/>
              </w:rPr>
              <w:t>Mobile phase</w:t>
            </w:r>
          </w:p>
        </w:tc>
        <w:tc>
          <w:tcPr>
            <w:tcW w:w="4314" w:type="dxa"/>
          </w:tcPr>
          <w:p w14:paraId="6A6E572F" w14:textId="77777777" w:rsidR="00B914D2" w:rsidRPr="00F407BC" w:rsidRDefault="00B914D2" w:rsidP="00DF647E">
            <w:pPr>
              <w:keepNext/>
              <w:keepLines/>
              <w:rPr>
                <w:vertAlign w:val="subscript"/>
                <w:lang w:val="it-IT"/>
              </w:rPr>
            </w:pPr>
            <w:r w:rsidRPr="00F407BC">
              <w:rPr>
                <w:lang w:val="it-IT"/>
              </w:rPr>
              <w:t>A: ultra-pure water</w:t>
            </w:r>
            <w:r w:rsidRPr="00F407BC">
              <w:rPr>
                <w:vertAlign w:val="superscript"/>
                <w:lang w:val="it-IT"/>
              </w:rPr>
              <w:t>a</w:t>
            </w:r>
          </w:p>
          <w:p w14:paraId="1D40B188" w14:textId="2AD7C125" w:rsidR="00B914D2" w:rsidRPr="00F407BC" w:rsidRDefault="00B914D2" w:rsidP="00DF647E">
            <w:pPr>
              <w:keepNext/>
              <w:keepLines/>
              <w:rPr>
                <w:lang w:val="it-IT"/>
              </w:rPr>
            </w:pPr>
            <w:r w:rsidRPr="00F407BC">
              <w:rPr>
                <w:lang w:val="it-IT"/>
              </w:rPr>
              <w:t xml:space="preserve">B: </w:t>
            </w:r>
            <w:r w:rsidR="00EC737D" w:rsidRPr="00F407BC">
              <w:rPr>
                <w:lang w:val="it-IT"/>
              </w:rPr>
              <w:t>methanol</w:t>
            </w:r>
            <w:r w:rsidRPr="00F407BC">
              <w:rPr>
                <w:vertAlign w:val="superscript"/>
                <w:lang w:val="it-IT"/>
              </w:rPr>
              <w:t>b</w:t>
            </w:r>
          </w:p>
        </w:tc>
      </w:tr>
      <w:tr w:rsidR="00B914D2" w14:paraId="19CC5B70" w14:textId="77777777" w:rsidTr="00EE39D7">
        <w:tc>
          <w:tcPr>
            <w:tcW w:w="1352" w:type="dxa"/>
            <w:vMerge/>
            <w:vAlign w:val="center"/>
          </w:tcPr>
          <w:p w14:paraId="3F2A0AA3" w14:textId="77777777" w:rsidR="00B914D2" w:rsidRPr="00F407BC" w:rsidRDefault="00B914D2" w:rsidP="00EE39D7">
            <w:pPr>
              <w:keepNext/>
              <w:keepLines/>
              <w:rPr>
                <w:b/>
                <w:bCs/>
                <w:lang w:val="it-IT"/>
              </w:rPr>
            </w:pPr>
          </w:p>
        </w:tc>
        <w:tc>
          <w:tcPr>
            <w:tcW w:w="3260" w:type="dxa"/>
          </w:tcPr>
          <w:p w14:paraId="4AE6D6D9" w14:textId="0DC40677" w:rsidR="00B914D2" w:rsidRPr="00EE39D7" w:rsidRDefault="00B914D2" w:rsidP="00DF647E">
            <w:pPr>
              <w:keepNext/>
              <w:keepLines/>
              <w:rPr>
                <w:i/>
                <w:iCs/>
              </w:rPr>
            </w:pPr>
            <w:r w:rsidRPr="00EE39D7">
              <w:rPr>
                <w:i/>
                <w:iCs/>
              </w:rPr>
              <w:t>Elution gradient</w:t>
            </w:r>
          </w:p>
        </w:tc>
        <w:tc>
          <w:tcPr>
            <w:tcW w:w="4314" w:type="dxa"/>
          </w:tcPr>
          <w:p w14:paraId="14CD0F30" w14:textId="49ECE523" w:rsidR="00B914D2" w:rsidRDefault="00B914D2" w:rsidP="00DF647E">
            <w:pPr>
              <w:keepNext/>
              <w:keepLines/>
            </w:pPr>
            <w:r>
              <w:t>10% B (t=0 min); gradual increase to 95% B (t=50 min); hold at 95% B (t=60 min)</w:t>
            </w:r>
            <w:r w:rsidR="00921341">
              <w:t>.</w:t>
            </w:r>
            <w:r w:rsidR="00CA1E36">
              <w:t xml:space="preserve"> Equilibration time: 5 min.</w:t>
            </w:r>
          </w:p>
        </w:tc>
      </w:tr>
      <w:tr w:rsidR="00B914D2" w14:paraId="22C902B1" w14:textId="77777777" w:rsidTr="00EE39D7">
        <w:tc>
          <w:tcPr>
            <w:tcW w:w="1352" w:type="dxa"/>
            <w:vMerge/>
            <w:vAlign w:val="center"/>
          </w:tcPr>
          <w:p w14:paraId="7EE60B82" w14:textId="77777777" w:rsidR="00B914D2" w:rsidRPr="00EE39D7" w:rsidRDefault="00B914D2" w:rsidP="00EE39D7">
            <w:pPr>
              <w:keepNext/>
              <w:keepLines/>
              <w:rPr>
                <w:b/>
                <w:bCs/>
              </w:rPr>
            </w:pPr>
          </w:p>
        </w:tc>
        <w:tc>
          <w:tcPr>
            <w:tcW w:w="3260" w:type="dxa"/>
          </w:tcPr>
          <w:p w14:paraId="5A547136" w14:textId="28BC7FFB" w:rsidR="00B914D2" w:rsidRPr="00EE39D7" w:rsidRDefault="00B914D2" w:rsidP="00DF647E">
            <w:pPr>
              <w:keepNext/>
              <w:keepLines/>
              <w:rPr>
                <w:i/>
                <w:iCs/>
              </w:rPr>
            </w:pPr>
            <w:r w:rsidRPr="00EE39D7">
              <w:rPr>
                <w:i/>
                <w:iCs/>
              </w:rPr>
              <w:t>Injection volume</w:t>
            </w:r>
          </w:p>
        </w:tc>
        <w:tc>
          <w:tcPr>
            <w:tcW w:w="4314" w:type="dxa"/>
          </w:tcPr>
          <w:p w14:paraId="74880F89" w14:textId="5E26412A" w:rsidR="00B914D2" w:rsidRDefault="00B914D2" w:rsidP="00DF647E">
            <w:pPr>
              <w:keepNext/>
              <w:keepLines/>
            </w:pPr>
            <w:r>
              <w:t>1 µl</w:t>
            </w:r>
          </w:p>
        </w:tc>
      </w:tr>
      <w:tr w:rsidR="00B914D2" w14:paraId="38639D08" w14:textId="77777777" w:rsidTr="00EE39D7">
        <w:tc>
          <w:tcPr>
            <w:tcW w:w="1352" w:type="dxa"/>
            <w:vMerge/>
            <w:vAlign w:val="center"/>
          </w:tcPr>
          <w:p w14:paraId="11A3AC98" w14:textId="77777777" w:rsidR="00B914D2" w:rsidRPr="00EE39D7" w:rsidRDefault="00B914D2" w:rsidP="00EE39D7">
            <w:pPr>
              <w:keepNext/>
              <w:keepLines/>
              <w:rPr>
                <w:b/>
                <w:bCs/>
              </w:rPr>
            </w:pPr>
          </w:p>
        </w:tc>
        <w:tc>
          <w:tcPr>
            <w:tcW w:w="3260" w:type="dxa"/>
          </w:tcPr>
          <w:p w14:paraId="4F20EB74" w14:textId="5A9E9B06" w:rsidR="00B914D2" w:rsidRPr="00EE39D7" w:rsidRDefault="00BD293B" w:rsidP="00DF647E">
            <w:pPr>
              <w:keepNext/>
              <w:keepLines/>
              <w:rPr>
                <w:i/>
                <w:iCs/>
              </w:rPr>
            </w:pPr>
            <w:r>
              <w:rPr>
                <w:i/>
                <w:iCs/>
              </w:rPr>
              <w:t>Calibration r</w:t>
            </w:r>
            <w:r w:rsidR="00B914D2">
              <w:rPr>
                <w:i/>
                <w:iCs/>
              </w:rPr>
              <w:t>eference ion delivery</w:t>
            </w:r>
          </w:p>
        </w:tc>
        <w:tc>
          <w:tcPr>
            <w:tcW w:w="4314" w:type="dxa"/>
          </w:tcPr>
          <w:p w14:paraId="3CF5AFBC" w14:textId="387A0A5B" w:rsidR="00B914D2" w:rsidRDefault="00DF5D89" w:rsidP="00DF647E">
            <w:pPr>
              <w:keepNext/>
              <w:keepLines/>
            </w:pPr>
            <w:r w:rsidRPr="00DF5D89">
              <w:t>Isocratic pump Infinity 1260</w:t>
            </w:r>
            <w:r>
              <w:t xml:space="preserve"> (Agilent)</w:t>
            </w:r>
            <w:r w:rsidRPr="00DF5D89">
              <w:t>. Operated at a 0.08 mL/min. Reference ions in acetonitrile/water (95:5, v/v)</w:t>
            </w:r>
            <w:r>
              <w:t>.</w:t>
            </w:r>
          </w:p>
        </w:tc>
      </w:tr>
      <w:tr w:rsidR="003F3DA4" w14:paraId="040C5F3F" w14:textId="77777777" w:rsidTr="00EE39D7">
        <w:tc>
          <w:tcPr>
            <w:tcW w:w="1352" w:type="dxa"/>
            <w:vMerge w:val="restart"/>
            <w:vAlign w:val="center"/>
          </w:tcPr>
          <w:p w14:paraId="56BE76B3" w14:textId="5294FCD6" w:rsidR="003F3DA4" w:rsidRPr="00EE39D7" w:rsidRDefault="003F3DA4" w:rsidP="00EE39D7">
            <w:pPr>
              <w:keepNext/>
              <w:keepLines/>
              <w:rPr>
                <w:b/>
                <w:bCs/>
              </w:rPr>
            </w:pPr>
            <w:r w:rsidRPr="00EE39D7">
              <w:rPr>
                <w:b/>
                <w:bCs/>
              </w:rPr>
              <w:t>IMS-HRMS</w:t>
            </w:r>
          </w:p>
        </w:tc>
        <w:tc>
          <w:tcPr>
            <w:tcW w:w="3260" w:type="dxa"/>
          </w:tcPr>
          <w:p w14:paraId="63DC8D90" w14:textId="5DB7C082" w:rsidR="003F3DA4" w:rsidRPr="00EE39D7" w:rsidRDefault="003F3DA4" w:rsidP="00DF647E">
            <w:pPr>
              <w:keepNext/>
              <w:keepLines/>
              <w:rPr>
                <w:i/>
                <w:iCs/>
              </w:rPr>
            </w:pPr>
            <w:r w:rsidRPr="00EE39D7">
              <w:rPr>
                <w:i/>
                <w:iCs/>
              </w:rPr>
              <w:t>Instrumentation</w:t>
            </w:r>
          </w:p>
        </w:tc>
        <w:tc>
          <w:tcPr>
            <w:tcW w:w="4314" w:type="dxa"/>
          </w:tcPr>
          <w:p w14:paraId="1F2FB3AB" w14:textId="5143C3C6" w:rsidR="003F3DA4" w:rsidRDefault="003F3DA4" w:rsidP="00DF647E">
            <w:pPr>
              <w:keepNext/>
              <w:keepLines/>
            </w:pPr>
            <w:r>
              <w:t>6560 IM-QTOF (Agilent)</w:t>
            </w:r>
          </w:p>
        </w:tc>
      </w:tr>
      <w:tr w:rsidR="003F3DA4" w14:paraId="021C598B" w14:textId="77777777" w:rsidTr="003F3DA4">
        <w:tc>
          <w:tcPr>
            <w:tcW w:w="1352" w:type="dxa"/>
            <w:vMerge/>
          </w:tcPr>
          <w:p w14:paraId="0B897AB5" w14:textId="77777777" w:rsidR="003F3DA4" w:rsidRDefault="003F3DA4" w:rsidP="00DF647E">
            <w:pPr>
              <w:keepNext/>
              <w:keepLines/>
            </w:pPr>
          </w:p>
        </w:tc>
        <w:tc>
          <w:tcPr>
            <w:tcW w:w="3260" w:type="dxa"/>
          </w:tcPr>
          <w:p w14:paraId="343520E3" w14:textId="32A1B5C9" w:rsidR="003F3DA4" w:rsidRPr="00EE39D7" w:rsidRDefault="003F3DA4" w:rsidP="00DF647E">
            <w:pPr>
              <w:keepNext/>
              <w:keepLines/>
              <w:rPr>
                <w:i/>
                <w:iCs/>
              </w:rPr>
            </w:pPr>
            <w:r w:rsidRPr="00EE39D7">
              <w:rPr>
                <w:i/>
                <w:iCs/>
              </w:rPr>
              <w:t>Polarity mode</w:t>
            </w:r>
          </w:p>
        </w:tc>
        <w:tc>
          <w:tcPr>
            <w:tcW w:w="4314" w:type="dxa"/>
          </w:tcPr>
          <w:p w14:paraId="753B619A" w14:textId="01F2E778" w:rsidR="003F3DA4" w:rsidRDefault="003F3DA4" w:rsidP="00DF647E">
            <w:pPr>
              <w:keepNext/>
              <w:keepLines/>
            </w:pPr>
            <w:r>
              <w:t>Positive</w:t>
            </w:r>
          </w:p>
        </w:tc>
      </w:tr>
      <w:tr w:rsidR="003F3DA4" w14:paraId="30DD0FD5" w14:textId="77777777" w:rsidTr="003F3DA4">
        <w:tc>
          <w:tcPr>
            <w:tcW w:w="1352" w:type="dxa"/>
            <w:vMerge/>
          </w:tcPr>
          <w:p w14:paraId="212E67B2" w14:textId="77777777" w:rsidR="003F3DA4" w:rsidRDefault="003F3DA4" w:rsidP="00DF647E">
            <w:pPr>
              <w:keepNext/>
              <w:keepLines/>
            </w:pPr>
          </w:p>
        </w:tc>
        <w:tc>
          <w:tcPr>
            <w:tcW w:w="3260" w:type="dxa"/>
          </w:tcPr>
          <w:p w14:paraId="0C4CD0D6" w14:textId="77894F14" w:rsidR="003F3DA4" w:rsidRPr="00EE39D7" w:rsidRDefault="003F3DA4" w:rsidP="00DF647E">
            <w:pPr>
              <w:keepNext/>
              <w:keepLines/>
              <w:rPr>
                <w:i/>
                <w:iCs/>
              </w:rPr>
            </w:pPr>
            <w:r w:rsidRPr="00EE39D7">
              <w:rPr>
                <w:i/>
                <w:iCs/>
              </w:rPr>
              <w:t>Ionization source</w:t>
            </w:r>
          </w:p>
        </w:tc>
        <w:tc>
          <w:tcPr>
            <w:tcW w:w="4314" w:type="dxa"/>
          </w:tcPr>
          <w:p w14:paraId="79F46BEB" w14:textId="40151AE9" w:rsidR="003F3DA4" w:rsidRDefault="003F3DA4" w:rsidP="00DF647E">
            <w:pPr>
              <w:keepNext/>
              <w:keepLines/>
            </w:pPr>
            <w:r w:rsidRPr="0033514E">
              <w:t>Dual AJS ESI</w:t>
            </w:r>
          </w:p>
        </w:tc>
      </w:tr>
      <w:tr w:rsidR="003F3DA4" w14:paraId="2724D5D9" w14:textId="77777777" w:rsidTr="003F3DA4">
        <w:tc>
          <w:tcPr>
            <w:tcW w:w="1352" w:type="dxa"/>
            <w:vMerge/>
          </w:tcPr>
          <w:p w14:paraId="0F0A3141" w14:textId="77777777" w:rsidR="003F3DA4" w:rsidRDefault="003F3DA4" w:rsidP="00DF647E">
            <w:pPr>
              <w:keepNext/>
              <w:keepLines/>
            </w:pPr>
          </w:p>
        </w:tc>
        <w:tc>
          <w:tcPr>
            <w:tcW w:w="3260" w:type="dxa"/>
          </w:tcPr>
          <w:p w14:paraId="15104D3A" w14:textId="3DCA97F1" w:rsidR="003F3DA4" w:rsidRPr="00EE39D7" w:rsidRDefault="003F3DA4" w:rsidP="00DF647E">
            <w:pPr>
              <w:keepNext/>
              <w:keepLines/>
              <w:rPr>
                <w:i/>
                <w:iCs/>
              </w:rPr>
            </w:pPr>
            <w:r w:rsidRPr="00EE39D7">
              <w:rPr>
                <w:i/>
                <w:iCs/>
              </w:rPr>
              <w:t>Ionization parameters</w:t>
            </w:r>
          </w:p>
        </w:tc>
        <w:tc>
          <w:tcPr>
            <w:tcW w:w="4314" w:type="dxa"/>
          </w:tcPr>
          <w:p w14:paraId="0265D2FC" w14:textId="77777777" w:rsidR="003F3DA4" w:rsidRDefault="003F3DA4" w:rsidP="00DF647E">
            <w:pPr>
              <w:keepNext/>
              <w:keepLines/>
            </w:pPr>
            <w:r>
              <w:t>Gas temperature: 225 °C</w:t>
            </w:r>
          </w:p>
          <w:p w14:paraId="5506B725" w14:textId="77777777" w:rsidR="003F3DA4" w:rsidRDefault="003F3DA4" w:rsidP="00DF647E">
            <w:pPr>
              <w:keepNext/>
              <w:keepLines/>
            </w:pPr>
            <w:r>
              <w:t>Gas flow: 5 l/min</w:t>
            </w:r>
          </w:p>
          <w:p w14:paraId="4F6201A3" w14:textId="77777777" w:rsidR="003F3DA4" w:rsidRDefault="003F3DA4" w:rsidP="00DF647E">
            <w:pPr>
              <w:keepNext/>
              <w:keepLines/>
            </w:pPr>
            <w:r>
              <w:t>Nebulizer: 30 psig</w:t>
            </w:r>
          </w:p>
          <w:p w14:paraId="5D21A3D7" w14:textId="77777777" w:rsidR="003F3DA4" w:rsidRDefault="003F3DA4" w:rsidP="00DF647E">
            <w:pPr>
              <w:keepNext/>
              <w:keepLines/>
            </w:pPr>
            <w:r>
              <w:t>Sheath gas temperature: 350 °C</w:t>
            </w:r>
          </w:p>
          <w:p w14:paraId="624BCCC0" w14:textId="77777777" w:rsidR="003F3DA4" w:rsidRDefault="003F3DA4" w:rsidP="00DF647E">
            <w:pPr>
              <w:keepNext/>
              <w:keepLines/>
            </w:pPr>
            <w:r>
              <w:t>Sheath gas flow: 12</w:t>
            </w:r>
          </w:p>
          <w:p w14:paraId="4BAB8C22" w14:textId="6B6994A7" w:rsidR="003F3DA4" w:rsidRPr="00F407BC" w:rsidRDefault="003F3DA4" w:rsidP="00DF647E">
            <w:pPr>
              <w:keepNext/>
              <w:keepLines/>
              <w:rPr>
                <w:lang w:val="fr-FR"/>
              </w:rPr>
            </w:pPr>
            <w:r w:rsidRPr="00F407BC">
              <w:rPr>
                <w:lang w:val="fr-FR"/>
              </w:rPr>
              <w:t>VCap: 4500 V</w:t>
            </w:r>
          </w:p>
          <w:p w14:paraId="628BB8A6" w14:textId="77777777" w:rsidR="003F3DA4" w:rsidRPr="00F407BC" w:rsidRDefault="003F3DA4" w:rsidP="00DF647E">
            <w:pPr>
              <w:keepNext/>
              <w:keepLines/>
              <w:rPr>
                <w:lang w:val="fr-FR"/>
              </w:rPr>
            </w:pPr>
            <w:r w:rsidRPr="00F407BC">
              <w:rPr>
                <w:lang w:val="fr-FR"/>
              </w:rPr>
              <w:t>Nozzle Voltage: 500 V</w:t>
            </w:r>
          </w:p>
          <w:p w14:paraId="5FA20E74" w14:textId="1E5BA856" w:rsidR="003F3DA4" w:rsidRPr="00F407BC" w:rsidRDefault="003F3DA4" w:rsidP="00DF647E">
            <w:pPr>
              <w:keepNext/>
              <w:keepLines/>
              <w:rPr>
                <w:lang w:val="fr-FR"/>
              </w:rPr>
            </w:pPr>
            <w:r w:rsidRPr="00F407BC">
              <w:rPr>
                <w:lang w:val="fr-FR"/>
              </w:rPr>
              <w:t>Fragmentor: 275 V</w:t>
            </w:r>
          </w:p>
          <w:p w14:paraId="2D6F6FE8" w14:textId="28D9690C" w:rsidR="003F3DA4" w:rsidRDefault="003F3DA4" w:rsidP="00DF647E">
            <w:pPr>
              <w:keepNext/>
              <w:keepLines/>
            </w:pPr>
            <w:r>
              <w:t>Oct RF Vpp: 550</w:t>
            </w:r>
          </w:p>
        </w:tc>
      </w:tr>
      <w:tr w:rsidR="003F3DA4" w14:paraId="6EC472AD" w14:textId="77777777" w:rsidTr="003F3DA4">
        <w:tc>
          <w:tcPr>
            <w:tcW w:w="1352" w:type="dxa"/>
            <w:vMerge/>
          </w:tcPr>
          <w:p w14:paraId="2C5FA1EB" w14:textId="77777777" w:rsidR="003F3DA4" w:rsidRDefault="003F3DA4" w:rsidP="00DF647E">
            <w:pPr>
              <w:keepNext/>
              <w:keepLines/>
            </w:pPr>
          </w:p>
        </w:tc>
        <w:tc>
          <w:tcPr>
            <w:tcW w:w="3260" w:type="dxa"/>
          </w:tcPr>
          <w:p w14:paraId="6BD3915B" w14:textId="451CD1F8" w:rsidR="003F3DA4" w:rsidRPr="00EE39D7" w:rsidRDefault="003F3DA4" w:rsidP="00DF647E">
            <w:pPr>
              <w:keepNext/>
              <w:keepLines/>
              <w:rPr>
                <w:i/>
                <w:iCs/>
              </w:rPr>
            </w:pPr>
            <w:r w:rsidRPr="00EE39D7">
              <w:rPr>
                <w:i/>
                <w:iCs/>
              </w:rPr>
              <w:t>Frame scan rate</w:t>
            </w:r>
          </w:p>
        </w:tc>
        <w:tc>
          <w:tcPr>
            <w:tcW w:w="4314" w:type="dxa"/>
          </w:tcPr>
          <w:p w14:paraId="2E7C39DC" w14:textId="7DAFF4FA" w:rsidR="003F3DA4" w:rsidRDefault="003F3DA4" w:rsidP="00DF647E">
            <w:pPr>
              <w:keepNext/>
              <w:keepLines/>
            </w:pPr>
            <w:r>
              <w:t>1.1/sec</w:t>
            </w:r>
          </w:p>
        </w:tc>
      </w:tr>
      <w:tr w:rsidR="003F3DA4" w14:paraId="4B1A9E37" w14:textId="77777777" w:rsidTr="003F3DA4">
        <w:tc>
          <w:tcPr>
            <w:tcW w:w="1352" w:type="dxa"/>
            <w:vMerge/>
          </w:tcPr>
          <w:p w14:paraId="7F96356C" w14:textId="77777777" w:rsidR="003F3DA4" w:rsidRDefault="003F3DA4" w:rsidP="00DF647E">
            <w:pPr>
              <w:keepNext/>
              <w:keepLines/>
            </w:pPr>
          </w:p>
        </w:tc>
        <w:tc>
          <w:tcPr>
            <w:tcW w:w="3260" w:type="dxa"/>
          </w:tcPr>
          <w:p w14:paraId="408C5D7B" w14:textId="5C514B90" w:rsidR="003F3DA4" w:rsidRPr="00EE39D7" w:rsidRDefault="003F3DA4" w:rsidP="00DF647E">
            <w:pPr>
              <w:keepNext/>
              <w:keepLines/>
              <w:rPr>
                <w:i/>
                <w:iCs/>
              </w:rPr>
            </w:pPr>
            <w:r w:rsidRPr="00EE39D7">
              <w:rPr>
                <w:i/>
                <w:iCs/>
              </w:rPr>
              <w:t>IM Transient Rate</w:t>
            </w:r>
          </w:p>
        </w:tc>
        <w:tc>
          <w:tcPr>
            <w:tcW w:w="4314" w:type="dxa"/>
          </w:tcPr>
          <w:p w14:paraId="63EB0B3A" w14:textId="05F0A0C1" w:rsidR="003F3DA4" w:rsidRDefault="003F3DA4" w:rsidP="00DF647E">
            <w:pPr>
              <w:keepNext/>
              <w:keepLines/>
            </w:pPr>
            <w:r>
              <w:t>21/frame</w:t>
            </w:r>
          </w:p>
        </w:tc>
      </w:tr>
      <w:tr w:rsidR="003F3DA4" w14:paraId="05464F59" w14:textId="77777777" w:rsidTr="003F3DA4">
        <w:tc>
          <w:tcPr>
            <w:tcW w:w="1352" w:type="dxa"/>
            <w:vMerge/>
          </w:tcPr>
          <w:p w14:paraId="6CB09CF6" w14:textId="77777777" w:rsidR="003F3DA4" w:rsidRDefault="003F3DA4" w:rsidP="00DF647E">
            <w:pPr>
              <w:keepNext/>
              <w:keepLines/>
            </w:pPr>
          </w:p>
        </w:tc>
        <w:tc>
          <w:tcPr>
            <w:tcW w:w="3260" w:type="dxa"/>
          </w:tcPr>
          <w:p w14:paraId="4E82836D" w14:textId="5568E587" w:rsidR="003F3DA4" w:rsidRPr="00EE39D7" w:rsidRDefault="003F3DA4" w:rsidP="00DF647E">
            <w:pPr>
              <w:keepNext/>
              <w:keepLines/>
              <w:rPr>
                <w:i/>
                <w:iCs/>
              </w:rPr>
            </w:pPr>
            <w:r w:rsidRPr="00EE39D7">
              <w:rPr>
                <w:i/>
                <w:iCs/>
              </w:rPr>
              <w:t>m/z scan range</w:t>
            </w:r>
          </w:p>
        </w:tc>
        <w:tc>
          <w:tcPr>
            <w:tcW w:w="4314" w:type="dxa"/>
          </w:tcPr>
          <w:p w14:paraId="7FF8C263" w14:textId="343A4835" w:rsidR="003F3DA4" w:rsidRDefault="003F3DA4" w:rsidP="00DF647E">
            <w:pPr>
              <w:keepNext/>
              <w:keepLines/>
            </w:pPr>
            <w:r>
              <w:t>50 – 1700</w:t>
            </w:r>
          </w:p>
        </w:tc>
      </w:tr>
      <w:tr w:rsidR="003F3DA4" w14:paraId="47874684" w14:textId="77777777" w:rsidTr="003F3DA4">
        <w:tc>
          <w:tcPr>
            <w:tcW w:w="1352" w:type="dxa"/>
            <w:vMerge/>
          </w:tcPr>
          <w:p w14:paraId="12F98D7D" w14:textId="77777777" w:rsidR="003F3DA4" w:rsidRDefault="003F3DA4" w:rsidP="00DF647E">
            <w:pPr>
              <w:keepNext/>
              <w:keepLines/>
            </w:pPr>
          </w:p>
        </w:tc>
        <w:tc>
          <w:tcPr>
            <w:tcW w:w="3260" w:type="dxa"/>
          </w:tcPr>
          <w:p w14:paraId="0AB5B4A1" w14:textId="21F12882" w:rsidR="003F3DA4" w:rsidRPr="00EE39D7" w:rsidRDefault="003F3DA4" w:rsidP="00DF647E">
            <w:pPr>
              <w:keepNext/>
              <w:keepLines/>
              <w:rPr>
                <w:i/>
                <w:iCs/>
              </w:rPr>
            </w:pPr>
            <w:r w:rsidRPr="00EE39D7">
              <w:rPr>
                <w:i/>
                <w:iCs/>
              </w:rPr>
              <w:t>Max Drift time</w:t>
            </w:r>
          </w:p>
        </w:tc>
        <w:tc>
          <w:tcPr>
            <w:tcW w:w="4314" w:type="dxa"/>
          </w:tcPr>
          <w:p w14:paraId="77DF2B26" w14:textId="0B0AF09C" w:rsidR="003F3DA4" w:rsidRDefault="003F3DA4" w:rsidP="00DF647E">
            <w:pPr>
              <w:keepNext/>
              <w:keepLines/>
            </w:pPr>
            <w:r>
              <w:t>45 ms</w:t>
            </w:r>
          </w:p>
        </w:tc>
      </w:tr>
      <w:tr w:rsidR="003F3DA4" w14:paraId="3B8B9FA4" w14:textId="77777777" w:rsidTr="003F3DA4">
        <w:tc>
          <w:tcPr>
            <w:tcW w:w="1352" w:type="dxa"/>
            <w:vMerge/>
          </w:tcPr>
          <w:p w14:paraId="2BFBC7E0" w14:textId="77777777" w:rsidR="003F3DA4" w:rsidRDefault="003F3DA4" w:rsidP="00DF647E">
            <w:pPr>
              <w:keepNext/>
              <w:keepLines/>
            </w:pPr>
          </w:p>
        </w:tc>
        <w:tc>
          <w:tcPr>
            <w:tcW w:w="3260" w:type="dxa"/>
          </w:tcPr>
          <w:p w14:paraId="752FAC52" w14:textId="052A602F" w:rsidR="003F3DA4" w:rsidRPr="00EE39D7" w:rsidRDefault="003F3DA4" w:rsidP="00DF647E">
            <w:pPr>
              <w:keepNext/>
              <w:keepLines/>
              <w:rPr>
                <w:i/>
                <w:iCs/>
              </w:rPr>
            </w:pPr>
            <w:r w:rsidRPr="00EE39D7">
              <w:rPr>
                <w:i/>
                <w:iCs/>
              </w:rPr>
              <w:t>Trap fill time</w:t>
            </w:r>
          </w:p>
        </w:tc>
        <w:tc>
          <w:tcPr>
            <w:tcW w:w="4314" w:type="dxa"/>
          </w:tcPr>
          <w:p w14:paraId="40F2BEB9" w14:textId="19B9AFC7" w:rsidR="003F3DA4" w:rsidRDefault="003F3DA4" w:rsidP="00DF647E">
            <w:pPr>
              <w:keepNext/>
              <w:keepLines/>
            </w:pPr>
            <w:r>
              <w:t>20000 µs</w:t>
            </w:r>
          </w:p>
        </w:tc>
      </w:tr>
      <w:tr w:rsidR="003F3DA4" w14:paraId="19EF0833" w14:textId="77777777" w:rsidTr="003F3DA4">
        <w:tc>
          <w:tcPr>
            <w:tcW w:w="1352" w:type="dxa"/>
            <w:vMerge/>
          </w:tcPr>
          <w:p w14:paraId="76ACFDE9" w14:textId="77777777" w:rsidR="003F3DA4" w:rsidRDefault="003F3DA4" w:rsidP="00DF647E">
            <w:pPr>
              <w:keepNext/>
              <w:keepLines/>
            </w:pPr>
          </w:p>
        </w:tc>
        <w:tc>
          <w:tcPr>
            <w:tcW w:w="3260" w:type="dxa"/>
          </w:tcPr>
          <w:p w14:paraId="6595BEA4" w14:textId="635DAFF3" w:rsidR="003F3DA4" w:rsidRPr="00EE39D7" w:rsidRDefault="003F3DA4" w:rsidP="00DF647E">
            <w:pPr>
              <w:keepNext/>
              <w:keepLines/>
              <w:rPr>
                <w:i/>
                <w:iCs/>
              </w:rPr>
            </w:pPr>
            <w:r w:rsidRPr="00EE39D7">
              <w:rPr>
                <w:i/>
                <w:iCs/>
              </w:rPr>
              <w:t>Trap release time</w:t>
            </w:r>
          </w:p>
        </w:tc>
        <w:tc>
          <w:tcPr>
            <w:tcW w:w="4314" w:type="dxa"/>
          </w:tcPr>
          <w:p w14:paraId="3CBF821B" w14:textId="28DA4946" w:rsidR="003F3DA4" w:rsidRDefault="003F3DA4" w:rsidP="00DF647E">
            <w:pPr>
              <w:keepNext/>
              <w:keepLines/>
            </w:pPr>
            <w:r>
              <w:t>150 µs</w:t>
            </w:r>
          </w:p>
        </w:tc>
      </w:tr>
      <w:tr w:rsidR="003F3DA4" w14:paraId="31A992D2" w14:textId="77777777" w:rsidTr="003F3DA4">
        <w:tc>
          <w:tcPr>
            <w:tcW w:w="1352" w:type="dxa"/>
            <w:vMerge/>
          </w:tcPr>
          <w:p w14:paraId="313377C6" w14:textId="77777777" w:rsidR="003F3DA4" w:rsidRDefault="003F3DA4" w:rsidP="00DF647E">
            <w:pPr>
              <w:keepNext/>
              <w:keepLines/>
            </w:pPr>
          </w:p>
        </w:tc>
        <w:tc>
          <w:tcPr>
            <w:tcW w:w="3260" w:type="dxa"/>
          </w:tcPr>
          <w:p w14:paraId="1E86A68C" w14:textId="35573003" w:rsidR="003F3DA4" w:rsidRPr="00EE39D7" w:rsidRDefault="003F3DA4" w:rsidP="00DF647E">
            <w:pPr>
              <w:keepNext/>
              <w:keepLines/>
              <w:rPr>
                <w:i/>
                <w:iCs/>
              </w:rPr>
            </w:pPr>
            <w:r w:rsidRPr="00EE39D7">
              <w:rPr>
                <w:i/>
                <w:iCs/>
              </w:rPr>
              <w:t>Calibration (m/z and mobility)</w:t>
            </w:r>
          </w:p>
        </w:tc>
        <w:tc>
          <w:tcPr>
            <w:tcW w:w="4314" w:type="dxa"/>
          </w:tcPr>
          <w:p w14:paraId="2EB00481" w14:textId="1352F25E" w:rsidR="003F3DA4" w:rsidRDefault="003F3DA4" w:rsidP="00DF647E">
            <w:pPr>
              <w:keepNext/>
              <w:keepLines/>
            </w:pPr>
            <w:r>
              <w:t>ESI-L LCMS Tuning mix (Agilent)</w:t>
            </w:r>
          </w:p>
        </w:tc>
      </w:tr>
      <w:tr w:rsidR="003F3DA4" w14:paraId="6589456B" w14:textId="77777777" w:rsidTr="003F3DA4">
        <w:tc>
          <w:tcPr>
            <w:tcW w:w="1352" w:type="dxa"/>
            <w:vMerge/>
            <w:tcBorders>
              <w:bottom w:val="single" w:sz="4" w:space="0" w:color="auto"/>
            </w:tcBorders>
          </w:tcPr>
          <w:p w14:paraId="40C04283" w14:textId="4379046A" w:rsidR="003F3DA4" w:rsidRDefault="003F3DA4" w:rsidP="00DF647E">
            <w:pPr>
              <w:keepNext/>
              <w:keepLines/>
            </w:pPr>
          </w:p>
        </w:tc>
        <w:tc>
          <w:tcPr>
            <w:tcW w:w="3260" w:type="dxa"/>
            <w:tcBorders>
              <w:bottom w:val="single" w:sz="4" w:space="0" w:color="auto"/>
            </w:tcBorders>
          </w:tcPr>
          <w:p w14:paraId="2AC4658C" w14:textId="37F05797" w:rsidR="003F3DA4" w:rsidRPr="00EE39D7" w:rsidRDefault="003F3DA4" w:rsidP="00DF647E">
            <w:pPr>
              <w:keepNext/>
              <w:keepLines/>
              <w:rPr>
                <w:i/>
                <w:iCs/>
              </w:rPr>
            </w:pPr>
            <w:r w:rsidRPr="00EE39D7">
              <w:rPr>
                <w:i/>
                <w:iCs/>
              </w:rPr>
              <w:t>Software</w:t>
            </w:r>
          </w:p>
        </w:tc>
        <w:tc>
          <w:tcPr>
            <w:tcW w:w="4314" w:type="dxa"/>
            <w:tcBorders>
              <w:bottom w:val="single" w:sz="4" w:space="0" w:color="auto"/>
            </w:tcBorders>
          </w:tcPr>
          <w:p w14:paraId="4B786A0D" w14:textId="082CAEB8" w:rsidR="003F3DA4" w:rsidRDefault="003F3DA4" w:rsidP="00DF647E">
            <w:pPr>
              <w:keepNext/>
              <w:keepLines/>
            </w:pPr>
            <w:r>
              <w:t>MassHunter B.08.00</w:t>
            </w:r>
          </w:p>
        </w:tc>
      </w:tr>
      <w:tr w:rsidR="00963FF2" w14:paraId="0D72CF37" w14:textId="77777777" w:rsidTr="003F3DA4">
        <w:tc>
          <w:tcPr>
            <w:tcW w:w="8926" w:type="dxa"/>
            <w:gridSpan w:val="3"/>
            <w:tcBorders>
              <w:left w:val="nil"/>
              <w:bottom w:val="nil"/>
              <w:right w:val="nil"/>
            </w:tcBorders>
          </w:tcPr>
          <w:p w14:paraId="676E4C52" w14:textId="2150C776" w:rsidR="00963FF2" w:rsidRDefault="00963FF2" w:rsidP="00DF647E">
            <w:pPr>
              <w:keepLines/>
            </w:pPr>
            <w:r w:rsidRPr="00AA77B0">
              <w:rPr>
                <w:vertAlign w:val="superscript"/>
              </w:rPr>
              <w:t>a</w:t>
            </w:r>
            <w:r>
              <w:t xml:space="preserve">: obtained from a Milli-Q device (Merck Millipore, Solna Sweden); </w:t>
            </w:r>
            <w:r w:rsidRPr="00AA77B0">
              <w:rPr>
                <w:vertAlign w:val="superscript"/>
              </w:rPr>
              <w:t>b</w:t>
            </w:r>
            <w:r>
              <w:t>: obtained from</w:t>
            </w:r>
            <w:r w:rsidR="001703E3">
              <w:t xml:space="preserve"> LiChrosolv hypergrade (Merck, Darmstadt, Germany)</w:t>
            </w:r>
          </w:p>
        </w:tc>
      </w:tr>
    </w:tbl>
    <w:p w14:paraId="3C8177F6" w14:textId="400CA2C4" w:rsidR="002A7C59" w:rsidRPr="002A7C59" w:rsidRDefault="002A7C59" w:rsidP="002A7C59"/>
    <w:p w14:paraId="4715BCD3" w14:textId="61B2F163" w:rsidR="00F82CEE" w:rsidRPr="00F82CEE" w:rsidRDefault="00F82CEE" w:rsidP="00F82CEE">
      <w:pPr>
        <w:sectPr w:rsidR="00F82CEE" w:rsidRPr="00F82CEE">
          <w:footerReference w:type="default" r:id="rId9"/>
          <w:pgSz w:w="11906" w:h="16838"/>
          <w:pgMar w:top="1417" w:right="1417" w:bottom="1417" w:left="1417" w:header="708" w:footer="708" w:gutter="0"/>
          <w:cols w:space="708"/>
          <w:docGrid w:linePitch="360"/>
        </w:sectPr>
      </w:pPr>
    </w:p>
    <w:p w14:paraId="3DDEC880" w14:textId="4F0A6D76" w:rsidR="00642466" w:rsidRDefault="00642466" w:rsidP="00642466">
      <w:pPr>
        <w:pStyle w:val="Bijschrift"/>
        <w:keepNext/>
      </w:pPr>
      <w:bookmarkStart w:id="4" w:name="_Toc226102327"/>
      <w:r w:rsidRPr="006974DD">
        <w:rPr>
          <w:rStyle w:val="TableFigTOCChar"/>
        </w:rPr>
        <w:lastRenderedPageBreak/>
        <w:t>Table S</w:t>
      </w:r>
      <w:r w:rsidRPr="006974DD">
        <w:rPr>
          <w:rStyle w:val="TableFigTOCChar"/>
        </w:rPr>
        <w:fldChar w:fldCharType="begin"/>
      </w:r>
      <w:r w:rsidRPr="006974DD">
        <w:rPr>
          <w:rStyle w:val="TableFigTOCChar"/>
        </w:rPr>
        <w:instrText xml:space="preserve"> SEQ Table_S \* ARABIC </w:instrText>
      </w:r>
      <w:r w:rsidRPr="006974DD">
        <w:rPr>
          <w:rStyle w:val="TableFigTOCChar"/>
        </w:rPr>
        <w:fldChar w:fldCharType="separate"/>
      </w:r>
      <w:r w:rsidR="005A3BBB" w:rsidRPr="006974DD">
        <w:rPr>
          <w:rStyle w:val="TableFigTOCChar"/>
        </w:rPr>
        <w:t>4</w:t>
      </w:r>
      <w:bookmarkEnd w:id="4"/>
      <w:r w:rsidRPr="006974DD">
        <w:rPr>
          <w:rStyle w:val="TableFigTOCChar"/>
        </w:rPr>
        <w:fldChar w:fldCharType="end"/>
      </w:r>
      <w:r>
        <w:t xml:space="preserve">. </w:t>
      </w:r>
      <w:r w:rsidRPr="00187607">
        <w:t>Processing parameters used for extraction ion mobilogram (EIM) data.</w:t>
      </w:r>
    </w:p>
    <w:tbl>
      <w:tblPr>
        <w:tblStyle w:val="Tabelraster"/>
        <w:tblW w:w="9067" w:type="dxa"/>
        <w:tblLook w:val="04A0" w:firstRow="1" w:lastRow="0" w:firstColumn="1" w:lastColumn="0" w:noHBand="0" w:noVBand="1"/>
      </w:tblPr>
      <w:tblGrid>
        <w:gridCol w:w="2830"/>
        <w:gridCol w:w="2552"/>
        <w:gridCol w:w="3685"/>
      </w:tblGrid>
      <w:tr w:rsidR="00E305A2" w14:paraId="2D1BB2CD" w14:textId="77777777" w:rsidTr="00734735">
        <w:tc>
          <w:tcPr>
            <w:tcW w:w="2830" w:type="dxa"/>
          </w:tcPr>
          <w:p w14:paraId="6CD6144C" w14:textId="77777777" w:rsidR="00E305A2" w:rsidRDefault="00E305A2" w:rsidP="001A7378">
            <w:pPr>
              <w:keepNext/>
              <w:keepLines/>
            </w:pPr>
          </w:p>
        </w:tc>
        <w:tc>
          <w:tcPr>
            <w:tcW w:w="2552" w:type="dxa"/>
          </w:tcPr>
          <w:p w14:paraId="6BD5A3D7" w14:textId="77777777" w:rsidR="00E305A2" w:rsidRPr="00A36470" w:rsidRDefault="00E305A2" w:rsidP="001A7378">
            <w:pPr>
              <w:keepNext/>
              <w:keepLines/>
              <w:rPr>
                <w:b/>
                <w:bCs/>
              </w:rPr>
            </w:pPr>
            <w:r w:rsidRPr="00A36470">
              <w:rPr>
                <w:b/>
                <w:bCs/>
              </w:rPr>
              <w:t>EIM summing</w:t>
            </w:r>
            <w:r w:rsidRPr="00A36470">
              <w:rPr>
                <w:b/>
                <w:bCs/>
                <w:vertAlign w:val="superscript"/>
              </w:rPr>
              <w:t>1</w:t>
            </w:r>
          </w:p>
        </w:tc>
        <w:tc>
          <w:tcPr>
            <w:tcW w:w="3685" w:type="dxa"/>
          </w:tcPr>
          <w:p w14:paraId="7DFB4F3C" w14:textId="0DA1340B" w:rsidR="00E305A2" w:rsidRPr="00A36470" w:rsidRDefault="00873AF5" w:rsidP="001A7378">
            <w:pPr>
              <w:keepNext/>
              <w:keepLines/>
              <w:rPr>
                <w:b/>
                <w:bCs/>
              </w:rPr>
            </w:pPr>
            <w:r>
              <w:rPr>
                <w:b/>
                <w:bCs/>
              </w:rPr>
              <w:t>EIM s</w:t>
            </w:r>
            <w:r w:rsidR="00E305A2" w:rsidRPr="00A36470">
              <w:rPr>
                <w:b/>
                <w:bCs/>
              </w:rPr>
              <w:t>moothing</w:t>
            </w:r>
          </w:p>
        </w:tc>
      </w:tr>
      <w:tr w:rsidR="00E305A2" w14:paraId="17DC5320" w14:textId="77777777" w:rsidTr="001A7378">
        <w:tc>
          <w:tcPr>
            <w:tcW w:w="9067" w:type="dxa"/>
            <w:gridSpan w:val="3"/>
          </w:tcPr>
          <w:p w14:paraId="1AA71BA5" w14:textId="77777777" w:rsidR="00E305A2" w:rsidRDefault="00E305A2" w:rsidP="001A7378">
            <w:pPr>
              <w:keepNext/>
              <w:keepLines/>
            </w:pPr>
            <w:r w:rsidRPr="00A36470">
              <w:rPr>
                <w:b/>
                <w:bCs/>
              </w:rPr>
              <w:t>AgilentST</w:t>
            </w:r>
          </w:p>
        </w:tc>
      </w:tr>
      <w:tr w:rsidR="00E305A2" w14:paraId="5AAF97DC" w14:textId="77777777" w:rsidTr="00734735">
        <w:trPr>
          <w:trHeight w:val="272"/>
        </w:trPr>
        <w:tc>
          <w:tcPr>
            <w:tcW w:w="2830" w:type="dxa"/>
          </w:tcPr>
          <w:p w14:paraId="7A6D9F5B" w14:textId="77777777" w:rsidR="00E305A2" w:rsidRPr="00920EC4" w:rsidRDefault="00E305A2" w:rsidP="001A7378">
            <w:pPr>
              <w:keepNext/>
              <w:keepLines/>
              <w:tabs>
                <w:tab w:val="center" w:pos="1024"/>
              </w:tabs>
              <w:rPr>
                <w:i/>
                <w:iCs/>
              </w:rPr>
            </w:pPr>
            <w:r w:rsidRPr="00920EC4">
              <w:rPr>
                <w:i/>
                <w:iCs/>
              </w:rPr>
              <w:t>Direct mobility assignment</w:t>
            </w:r>
          </w:p>
        </w:tc>
        <w:tc>
          <w:tcPr>
            <w:tcW w:w="2552" w:type="dxa"/>
          </w:tcPr>
          <w:p w14:paraId="5A8750C1" w14:textId="77777777" w:rsidR="00E305A2" w:rsidRDefault="00E305A2" w:rsidP="001A7378">
            <w:pPr>
              <w:keepNext/>
              <w:keepLines/>
            </w:pPr>
            <w:r>
              <w:t>None</w:t>
            </w:r>
          </w:p>
        </w:tc>
        <w:tc>
          <w:tcPr>
            <w:tcW w:w="3685" w:type="dxa"/>
          </w:tcPr>
          <w:p w14:paraId="1431EF22" w14:textId="77777777" w:rsidR="00E305A2" w:rsidRDefault="00E305A2" w:rsidP="001A7378">
            <w:pPr>
              <w:keepNext/>
              <w:keepLines/>
            </w:pPr>
            <w:r>
              <w:t>None</w:t>
            </w:r>
          </w:p>
        </w:tc>
      </w:tr>
      <w:tr w:rsidR="00E305A2" w14:paraId="0EAE0876" w14:textId="77777777" w:rsidTr="00734735">
        <w:tc>
          <w:tcPr>
            <w:tcW w:w="2830" w:type="dxa"/>
          </w:tcPr>
          <w:p w14:paraId="1D61A8B8" w14:textId="77777777" w:rsidR="00E305A2" w:rsidRPr="00920EC4" w:rsidRDefault="00E305A2" w:rsidP="001A7378">
            <w:pPr>
              <w:keepNext/>
              <w:keepLines/>
              <w:rPr>
                <w:i/>
                <w:iCs/>
              </w:rPr>
            </w:pPr>
            <w:r w:rsidRPr="00920EC4">
              <w:rPr>
                <w:i/>
                <w:iCs/>
              </w:rPr>
              <w:t>Post mobility assignment</w:t>
            </w:r>
          </w:p>
        </w:tc>
        <w:tc>
          <w:tcPr>
            <w:tcW w:w="2552" w:type="dxa"/>
          </w:tcPr>
          <w:p w14:paraId="46924D7F" w14:textId="0838B6EB" w:rsidR="00E305A2" w:rsidRDefault="00E305A2" w:rsidP="00DA1753">
            <w:r>
              <w:t>Peak</w:t>
            </w:r>
            <w:r w:rsidR="00734735" w:rsidRPr="00734735">
              <w:rPr>
                <w:vertAlign w:val="superscript"/>
              </w:rPr>
              <w:t>a</w:t>
            </w:r>
            <w:r w:rsidR="002A7641">
              <w:t xml:space="preserve"> </w:t>
            </w:r>
            <w:r w:rsidR="00DA1753" w:rsidRPr="00A67116">
              <w:t>(max ±</w:t>
            </w:r>
            <w:r w:rsidR="00DA1753">
              <w:t>4</w:t>
            </w:r>
            <w:r w:rsidR="00DA1753" w:rsidRPr="00A67116">
              <w:t xml:space="preserve"> seconds)</w:t>
            </w:r>
          </w:p>
        </w:tc>
        <w:tc>
          <w:tcPr>
            <w:tcW w:w="3685" w:type="dxa"/>
          </w:tcPr>
          <w:p w14:paraId="75B3D2E1" w14:textId="77777777" w:rsidR="00E305A2" w:rsidRDefault="00E305A2" w:rsidP="001A7378">
            <w:pPr>
              <w:keepNext/>
              <w:keepLines/>
            </w:pPr>
            <w:r>
              <w:t>None</w:t>
            </w:r>
          </w:p>
        </w:tc>
      </w:tr>
      <w:tr w:rsidR="00E305A2" w14:paraId="350DAD09" w14:textId="77777777" w:rsidTr="00734735">
        <w:tc>
          <w:tcPr>
            <w:tcW w:w="2830" w:type="dxa"/>
            <w:vAlign w:val="center"/>
          </w:tcPr>
          <w:p w14:paraId="4587611F" w14:textId="77777777" w:rsidR="00E305A2" w:rsidRPr="00920EC4" w:rsidRDefault="00E305A2" w:rsidP="004F0FAE">
            <w:pPr>
              <w:keepNext/>
              <w:keepLines/>
              <w:rPr>
                <w:i/>
                <w:iCs/>
              </w:rPr>
            </w:pPr>
            <w:r w:rsidRPr="00920EC4">
              <w:rPr>
                <w:i/>
                <w:iCs/>
              </w:rPr>
              <w:t>Vendor</w:t>
            </w:r>
          </w:p>
        </w:tc>
        <w:tc>
          <w:tcPr>
            <w:tcW w:w="2552" w:type="dxa"/>
          </w:tcPr>
          <w:p w14:paraId="75A5BC53" w14:textId="02CDF765" w:rsidR="00E305A2" w:rsidRDefault="0096724D" w:rsidP="001A7378">
            <w:pPr>
              <w:keepNext/>
              <w:keepLines/>
            </w:pPr>
            <w:r>
              <w:t>Peak</w:t>
            </w:r>
            <w:r w:rsidR="00734735" w:rsidRPr="00734735">
              <w:rPr>
                <w:vertAlign w:val="superscript"/>
              </w:rPr>
              <w:t>a</w:t>
            </w:r>
          </w:p>
        </w:tc>
        <w:tc>
          <w:tcPr>
            <w:tcW w:w="3685" w:type="dxa"/>
          </w:tcPr>
          <w:p w14:paraId="7236A2BA" w14:textId="1E153B13" w:rsidR="00E305A2" w:rsidRDefault="00430D48" w:rsidP="001A7378">
            <w:pPr>
              <w:keepNext/>
              <w:keepLines/>
            </w:pPr>
            <w:r>
              <w:t>None</w:t>
            </w:r>
          </w:p>
        </w:tc>
      </w:tr>
      <w:tr w:rsidR="00E305A2" w14:paraId="5DBD25CB" w14:textId="77777777" w:rsidTr="001A7378">
        <w:tc>
          <w:tcPr>
            <w:tcW w:w="9067" w:type="dxa"/>
            <w:gridSpan w:val="3"/>
          </w:tcPr>
          <w:p w14:paraId="68B408A9" w14:textId="7919C020" w:rsidR="00E305A2" w:rsidRDefault="00E305A2" w:rsidP="001A7378">
            <w:pPr>
              <w:keepNext/>
              <w:keepLines/>
            </w:pPr>
            <w:r w:rsidRPr="00A36470">
              <w:rPr>
                <w:b/>
                <w:bCs/>
              </w:rPr>
              <w:t>Bruker</w:t>
            </w:r>
            <w:r w:rsidR="00E14AAD">
              <w:rPr>
                <w:b/>
                <w:bCs/>
              </w:rPr>
              <w:t>Eff</w:t>
            </w:r>
          </w:p>
        </w:tc>
      </w:tr>
      <w:tr w:rsidR="00E305A2" w14:paraId="5997B53B" w14:textId="77777777" w:rsidTr="00734735">
        <w:tc>
          <w:tcPr>
            <w:tcW w:w="2830" w:type="dxa"/>
          </w:tcPr>
          <w:p w14:paraId="3C5FB3E3" w14:textId="77777777" w:rsidR="00E305A2" w:rsidRPr="00920EC4" w:rsidRDefault="00E305A2" w:rsidP="001A7378">
            <w:pPr>
              <w:keepNext/>
              <w:keepLines/>
              <w:rPr>
                <w:i/>
                <w:iCs/>
              </w:rPr>
            </w:pPr>
            <w:r w:rsidRPr="00920EC4">
              <w:rPr>
                <w:i/>
                <w:iCs/>
              </w:rPr>
              <w:t>Direct mobility assignment</w:t>
            </w:r>
          </w:p>
        </w:tc>
        <w:tc>
          <w:tcPr>
            <w:tcW w:w="2552" w:type="dxa"/>
          </w:tcPr>
          <w:p w14:paraId="3E84EED2" w14:textId="214B15C8" w:rsidR="00E305A2" w:rsidRDefault="00E305A2" w:rsidP="001A7378">
            <w:pPr>
              <w:keepNext/>
              <w:keepLines/>
            </w:pPr>
            <w:r>
              <w:t>Fixed (</w:t>
            </w:r>
            <w:r w:rsidR="00092CA2">
              <w:t>2s</w:t>
            </w:r>
            <w:r>
              <w:t>)</w:t>
            </w:r>
          </w:p>
        </w:tc>
        <w:tc>
          <w:tcPr>
            <w:tcW w:w="3685" w:type="dxa"/>
          </w:tcPr>
          <w:p w14:paraId="0CCAC296" w14:textId="77777777" w:rsidR="00E305A2" w:rsidRDefault="00E305A2" w:rsidP="001A7378">
            <w:pPr>
              <w:keepNext/>
              <w:keepLines/>
            </w:pPr>
            <w:r>
              <w:t>Centered moving average (n=15)</w:t>
            </w:r>
          </w:p>
        </w:tc>
      </w:tr>
      <w:tr w:rsidR="00E305A2" w14:paraId="5F60D809" w14:textId="77777777" w:rsidTr="00734735">
        <w:tc>
          <w:tcPr>
            <w:tcW w:w="2830" w:type="dxa"/>
          </w:tcPr>
          <w:p w14:paraId="2C106FE0" w14:textId="77777777" w:rsidR="00E305A2" w:rsidRPr="00920EC4" w:rsidRDefault="00E305A2" w:rsidP="001A7378">
            <w:pPr>
              <w:keepNext/>
              <w:keepLines/>
              <w:rPr>
                <w:i/>
                <w:iCs/>
              </w:rPr>
            </w:pPr>
            <w:r w:rsidRPr="00920EC4">
              <w:rPr>
                <w:i/>
                <w:iCs/>
              </w:rPr>
              <w:t>Post mobility assignment</w:t>
            </w:r>
          </w:p>
        </w:tc>
        <w:tc>
          <w:tcPr>
            <w:tcW w:w="2552" w:type="dxa"/>
          </w:tcPr>
          <w:p w14:paraId="0DA0BD3E" w14:textId="50562A09" w:rsidR="00E305A2" w:rsidRPr="008D2F10" w:rsidRDefault="00E305A2" w:rsidP="001A7378">
            <w:pPr>
              <w:keepNext/>
              <w:keepLines/>
            </w:pPr>
            <w:r>
              <w:t>Peak</w:t>
            </w:r>
            <w:r w:rsidR="00826E14">
              <w:rPr>
                <w:vertAlign w:val="superscript"/>
              </w:rPr>
              <w:t>a</w:t>
            </w:r>
            <w:r w:rsidR="008D2F10">
              <w:t xml:space="preserve"> </w:t>
            </w:r>
            <w:r w:rsidR="008D2F10" w:rsidRPr="00A67116">
              <w:t>(max ±</w:t>
            </w:r>
            <w:r w:rsidR="008D2F10">
              <w:t>4</w:t>
            </w:r>
            <w:r w:rsidR="008D2F10" w:rsidRPr="00A67116">
              <w:t xml:space="preserve"> seconds)</w:t>
            </w:r>
          </w:p>
        </w:tc>
        <w:tc>
          <w:tcPr>
            <w:tcW w:w="3685" w:type="dxa"/>
          </w:tcPr>
          <w:p w14:paraId="19EE207B" w14:textId="15ADE7F4" w:rsidR="00E305A2" w:rsidRDefault="00E305A2" w:rsidP="001A7378">
            <w:pPr>
              <w:keepNext/>
              <w:keepLines/>
            </w:pPr>
            <w:r>
              <w:t>S</w:t>
            </w:r>
            <w:r w:rsidRPr="0094435E">
              <w:t>avitzky</w:t>
            </w:r>
            <w:r>
              <w:t>-Golay (n=</w:t>
            </w:r>
            <w:r w:rsidR="00A67116">
              <w:t>31</w:t>
            </w:r>
            <w:r w:rsidR="001F1826" w:rsidRPr="001F1826">
              <w:rPr>
                <w:vertAlign w:val="superscript"/>
              </w:rPr>
              <w:t>b</w:t>
            </w:r>
            <w:r>
              <w:t>)</w:t>
            </w:r>
          </w:p>
        </w:tc>
      </w:tr>
      <w:tr w:rsidR="00E305A2" w14:paraId="2D86F8EB" w14:textId="77777777" w:rsidTr="00734735">
        <w:tc>
          <w:tcPr>
            <w:tcW w:w="2830" w:type="dxa"/>
            <w:tcBorders>
              <w:bottom w:val="single" w:sz="4" w:space="0" w:color="auto"/>
            </w:tcBorders>
          </w:tcPr>
          <w:p w14:paraId="214CCACE" w14:textId="77777777" w:rsidR="00E305A2" w:rsidRPr="00920EC4" w:rsidRDefault="00E305A2" w:rsidP="001A7378">
            <w:pPr>
              <w:keepNext/>
              <w:keepLines/>
              <w:rPr>
                <w:i/>
                <w:iCs/>
              </w:rPr>
            </w:pPr>
            <w:r w:rsidRPr="00920EC4">
              <w:rPr>
                <w:i/>
                <w:iCs/>
              </w:rPr>
              <w:t>Vendor</w:t>
            </w:r>
          </w:p>
        </w:tc>
        <w:tc>
          <w:tcPr>
            <w:tcW w:w="2552" w:type="dxa"/>
            <w:tcBorders>
              <w:bottom w:val="single" w:sz="4" w:space="0" w:color="auto"/>
            </w:tcBorders>
          </w:tcPr>
          <w:p w14:paraId="1A0D0C24" w14:textId="30BDB6B4" w:rsidR="00E305A2" w:rsidRDefault="00E305A2" w:rsidP="001A7378">
            <w:pPr>
              <w:keepNext/>
              <w:keepLines/>
            </w:pPr>
            <w:r>
              <w:t>Peak</w:t>
            </w:r>
            <w:r w:rsidR="00826E14">
              <w:rPr>
                <w:vertAlign w:val="superscript"/>
              </w:rPr>
              <w:t>a</w:t>
            </w:r>
          </w:p>
        </w:tc>
        <w:tc>
          <w:tcPr>
            <w:tcW w:w="3685" w:type="dxa"/>
            <w:tcBorders>
              <w:bottom w:val="single" w:sz="4" w:space="0" w:color="auto"/>
            </w:tcBorders>
          </w:tcPr>
          <w:p w14:paraId="0197899D" w14:textId="7E355871" w:rsidR="00E305A2" w:rsidRDefault="00E305A2" w:rsidP="001A7378">
            <w:pPr>
              <w:keepNext/>
              <w:keepLines/>
            </w:pPr>
            <w:r>
              <w:t>S</w:t>
            </w:r>
            <w:r w:rsidRPr="0094435E">
              <w:t>avitzky</w:t>
            </w:r>
            <w:r>
              <w:t>-Golay (n=15</w:t>
            </w:r>
            <w:r w:rsidR="002E0172" w:rsidRPr="00A63D18">
              <w:rPr>
                <w:vertAlign w:val="superscript"/>
              </w:rPr>
              <w:t>b</w:t>
            </w:r>
            <w:r>
              <w:t>)</w:t>
            </w:r>
          </w:p>
        </w:tc>
      </w:tr>
      <w:tr w:rsidR="00E305A2" w14:paraId="08FF86DB" w14:textId="77777777" w:rsidTr="001A7378">
        <w:tc>
          <w:tcPr>
            <w:tcW w:w="9067" w:type="dxa"/>
            <w:gridSpan w:val="3"/>
            <w:tcBorders>
              <w:left w:val="nil"/>
              <w:bottom w:val="nil"/>
              <w:right w:val="nil"/>
            </w:tcBorders>
          </w:tcPr>
          <w:p w14:paraId="2E0821A5" w14:textId="338C7CFA" w:rsidR="00E305A2" w:rsidRPr="00A67116" w:rsidRDefault="00D133BD" w:rsidP="001A7378">
            <w:pPr>
              <w:keepLines/>
              <w:rPr>
                <w:sz w:val="20"/>
                <w:szCs w:val="20"/>
                <w:vertAlign w:val="superscript"/>
              </w:rPr>
            </w:pPr>
            <w:r>
              <w:rPr>
                <w:sz w:val="20"/>
                <w:szCs w:val="20"/>
                <w:vertAlign w:val="superscript"/>
              </w:rPr>
              <w:t>a</w:t>
            </w:r>
            <w:r w:rsidR="00E305A2" w:rsidRPr="00A67116">
              <w:rPr>
                <w:sz w:val="20"/>
                <w:szCs w:val="20"/>
              </w:rPr>
              <w:t xml:space="preserve">: </w:t>
            </w:r>
            <w:r w:rsidR="00FF5B03">
              <w:rPr>
                <w:sz w:val="20"/>
                <w:szCs w:val="20"/>
              </w:rPr>
              <w:t>S</w:t>
            </w:r>
            <w:r w:rsidR="00E305A2" w:rsidRPr="00A67116">
              <w:rPr>
                <w:sz w:val="20"/>
                <w:szCs w:val="20"/>
              </w:rPr>
              <w:t xml:space="preserve">ummation of EIMs across the chromatographic peak; </w:t>
            </w:r>
            <w:r>
              <w:rPr>
                <w:sz w:val="20"/>
                <w:szCs w:val="20"/>
                <w:vertAlign w:val="superscript"/>
              </w:rPr>
              <w:t>b</w:t>
            </w:r>
            <w:r w:rsidR="00E305A2" w:rsidRPr="00A67116">
              <w:rPr>
                <w:sz w:val="20"/>
                <w:szCs w:val="20"/>
              </w:rPr>
              <w:t xml:space="preserve">: </w:t>
            </w:r>
            <w:r w:rsidR="002E0172">
              <w:rPr>
                <w:sz w:val="20"/>
                <w:szCs w:val="20"/>
              </w:rPr>
              <w:t xml:space="preserve">the reported </w:t>
            </w:r>
            <w:r w:rsidR="00502FC3">
              <w:rPr>
                <w:sz w:val="20"/>
                <w:szCs w:val="20"/>
              </w:rPr>
              <w:t xml:space="preserve">smoothing width </w:t>
            </w:r>
            <w:r w:rsidR="00F94080">
              <w:rPr>
                <w:sz w:val="20"/>
                <w:szCs w:val="20"/>
              </w:rPr>
              <w:t>of the vendor visually appeared to</w:t>
            </w:r>
            <w:r w:rsidR="00C75C0F">
              <w:rPr>
                <w:sz w:val="20"/>
                <w:szCs w:val="20"/>
              </w:rPr>
              <w:t xml:space="preserve"> be</w:t>
            </w:r>
            <w:r w:rsidR="00F94080">
              <w:rPr>
                <w:sz w:val="20"/>
                <w:szCs w:val="20"/>
              </w:rPr>
              <w:t xml:space="preserve"> ~50% </w:t>
            </w:r>
            <w:r w:rsidR="00C75C0F">
              <w:rPr>
                <w:sz w:val="20"/>
                <w:szCs w:val="20"/>
              </w:rPr>
              <w:t xml:space="preserve">of </w:t>
            </w:r>
            <w:r w:rsidR="00F94080">
              <w:rPr>
                <w:sz w:val="20"/>
                <w:szCs w:val="20"/>
              </w:rPr>
              <w:t xml:space="preserve">the width </w:t>
            </w:r>
            <w:r w:rsidR="00C75C0F">
              <w:rPr>
                <w:sz w:val="20"/>
                <w:szCs w:val="20"/>
              </w:rPr>
              <w:t xml:space="preserve">as </w:t>
            </w:r>
            <w:r w:rsidR="00F94080">
              <w:rPr>
                <w:sz w:val="20"/>
                <w:szCs w:val="20"/>
              </w:rPr>
              <w:t>used by the</w:t>
            </w:r>
            <w:r w:rsidR="006B3234">
              <w:rPr>
                <w:sz w:val="20"/>
                <w:szCs w:val="20"/>
              </w:rPr>
              <w:t xml:space="preserve"> smoothing implementation of </w:t>
            </w:r>
            <w:r w:rsidR="006B3234" w:rsidRPr="00C75C0F">
              <w:rPr>
                <w:i/>
                <w:iCs/>
                <w:sz w:val="20"/>
                <w:szCs w:val="20"/>
              </w:rPr>
              <w:t>patRoon</w:t>
            </w:r>
            <w:r w:rsidR="006B3234">
              <w:rPr>
                <w:sz w:val="20"/>
                <w:szCs w:val="20"/>
              </w:rPr>
              <w:t>.</w:t>
            </w:r>
          </w:p>
        </w:tc>
      </w:tr>
    </w:tbl>
    <w:p w14:paraId="51EF8535" w14:textId="4C92F169" w:rsidR="007D1E3D" w:rsidRDefault="007D1E3D" w:rsidP="00E305A2"/>
    <w:p w14:paraId="58102014" w14:textId="14356086" w:rsidR="000D5307" w:rsidRDefault="000D5307" w:rsidP="000D5307">
      <w:pPr>
        <w:pStyle w:val="Bijschrift"/>
        <w:keepNext/>
      </w:pPr>
      <w:bookmarkStart w:id="5" w:name="_Toc226102328"/>
      <w:r w:rsidRPr="006974DD">
        <w:rPr>
          <w:rStyle w:val="TableFigTOCChar"/>
        </w:rPr>
        <w:t>Table S</w:t>
      </w:r>
      <w:r w:rsidRPr="006974DD">
        <w:rPr>
          <w:rStyle w:val="TableFigTOCChar"/>
        </w:rPr>
        <w:fldChar w:fldCharType="begin"/>
      </w:r>
      <w:r w:rsidRPr="006974DD">
        <w:rPr>
          <w:rStyle w:val="TableFigTOCChar"/>
        </w:rPr>
        <w:instrText xml:space="preserve"> SEQ Table_S \* ARABIC </w:instrText>
      </w:r>
      <w:r w:rsidRPr="006974DD">
        <w:rPr>
          <w:rStyle w:val="TableFigTOCChar"/>
        </w:rPr>
        <w:fldChar w:fldCharType="separate"/>
      </w:r>
      <w:r w:rsidR="005A3BBB" w:rsidRPr="006974DD">
        <w:rPr>
          <w:rStyle w:val="TableFigTOCChar"/>
        </w:rPr>
        <w:t>5</w:t>
      </w:r>
      <w:bookmarkEnd w:id="5"/>
      <w:r w:rsidRPr="006974DD">
        <w:rPr>
          <w:rStyle w:val="TableFigTOCChar"/>
        </w:rPr>
        <w:fldChar w:fldCharType="end"/>
      </w:r>
      <w:r>
        <w:t xml:space="preserve">. </w:t>
      </w:r>
      <w:r w:rsidR="00F40841">
        <w:t xml:space="preserve">EIMs obtained with direct and post mobility assignment for four </w:t>
      </w:r>
      <w:r w:rsidR="00C041AC">
        <w:t xml:space="preserve">unknown </w:t>
      </w:r>
      <w:r w:rsidR="00F40841">
        <w:t>features</w:t>
      </w:r>
      <w:r w:rsidR="00C041AC">
        <w:t xml:space="preserve"> </w:t>
      </w:r>
      <w:r w:rsidR="00DB7AF7">
        <w:t>with</w:t>
      </w:r>
      <w:r w:rsidR="00DB7AF7" w:rsidRPr="003362E7">
        <w:t xml:space="preserve"> deviating </w:t>
      </w:r>
      <w:r w:rsidR="00DB7AF7">
        <w:t>CCS</w:t>
      </w:r>
      <w:r w:rsidR="00DB7AF7" w:rsidRPr="003362E7">
        <w:t xml:space="preserve"> data</w:t>
      </w:r>
      <w:r w:rsidR="00DB7AF7">
        <w:t xml:space="preserve"> </w:t>
      </w:r>
      <w:r w:rsidR="00C041AC">
        <w:t xml:space="preserve">from </w:t>
      </w:r>
      <w:r w:rsidR="00C041AC" w:rsidRPr="00C041AC">
        <w:rPr>
          <w:i w:val="0"/>
          <w:iCs w:val="0"/>
        </w:rPr>
        <w:t>BrukerEff</w:t>
      </w:r>
      <w:r w:rsidR="00C041AC">
        <w:t xml:space="preserve"> </w:t>
      </w:r>
      <w:r w:rsidRPr="003362E7">
        <w:t>.</w:t>
      </w:r>
    </w:p>
    <w:tbl>
      <w:tblPr>
        <w:tblStyle w:val="Tabelraster"/>
        <w:tblW w:w="0" w:type="auto"/>
        <w:tblLook w:val="04A0" w:firstRow="1" w:lastRow="0" w:firstColumn="1" w:lastColumn="0" w:noHBand="0" w:noVBand="1"/>
      </w:tblPr>
      <w:tblGrid>
        <w:gridCol w:w="3114"/>
        <w:gridCol w:w="3402"/>
      </w:tblGrid>
      <w:tr w:rsidR="007F6DE7" w14:paraId="24A83A24" w14:textId="77777777" w:rsidTr="00DB7AF7">
        <w:tc>
          <w:tcPr>
            <w:tcW w:w="3114" w:type="dxa"/>
          </w:tcPr>
          <w:p w14:paraId="5A84FA70" w14:textId="01DC1A7A" w:rsidR="007F6DE7" w:rsidRPr="00502B6C" w:rsidRDefault="007F6DE7" w:rsidP="00921FC7">
            <w:pPr>
              <w:keepNext/>
              <w:keepLines/>
              <w:jc w:val="center"/>
              <w:rPr>
                <w:b/>
                <w:bCs/>
              </w:rPr>
            </w:pPr>
            <w:r w:rsidRPr="00502B6C">
              <w:rPr>
                <w:b/>
                <w:bCs/>
              </w:rPr>
              <w:t>Direct mobility assignment</w:t>
            </w:r>
          </w:p>
        </w:tc>
        <w:tc>
          <w:tcPr>
            <w:tcW w:w="3402" w:type="dxa"/>
          </w:tcPr>
          <w:p w14:paraId="3A889426" w14:textId="77777777" w:rsidR="007F6DE7" w:rsidRPr="00502B6C" w:rsidRDefault="007F6DE7" w:rsidP="00921FC7">
            <w:pPr>
              <w:keepNext/>
              <w:keepLines/>
              <w:jc w:val="center"/>
              <w:rPr>
                <w:b/>
                <w:bCs/>
              </w:rPr>
            </w:pPr>
            <w:r w:rsidRPr="00502B6C">
              <w:rPr>
                <w:b/>
                <w:bCs/>
              </w:rPr>
              <w:t>Post mobility assignment</w:t>
            </w:r>
          </w:p>
        </w:tc>
      </w:tr>
      <w:tr w:rsidR="007F6DE7" w14:paraId="16974482" w14:textId="77777777" w:rsidTr="00DB7AF7">
        <w:tc>
          <w:tcPr>
            <w:tcW w:w="3114" w:type="dxa"/>
          </w:tcPr>
          <w:p w14:paraId="64F22FCD" w14:textId="7157CC3E" w:rsidR="007F6DE7" w:rsidRDefault="007F6DE7" w:rsidP="00DB7AF7">
            <w:pPr>
              <w:keepNext/>
              <w:keepLines/>
              <w:jc w:val="center"/>
            </w:pPr>
            <w:r>
              <w:rPr>
                <w:i/>
                <w:iCs/>
                <w:noProof/>
              </w:rPr>
              <w:drawing>
                <wp:inline distT="0" distB="0" distL="0" distR="0" wp14:anchorId="2A0D317F" wp14:editId="5CB68C37">
                  <wp:extent cx="1472400" cy="1263600"/>
                  <wp:effectExtent l="0" t="0" r="0" b="0"/>
                  <wp:docPr id="21048043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2400" cy="1263600"/>
                          </a:xfrm>
                          <a:prstGeom prst="rect">
                            <a:avLst/>
                          </a:prstGeom>
                          <a:noFill/>
                          <a:ln>
                            <a:noFill/>
                          </a:ln>
                        </pic:spPr>
                      </pic:pic>
                    </a:graphicData>
                  </a:graphic>
                </wp:inline>
              </w:drawing>
            </w:r>
          </w:p>
        </w:tc>
        <w:tc>
          <w:tcPr>
            <w:tcW w:w="3402" w:type="dxa"/>
          </w:tcPr>
          <w:p w14:paraId="3A20C7A1" w14:textId="1C820640" w:rsidR="007F6DE7" w:rsidRDefault="007F6DE7" w:rsidP="00DB7AF7">
            <w:pPr>
              <w:keepNext/>
              <w:keepLines/>
              <w:jc w:val="center"/>
            </w:pPr>
            <w:r>
              <w:rPr>
                <w:noProof/>
              </w:rPr>
              <w:drawing>
                <wp:inline distT="0" distB="0" distL="0" distR="0" wp14:anchorId="524C1318" wp14:editId="166FDE79">
                  <wp:extent cx="1472400" cy="1263600"/>
                  <wp:effectExtent l="0" t="0" r="0" b="0"/>
                  <wp:docPr id="20060198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2400" cy="1263600"/>
                          </a:xfrm>
                          <a:prstGeom prst="rect">
                            <a:avLst/>
                          </a:prstGeom>
                          <a:noFill/>
                          <a:ln>
                            <a:noFill/>
                          </a:ln>
                        </pic:spPr>
                      </pic:pic>
                    </a:graphicData>
                  </a:graphic>
                </wp:inline>
              </w:drawing>
            </w:r>
          </w:p>
        </w:tc>
      </w:tr>
      <w:tr w:rsidR="007F6DE7" w14:paraId="5A4F7337" w14:textId="77777777" w:rsidTr="00DB7AF7">
        <w:tc>
          <w:tcPr>
            <w:tcW w:w="3114" w:type="dxa"/>
          </w:tcPr>
          <w:p w14:paraId="616E7307" w14:textId="3454872D" w:rsidR="007F6DE7" w:rsidRDefault="007F6DE7" w:rsidP="00DB7AF7">
            <w:pPr>
              <w:keepNext/>
              <w:keepLines/>
              <w:jc w:val="center"/>
            </w:pPr>
            <w:r>
              <w:rPr>
                <w:noProof/>
              </w:rPr>
              <w:drawing>
                <wp:inline distT="0" distB="0" distL="0" distR="0" wp14:anchorId="50A314A7" wp14:editId="45741EE3">
                  <wp:extent cx="1472400" cy="1263600"/>
                  <wp:effectExtent l="0" t="0" r="0" b="0"/>
                  <wp:docPr id="153889162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2400" cy="1263600"/>
                          </a:xfrm>
                          <a:prstGeom prst="rect">
                            <a:avLst/>
                          </a:prstGeom>
                          <a:noFill/>
                          <a:ln>
                            <a:noFill/>
                          </a:ln>
                        </pic:spPr>
                      </pic:pic>
                    </a:graphicData>
                  </a:graphic>
                </wp:inline>
              </w:drawing>
            </w:r>
          </w:p>
        </w:tc>
        <w:tc>
          <w:tcPr>
            <w:tcW w:w="3402" w:type="dxa"/>
          </w:tcPr>
          <w:p w14:paraId="653FC402" w14:textId="5D38F857" w:rsidR="007F6DE7" w:rsidRDefault="007F6DE7" w:rsidP="00DB7AF7">
            <w:pPr>
              <w:keepNext/>
              <w:keepLines/>
              <w:jc w:val="center"/>
            </w:pPr>
            <w:r>
              <w:rPr>
                <w:noProof/>
              </w:rPr>
              <w:drawing>
                <wp:inline distT="0" distB="0" distL="0" distR="0" wp14:anchorId="01E45490" wp14:editId="12D1D1F2">
                  <wp:extent cx="1472400" cy="1263600"/>
                  <wp:effectExtent l="0" t="0" r="0" b="0"/>
                  <wp:docPr id="7480513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2400" cy="1263600"/>
                          </a:xfrm>
                          <a:prstGeom prst="rect">
                            <a:avLst/>
                          </a:prstGeom>
                          <a:noFill/>
                          <a:ln>
                            <a:noFill/>
                          </a:ln>
                        </pic:spPr>
                      </pic:pic>
                    </a:graphicData>
                  </a:graphic>
                </wp:inline>
              </w:drawing>
            </w:r>
          </w:p>
        </w:tc>
      </w:tr>
      <w:tr w:rsidR="007F6DE7" w14:paraId="7FE25E8C" w14:textId="77777777" w:rsidTr="00DB7AF7">
        <w:tc>
          <w:tcPr>
            <w:tcW w:w="3114" w:type="dxa"/>
          </w:tcPr>
          <w:p w14:paraId="73ACCBBF" w14:textId="3C8B6738" w:rsidR="007F6DE7" w:rsidRDefault="007F6DE7" w:rsidP="00DB7AF7">
            <w:pPr>
              <w:keepNext/>
              <w:keepLines/>
              <w:jc w:val="center"/>
            </w:pPr>
            <w:r>
              <w:rPr>
                <w:noProof/>
              </w:rPr>
              <w:drawing>
                <wp:inline distT="0" distB="0" distL="0" distR="0" wp14:anchorId="18CFCDCA" wp14:editId="21620011">
                  <wp:extent cx="1472400" cy="1263600"/>
                  <wp:effectExtent l="0" t="0" r="0" b="0"/>
                  <wp:docPr id="150897679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2400" cy="1263600"/>
                          </a:xfrm>
                          <a:prstGeom prst="rect">
                            <a:avLst/>
                          </a:prstGeom>
                          <a:noFill/>
                          <a:ln>
                            <a:noFill/>
                          </a:ln>
                        </pic:spPr>
                      </pic:pic>
                    </a:graphicData>
                  </a:graphic>
                </wp:inline>
              </w:drawing>
            </w:r>
          </w:p>
        </w:tc>
        <w:tc>
          <w:tcPr>
            <w:tcW w:w="3402" w:type="dxa"/>
          </w:tcPr>
          <w:p w14:paraId="47115B24" w14:textId="2BF84D47" w:rsidR="007F6DE7" w:rsidRDefault="007F6DE7" w:rsidP="00DB7AF7">
            <w:pPr>
              <w:keepNext/>
              <w:keepLines/>
              <w:jc w:val="center"/>
            </w:pPr>
            <w:r>
              <w:rPr>
                <w:noProof/>
              </w:rPr>
              <w:drawing>
                <wp:inline distT="0" distB="0" distL="0" distR="0" wp14:anchorId="3476E8D3" wp14:editId="47A95023">
                  <wp:extent cx="1472400" cy="1263600"/>
                  <wp:effectExtent l="0" t="0" r="0" b="0"/>
                  <wp:docPr id="192778682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72400" cy="1263600"/>
                          </a:xfrm>
                          <a:prstGeom prst="rect">
                            <a:avLst/>
                          </a:prstGeom>
                          <a:noFill/>
                          <a:ln>
                            <a:noFill/>
                          </a:ln>
                        </pic:spPr>
                      </pic:pic>
                    </a:graphicData>
                  </a:graphic>
                </wp:inline>
              </w:drawing>
            </w:r>
          </w:p>
        </w:tc>
      </w:tr>
      <w:tr w:rsidR="007F6DE7" w14:paraId="492DDE36" w14:textId="77777777" w:rsidTr="009C44A7">
        <w:trPr>
          <w:trHeight w:val="2095"/>
        </w:trPr>
        <w:tc>
          <w:tcPr>
            <w:tcW w:w="3114" w:type="dxa"/>
          </w:tcPr>
          <w:p w14:paraId="357D188E" w14:textId="2DF6E06D" w:rsidR="007F6DE7" w:rsidRDefault="007F6DE7" w:rsidP="00DB7AF7">
            <w:pPr>
              <w:keepNext/>
              <w:keepLines/>
              <w:jc w:val="center"/>
            </w:pPr>
            <w:r>
              <w:rPr>
                <w:noProof/>
              </w:rPr>
              <w:drawing>
                <wp:inline distT="0" distB="0" distL="0" distR="0" wp14:anchorId="70DC3D1D" wp14:editId="58BFE9E2">
                  <wp:extent cx="1475117" cy="1265295"/>
                  <wp:effectExtent l="0" t="0" r="0" b="0"/>
                  <wp:docPr id="2143716405"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0092" cy="1269562"/>
                          </a:xfrm>
                          <a:prstGeom prst="rect">
                            <a:avLst/>
                          </a:prstGeom>
                          <a:noFill/>
                          <a:ln>
                            <a:noFill/>
                          </a:ln>
                        </pic:spPr>
                      </pic:pic>
                    </a:graphicData>
                  </a:graphic>
                </wp:inline>
              </w:drawing>
            </w:r>
          </w:p>
        </w:tc>
        <w:tc>
          <w:tcPr>
            <w:tcW w:w="3402" w:type="dxa"/>
          </w:tcPr>
          <w:p w14:paraId="1B23D84E" w14:textId="1DC27B6F" w:rsidR="007F6DE7" w:rsidRDefault="007F6DE7" w:rsidP="00DB7AF7">
            <w:pPr>
              <w:keepNext/>
              <w:keepLines/>
              <w:jc w:val="center"/>
            </w:pPr>
            <w:r>
              <w:rPr>
                <w:noProof/>
              </w:rPr>
              <w:drawing>
                <wp:inline distT="0" distB="0" distL="0" distR="0" wp14:anchorId="3881D1F1" wp14:editId="557C6CAD">
                  <wp:extent cx="1472400" cy="1263600"/>
                  <wp:effectExtent l="0" t="0" r="0" b="0"/>
                  <wp:docPr id="819710273"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2400" cy="1263600"/>
                          </a:xfrm>
                          <a:prstGeom prst="rect">
                            <a:avLst/>
                          </a:prstGeom>
                          <a:noFill/>
                          <a:ln>
                            <a:noFill/>
                          </a:ln>
                        </pic:spPr>
                      </pic:pic>
                    </a:graphicData>
                  </a:graphic>
                </wp:inline>
              </w:drawing>
            </w:r>
          </w:p>
        </w:tc>
      </w:tr>
    </w:tbl>
    <w:p w14:paraId="13F8C057" w14:textId="77777777" w:rsidR="00557514" w:rsidRDefault="00557514" w:rsidP="001126E3"/>
    <w:p w14:paraId="3B72773E" w14:textId="38906538" w:rsidR="007F277F" w:rsidRDefault="007F277F" w:rsidP="007F277F">
      <w:pPr>
        <w:pStyle w:val="Kop1"/>
      </w:pPr>
      <w:bookmarkStart w:id="6" w:name="_Toc226102329"/>
      <w:r>
        <w:lastRenderedPageBreak/>
        <w:t>Supplementary figures</w:t>
      </w:r>
      <w:bookmarkEnd w:id="6"/>
    </w:p>
    <w:p w14:paraId="7B81ACE8" w14:textId="77777777" w:rsidR="00CB5424" w:rsidRDefault="00CB5424" w:rsidP="00CB5424">
      <w:pPr>
        <w:keepNext/>
      </w:pPr>
      <w:r>
        <w:rPr>
          <w:noProof/>
        </w:rPr>
        <w:drawing>
          <wp:inline distT="0" distB="0" distL="0" distR="0" wp14:anchorId="51B3E063" wp14:editId="7CB40E87">
            <wp:extent cx="3049200" cy="3049200"/>
            <wp:effectExtent l="0" t="0" r="0" b="0"/>
            <wp:docPr id="1170420768" name="Afbeelding 8" descr="Afbeelding met tekst, diagram, lijn,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420768" name="Afbeelding 8" descr="Afbeelding met tekst, diagram, lijn, Perceel&#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9200" cy="3049200"/>
                    </a:xfrm>
                    <a:prstGeom prst="rect">
                      <a:avLst/>
                    </a:prstGeom>
                    <a:noFill/>
                    <a:ln>
                      <a:noFill/>
                    </a:ln>
                  </pic:spPr>
                </pic:pic>
              </a:graphicData>
            </a:graphic>
          </wp:inline>
        </w:drawing>
      </w:r>
    </w:p>
    <w:p w14:paraId="38D33E76" w14:textId="34E6B47B" w:rsidR="00CB5424" w:rsidRDefault="00CB5424" w:rsidP="00CB5424">
      <w:pPr>
        <w:pStyle w:val="Bijschrift"/>
      </w:pPr>
      <w:bookmarkStart w:id="7" w:name="_Toc226102330"/>
      <w:r w:rsidRPr="006974DD">
        <w:rPr>
          <w:rStyle w:val="TableFigTOCChar"/>
        </w:rPr>
        <w:t>Figure S</w:t>
      </w:r>
      <w:r w:rsidRPr="006974DD">
        <w:rPr>
          <w:rStyle w:val="TableFigTOCChar"/>
        </w:rPr>
        <w:fldChar w:fldCharType="begin"/>
      </w:r>
      <w:r w:rsidRPr="006974DD">
        <w:rPr>
          <w:rStyle w:val="TableFigTOCChar"/>
        </w:rPr>
        <w:instrText xml:space="preserve"> SEQ Figure_S \* ARABIC </w:instrText>
      </w:r>
      <w:r w:rsidRPr="006974DD">
        <w:rPr>
          <w:rStyle w:val="TableFigTOCChar"/>
        </w:rPr>
        <w:fldChar w:fldCharType="separate"/>
      </w:r>
      <w:r w:rsidRPr="006974DD">
        <w:rPr>
          <w:rStyle w:val="TableFigTOCChar"/>
        </w:rPr>
        <w:t>1</w:t>
      </w:r>
      <w:bookmarkEnd w:id="7"/>
      <w:r w:rsidRPr="006974DD">
        <w:rPr>
          <w:rStyle w:val="TableFigTOCChar"/>
        </w:rPr>
        <w:fldChar w:fldCharType="end"/>
      </w:r>
      <w:r w:rsidR="0032671C">
        <w:t xml:space="preserve">. </w:t>
      </w:r>
      <w:r w:rsidRPr="00B23542">
        <w:t xml:space="preserve">Illustration on how summing EIM data over the chromatographic peak and subsequent smoothing improves the mobility determination for two compounds in the </w:t>
      </w:r>
      <w:r w:rsidRPr="00572292">
        <w:rPr>
          <w:i w:val="0"/>
          <w:iCs w:val="0"/>
        </w:rPr>
        <w:t>BrukerEff</w:t>
      </w:r>
      <w:r w:rsidRPr="00B23542">
        <w:t xml:space="preserve"> dataset</w:t>
      </w:r>
      <w: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3546"/>
      </w:tblGrid>
      <w:tr w:rsidR="00CB5424" w14:paraId="19D5E88D" w14:textId="77777777" w:rsidTr="00DE6776">
        <w:tc>
          <w:tcPr>
            <w:tcW w:w="3585" w:type="dxa"/>
          </w:tcPr>
          <w:p w14:paraId="1B100A37" w14:textId="77777777" w:rsidR="00CB5424" w:rsidRDefault="00CB5424" w:rsidP="00DE6776">
            <w:pPr>
              <w:keepNext/>
              <w:keepLines/>
            </w:pPr>
            <w:r w:rsidRPr="00950D50">
              <w:rPr>
                <w:b/>
                <w:bCs/>
              </w:rPr>
              <w:t>a</w:t>
            </w:r>
            <w:r>
              <w:rPr>
                <w:noProof/>
              </w:rPr>
              <w:drawing>
                <wp:inline distT="0" distB="0" distL="0" distR="0" wp14:anchorId="229E45B5" wp14:editId="2CE5038D">
                  <wp:extent cx="2080800" cy="1782000"/>
                  <wp:effectExtent l="0" t="0" r="0" b="8890"/>
                  <wp:docPr id="1272644201" name="Afbeelding 15" descr="Afbeelding met tekst, schermopname, diagram,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644201" name="Afbeelding 15" descr="Afbeelding met tekst, schermopname, diagram, lijn&#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0800" cy="1782000"/>
                          </a:xfrm>
                          <a:prstGeom prst="rect">
                            <a:avLst/>
                          </a:prstGeom>
                          <a:noFill/>
                          <a:ln>
                            <a:noFill/>
                          </a:ln>
                        </pic:spPr>
                      </pic:pic>
                    </a:graphicData>
                  </a:graphic>
                </wp:inline>
              </w:drawing>
            </w:r>
          </w:p>
        </w:tc>
        <w:tc>
          <w:tcPr>
            <w:tcW w:w="3546" w:type="dxa"/>
          </w:tcPr>
          <w:p w14:paraId="51648F2F" w14:textId="77777777" w:rsidR="00CB5424" w:rsidRDefault="00CB5424" w:rsidP="00DE6776">
            <w:pPr>
              <w:keepNext/>
              <w:keepLines/>
            </w:pPr>
            <w:r w:rsidRPr="00950D50">
              <w:rPr>
                <w:b/>
                <w:bCs/>
              </w:rPr>
              <w:t>b</w:t>
            </w:r>
            <w:r>
              <w:rPr>
                <w:noProof/>
              </w:rPr>
              <w:drawing>
                <wp:inline distT="0" distB="0" distL="0" distR="0" wp14:anchorId="68C6070C" wp14:editId="10093480">
                  <wp:extent cx="2080800" cy="1782000"/>
                  <wp:effectExtent l="0" t="0" r="0" b="8890"/>
                  <wp:docPr id="209731162" name="Afbeelding 16" descr="Afbeelding met tekst, diagram, schermopname,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31162" name="Afbeelding 16" descr="Afbeelding met tekst, diagram, schermopname, lijn&#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0800" cy="1782000"/>
                          </a:xfrm>
                          <a:prstGeom prst="rect">
                            <a:avLst/>
                          </a:prstGeom>
                          <a:noFill/>
                          <a:ln>
                            <a:noFill/>
                          </a:ln>
                        </pic:spPr>
                      </pic:pic>
                    </a:graphicData>
                  </a:graphic>
                </wp:inline>
              </w:drawing>
            </w:r>
          </w:p>
        </w:tc>
      </w:tr>
    </w:tbl>
    <w:p w14:paraId="3E4720F8" w14:textId="77777777" w:rsidR="00CB5424" w:rsidRDefault="00CB5424" w:rsidP="00CB5424">
      <w:pPr>
        <w:pStyle w:val="Bijschrift"/>
        <w:keepNext/>
        <w:keepLines/>
      </w:pPr>
      <w:bookmarkStart w:id="8" w:name="_Toc226102331"/>
      <w:r w:rsidRPr="0032671C">
        <w:rPr>
          <w:rStyle w:val="TableFigTOCChar"/>
        </w:rPr>
        <w:t>Figure S</w:t>
      </w:r>
      <w:r w:rsidRPr="0032671C">
        <w:rPr>
          <w:rStyle w:val="TableFigTOCChar"/>
        </w:rPr>
        <w:fldChar w:fldCharType="begin"/>
      </w:r>
      <w:r w:rsidRPr="0032671C">
        <w:rPr>
          <w:rStyle w:val="TableFigTOCChar"/>
        </w:rPr>
        <w:instrText xml:space="preserve"> SEQ Figure_S \* ARABIC </w:instrText>
      </w:r>
      <w:r w:rsidRPr="0032671C">
        <w:rPr>
          <w:rStyle w:val="TableFigTOCChar"/>
        </w:rPr>
        <w:fldChar w:fldCharType="separate"/>
      </w:r>
      <w:r w:rsidRPr="0032671C">
        <w:rPr>
          <w:rStyle w:val="TableFigTOCChar"/>
        </w:rPr>
        <w:t>2</w:t>
      </w:r>
      <w:bookmarkEnd w:id="8"/>
      <w:r w:rsidRPr="0032671C">
        <w:rPr>
          <w:rStyle w:val="TableFigTOCChar"/>
        </w:rPr>
        <w:fldChar w:fldCharType="end"/>
      </w:r>
      <w:r>
        <w:t xml:space="preserve">. Obtained EIMs and mobility assignments of mepronil obtained in the </w:t>
      </w:r>
      <w:r w:rsidRPr="00A96BF2">
        <w:rPr>
          <w:i w:val="0"/>
          <w:iCs w:val="0"/>
        </w:rPr>
        <w:t>AgilentST</w:t>
      </w:r>
      <w:r>
        <w:t xml:space="preserve"> dataset with (a) direct mobility assignment and (b) post mobility assignment.</w:t>
      </w:r>
    </w:p>
    <w:p w14:paraId="49C8A954" w14:textId="77777777" w:rsidR="00CB5424" w:rsidRDefault="00CB5424" w:rsidP="00CB5424">
      <w:pPr>
        <w:rPr>
          <w:noProof/>
        </w:rPr>
      </w:pPr>
    </w:p>
    <w:p w14:paraId="3214D030" w14:textId="77777777" w:rsidR="00CB5424" w:rsidRDefault="00CB5424" w:rsidP="00CB5424"/>
    <w:p w14:paraId="63837EA7" w14:textId="38B5FC42" w:rsidR="00CB5424" w:rsidRDefault="00CB5424" w:rsidP="00CB5424">
      <w:pPr>
        <w:keepNext/>
        <w:rPr>
          <w:noProof/>
        </w:rPr>
      </w:pPr>
      <w:r w:rsidRPr="000E6444">
        <w:rPr>
          <w:noProof/>
        </w:rPr>
        <w:lastRenderedPageBreak/>
        <w:t xml:space="preserve"> </w:t>
      </w:r>
    </w:p>
    <w:p w14:paraId="4217F5CB" w14:textId="2949F177" w:rsidR="00C97423" w:rsidRDefault="007A2229" w:rsidP="00CB5424">
      <w:pPr>
        <w:keepNext/>
      </w:pPr>
      <w:r>
        <w:rPr>
          <w:noProof/>
        </w:rPr>
        <w:drawing>
          <wp:inline distT="0" distB="0" distL="0" distR="0" wp14:anchorId="725BA171" wp14:editId="47B5B69E">
            <wp:extent cx="5760720" cy="3840480"/>
            <wp:effectExtent l="0" t="0" r="0" b="7620"/>
            <wp:docPr id="6633360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469EB5DE" w14:textId="507FEFB9" w:rsidR="00CB5424" w:rsidRDefault="00CB5424" w:rsidP="00CB5424">
      <w:pPr>
        <w:pStyle w:val="Bijschrift"/>
      </w:pPr>
      <w:bookmarkStart w:id="9" w:name="_Toc226102332"/>
      <w:r w:rsidRPr="0032671C">
        <w:rPr>
          <w:rStyle w:val="TableFigTOCChar"/>
        </w:rPr>
        <w:t>Figure S</w:t>
      </w:r>
      <w:r w:rsidRPr="0032671C">
        <w:rPr>
          <w:rStyle w:val="TableFigTOCChar"/>
        </w:rPr>
        <w:fldChar w:fldCharType="begin"/>
      </w:r>
      <w:r w:rsidRPr="0032671C">
        <w:rPr>
          <w:rStyle w:val="TableFigTOCChar"/>
        </w:rPr>
        <w:instrText xml:space="preserve"> SEQ Figure_S \* ARABIC </w:instrText>
      </w:r>
      <w:r w:rsidRPr="0032671C">
        <w:rPr>
          <w:rStyle w:val="TableFigTOCChar"/>
        </w:rPr>
        <w:fldChar w:fldCharType="separate"/>
      </w:r>
      <w:r w:rsidRPr="0032671C">
        <w:rPr>
          <w:rStyle w:val="TableFigTOCChar"/>
        </w:rPr>
        <w:t>3</w:t>
      </w:r>
      <w:bookmarkEnd w:id="9"/>
      <w:r w:rsidRPr="0032671C">
        <w:rPr>
          <w:rStyle w:val="TableFigTOCChar"/>
        </w:rPr>
        <w:fldChar w:fldCharType="end"/>
      </w:r>
      <w:r>
        <w:t xml:space="preserve">. Intensities for features uniquely assigned to the evaluated direct and post mobility assignment workflows and overlapping features. The y scale is truncated </w:t>
      </w:r>
      <w:r w:rsidR="00103D9C">
        <w:t xml:space="preserve">at </w:t>
      </w:r>
      <w:r w:rsidR="003C7022">
        <w:t xml:space="preserve">300,000 </w:t>
      </w:r>
      <w:r>
        <w:t>for clarity, which excludes 1</w:t>
      </w:r>
      <w:r w:rsidR="003C7022">
        <w:t>23</w:t>
      </w:r>
      <w:r>
        <w:t xml:space="preserve"> features with higher intensities.</w:t>
      </w:r>
    </w:p>
    <w:p w14:paraId="1237E28C" w14:textId="50AA58E1" w:rsidR="008D7456" w:rsidRDefault="008D7456" w:rsidP="008D7456">
      <w:pPr>
        <w:pStyle w:val="Kop1"/>
      </w:pPr>
      <w:bookmarkStart w:id="10" w:name="_Toc226102333"/>
      <w:r>
        <w:t>References</w:t>
      </w:r>
      <w:bookmarkEnd w:id="10"/>
    </w:p>
    <w:p w14:paraId="2593A00A" w14:textId="77777777" w:rsidR="002A1100" w:rsidRPr="002A1100" w:rsidRDefault="00043C2B" w:rsidP="002A1100">
      <w:pPr>
        <w:pStyle w:val="Bibliografie"/>
      </w:pPr>
      <w:r>
        <w:fldChar w:fldCharType="begin"/>
      </w:r>
      <w:r w:rsidR="002A1100">
        <w:instrText xml:space="preserve"> ADDIN ZOTERO_BIBL {"uncited":[],"omitted":[],"custom":[]} CSL_BIBLIOGRAPHY </w:instrText>
      </w:r>
      <w:r>
        <w:fldChar w:fldCharType="separate"/>
      </w:r>
      <w:r w:rsidR="002A1100" w:rsidRPr="002A1100">
        <w:t xml:space="preserve">1. </w:t>
      </w:r>
      <w:r w:rsidR="002A1100" w:rsidRPr="002A1100">
        <w:tab/>
        <w:t>Dietrich C, Wick A, Ternes TA Open source feature detection for non-target LC-MS analytics. Rapid Communications in Mass Spectrometry n/a:e9206. https://doi.org/10.1002/rcm.9206</w:t>
      </w:r>
    </w:p>
    <w:p w14:paraId="2B6F6E62" w14:textId="77777777" w:rsidR="002A1100" w:rsidRPr="002A1100" w:rsidRDefault="002A1100" w:rsidP="002A1100">
      <w:pPr>
        <w:pStyle w:val="Bibliografie"/>
      </w:pPr>
      <w:r w:rsidRPr="002A1100">
        <w:rPr>
          <w:lang w:val="nl-NL"/>
        </w:rPr>
        <w:t xml:space="preserve">2. </w:t>
      </w:r>
      <w:r w:rsidRPr="002A1100">
        <w:rPr>
          <w:lang w:val="nl-NL"/>
        </w:rPr>
        <w:tab/>
        <w:t xml:space="preserve">OpenMP consortium OpenMP. https://www.openmp.org/. </w:t>
      </w:r>
      <w:r w:rsidRPr="002A1100">
        <w:t>Accessed 23 Dec 2025</w:t>
      </w:r>
    </w:p>
    <w:p w14:paraId="6CEA7BC4" w14:textId="77777777" w:rsidR="002A1100" w:rsidRPr="002A1100" w:rsidRDefault="002A1100" w:rsidP="002A1100">
      <w:pPr>
        <w:pStyle w:val="Bibliografie"/>
      </w:pPr>
      <w:r w:rsidRPr="002A1100">
        <w:t xml:space="preserve">3. </w:t>
      </w:r>
      <w:r w:rsidRPr="002A1100">
        <w:tab/>
        <w:t>Röst HL, Sachsenberg T, Aiche S, et al (2016) OpenMS: a flexible open-source software platform for mass spectrometry data analysis. Nature Methods 13:741–748. https://doi.org/10.1038/nmeth.3959</w:t>
      </w:r>
    </w:p>
    <w:p w14:paraId="7A9B0A0E" w14:textId="77777777" w:rsidR="002A1100" w:rsidRPr="002A1100" w:rsidRDefault="002A1100" w:rsidP="002A1100">
      <w:pPr>
        <w:pStyle w:val="Bibliografie"/>
      </w:pPr>
      <w:r w:rsidRPr="002A1100">
        <w:t xml:space="preserve">4. </w:t>
      </w:r>
      <w:r w:rsidRPr="002A1100">
        <w:tab/>
        <w:t>Martens L, Chambers M, Sturm M, et al (2011) mzML—a Community Standard for Mass Spectrometry Data. Molecular &amp; Cellular Proteomics 10:. https://doi.org/10.1074/mcp.R110.000133</w:t>
      </w:r>
    </w:p>
    <w:p w14:paraId="28DDC508" w14:textId="77777777" w:rsidR="002A1100" w:rsidRPr="002A1100" w:rsidRDefault="002A1100" w:rsidP="002A1100">
      <w:pPr>
        <w:pStyle w:val="Bibliografie"/>
      </w:pPr>
      <w:r w:rsidRPr="002A1100">
        <w:t xml:space="preserve">5. </w:t>
      </w:r>
      <w:r w:rsidRPr="002A1100">
        <w:tab/>
        <w:t>Kapoulkine A pugixml. https://pugixml.org/. Accessed 3 Apr 2026</w:t>
      </w:r>
    </w:p>
    <w:p w14:paraId="5EDC86D1" w14:textId="77777777" w:rsidR="002A1100" w:rsidRPr="002A1100" w:rsidRDefault="002A1100" w:rsidP="002A1100">
      <w:pPr>
        <w:pStyle w:val="Bibliografie"/>
      </w:pPr>
      <w:r w:rsidRPr="002A1100">
        <w:t xml:space="preserve">6. </w:t>
      </w:r>
      <w:r w:rsidRPr="002A1100">
        <w:tab/>
        <w:t>Eddelbuettel D, François R (2011) Rcpp: Seamless R and C++ Integration. Journal of Statistical Software 40:1–18. https://doi.org/10.18637/jss.v040.i08</w:t>
      </w:r>
    </w:p>
    <w:p w14:paraId="4D2CE1A2" w14:textId="77777777" w:rsidR="002A1100" w:rsidRPr="002A1100" w:rsidRDefault="002A1100" w:rsidP="002A1100">
      <w:pPr>
        <w:pStyle w:val="Bibliografie"/>
      </w:pPr>
      <w:r w:rsidRPr="002A1100">
        <w:t xml:space="preserve">7. </w:t>
      </w:r>
      <w:r w:rsidRPr="002A1100">
        <w:tab/>
        <w:t>Eddelbuettel D (2013) Seamless R and C++ Integration with Rcpp. Springer, New York</w:t>
      </w:r>
    </w:p>
    <w:p w14:paraId="4DD8D84C" w14:textId="77777777" w:rsidR="002A1100" w:rsidRPr="002A1100" w:rsidRDefault="002A1100" w:rsidP="002A1100">
      <w:pPr>
        <w:pStyle w:val="Bibliografie"/>
      </w:pPr>
      <w:r w:rsidRPr="002A1100">
        <w:t xml:space="preserve">8. </w:t>
      </w:r>
      <w:r w:rsidRPr="002A1100">
        <w:tab/>
        <w:t>Eddelbuettel D, Balamuta JJ (2017) Extending R with C++: A Brief Introduction to Rcpp. PeerJ Preprints 5:e3188v1. https://doi.org/10.7287/peerj.preprints.3188v1</w:t>
      </w:r>
    </w:p>
    <w:p w14:paraId="12EEAA4A" w14:textId="77777777" w:rsidR="002A1100" w:rsidRPr="002A1100" w:rsidRDefault="002A1100" w:rsidP="002A1100">
      <w:pPr>
        <w:pStyle w:val="Bibliografie"/>
      </w:pPr>
      <w:r w:rsidRPr="002A1100">
        <w:lastRenderedPageBreak/>
        <w:t xml:space="preserve">9. </w:t>
      </w:r>
      <w:r w:rsidRPr="002A1100">
        <w:tab/>
        <w:t>Louail P, Brunius C, Garcia-Aloy M, et al (2025) xcms in Peak Form: Now Anchoring a Complete Metabolomics Data Preprocessing and Analysis Software Ecosystem. Anal Chem 97:27639–27645. https://doi.org/10.1021/acs.analchem.5c04338</w:t>
      </w:r>
    </w:p>
    <w:p w14:paraId="690781B7" w14:textId="77777777" w:rsidR="002A1100" w:rsidRPr="002A1100" w:rsidRDefault="002A1100" w:rsidP="002A1100">
      <w:pPr>
        <w:pStyle w:val="Bibliografie"/>
      </w:pPr>
      <w:r w:rsidRPr="002A1100">
        <w:t xml:space="preserve">10. </w:t>
      </w:r>
      <w:r w:rsidRPr="002A1100">
        <w:tab/>
        <w:t>Loos M enviPick: Peak Picking for High Resolution Mass Spectrometry Data. https://github.com/blosloos/enviPick. Accessed 31 Mar 2026</w:t>
      </w:r>
    </w:p>
    <w:p w14:paraId="2824E397" w14:textId="38F6F0A3" w:rsidR="008D7456" w:rsidRPr="008D7456" w:rsidRDefault="00043C2B" w:rsidP="008D7456">
      <w:r>
        <w:fldChar w:fldCharType="end"/>
      </w:r>
    </w:p>
    <w:p w14:paraId="483B8D6D" w14:textId="23473B42" w:rsidR="006F5735" w:rsidRPr="006F5735" w:rsidRDefault="006F5735" w:rsidP="00181FF6"/>
    <w:sectPr w:rsidR="006F5735" w:rsidRPr="006F5735" w:rsidSect="003003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EDBA4" w14:textId="77777777" w:rsidR="000D5C4F" w:rsidRDefault="000D5C4F" w:rsidP="00FB2B01">
      <w:pPr>
        <w:spacing w:after="0" w:line="240" w:lineRule="auto"/>
      </w:pPr>
      <w:r>
        <w:separator/>
      </w:r>
    </w:p>
  </w:endnote>
  <w:endnote w:type="continuationSeparator" w:id="0">
    <w:p w14:paraId="7E522648" w14:textId="77777777" w:rsidR="000D5C4F" w:rsidRDefault="000D5C4F" w:rsidP="00FB2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098581"/>
      <w:docPartObj>
        <w:docPartGallery w:val="Page Numbers (Bottom of Page)"/>
        <w:docPartUnique/>
      </w:docPartObj>
    </w:sdtPr>
    <w:sdtContent>
      <w:p w14:paraId="32D7D60C" w14:textId="2A57FEDD" w:rsidR="00FB2B01" w:rsidRDefault="00FB2B01">
        <w:pPr>
          <w:pStyle w:val="Voettekst"/>
          <w:jc w:val="right"/>
        </w:pPr>
        <w:r>
          <w:fldChar w:fldCharType="begin"/>
        </w:r>
        <w:r>
          <w:instrText>PAGE   \* MERGEFORMAT</w:instrText>
        </w:r>
        <w:r>
          <w:fldChar w:fldCharType="separate"/>
        </w:r>
        <w:r>
          <w:rPr>
            <w:lang w:val="nl-NL"/>
          </w:rPr>
          <w:t>2</w:t>
        </w:r>
        <w:r>
          <w:fldChar w:fldCharType="end"/>
        </w:r>
      </w:p>
    </w:sdtContent>
  </w:sdt>
  <w:p w14:paraId="6FD3BB97" w14:textId="77777777" w:rsidR="00FB2B01" w:rsidRDefault="00FB2B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EF149" w14:textId="77777777" w:rsidR="000D5C4F" w:rsidRDefault="000D5C4F" w:rsidP="00FB2B01">
      <w:pPr>
        <w:spacing w:after="0" w:line="240" w:lineRule="auto"/>
      </w:pPr>
      <w:r>
        <w:separator/>
      </w:r>
    </w:p>
  </w:footnote>
  <w:footnote w:type="continuationSeparator" w:id="0">
    <w:p w14:paraId="2A31AC27" w14:textId="77777777" w:rsidR="000D5C4F" w:rsidRDefault="000D5C4F" w:rsidP="00FB2B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82AC1"/>
    <w:multiLevelType w:val="hybridMultilevel"/>
    <w:tmpl w:val="24FAE5F2"/>
    <w:lvl w:ilvl="0" w:tplc="CFF6BD6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8201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8D"/>
    <w:rsid w:val="000007D9"/>
    <w:rsid w:val="00002F39"/>
    <w:rsid w:val="0001141B"/>
    <w:rsid w:val="00011FE9"/>
    <w:rsid w:val="00017EB5"/>
    <w:rsid w:val="00017FC5"/>
    <w:rsid w:val="00025A28"/>
    <w:rsid w:val="00031F37"/>
    <w:rsid w:val="000323EE"/>
    <w:rsid w:val="00043BFF"/>
    <w:rsid w:val="00043C2B"/>
    <w:rsid w:val="00046207"/>
    <w:rsid w:val="00053658"/>
    <w:rsid w:val="00054E45"/>
    <w:rsid w:val="00055FE6"/>
    <w:rsid w:val="00056671"/>
    <w:rsid w:val="00060B1C"/>
    <w:rsid w:val="000638F2"/>
    <w:rsid w:val="00066178"/>
    <w:rsid w:val="00067944"/>
    <w:rsid w:val="000700D8"/>
    <w:rsid w:val="00071E54"/>
    <w:rsid w:val="00073008"/>
    <w:rsid w:val="000757CA"/>
    <w:rsid w:val="00081372"/>
    <w:rsid w:val="00087335"/>
    <w:rsid w:val="00090E92"/>
    <w:rsid w:val="00092CA2"/>
    <w:rsid w:val="00093A8C"/>
    <w:rsid w:val="000A1E3B"/>
    <w:rsid w:val="000A2DA6"/>
    <w:rsid w:val="000B1780"/>
    <w:rsid w:val="000B267D"/>
    <w:rsid w:val="000B2D22"/>
    <w:rsid w:val="000C6C60"/>
    <w:rsid w:val="000D5307"/>
    <w:rsid w:val="000D5C4F"/>
    <w:rsid w:val="000D79D0"/>
    <w:rsid w:val="000E6444"/>
    <w:rsid w:val="000E718C"/>
    <w:rsid w:val="0010194F"/>
    <w:rsid w:val="00103D9C"/>
    <w:rsid w:val="00105815"/>
    <w:rsid w:val="00110C44"/>
    <w:rsid w:val="001126E3"/>
    <w:rsid w:val="00114184"/>
    <w:rsid w:val="00115008"/>
    <w:rsid w:val="001220D0"/>
    <w:rsid w:val="001263B1"/>
    <w:rsid w:val="001310BA"/>
    <w:rsid w:val="00132E5B"/>
    <w:rsid w:val="00137C36"/>
    <w:rsid w:val="00143B40"/>
    <w:rsid w:val="001458C7"/>
    <w:rsid w:val="00147B78"/>
    <w:rsid w:val="0015663C"/>
    <w:rsid w:val="0016119A"/>
    <w:rsid w:val="001615ED"/>
    <w:rsid w:val="001625E2"/>
    <w:rsid w:val="00164E39"/>
    <w:rsid w:val="001703E3"/>
    <w:rsid w:val="00173E0C"/>
    <w:rsid w:val="0017685D"/>
    <w:rsid w:val="0018123E"/>
    <w:rsid w:val="00181FF6"/>
    <w:rsid w:val="001A1CFD"/>
    <w:rsid w:val="001A2C7A"/>
    <w:rsid w:val="001A3133"/>
    <w:rsid w:val="001A636B"/>
    <w:rsid w:val="001A7A0C"/>
    <w:rsid w:val="001B1F73"/>
    <w:rsid w:val="001E0331"/>
    <w:rsid w:val="001E3FF6"/>
    <w:rsid w:val="001F1826"/>
    <w:rsid w:val="001F4FB4"/>
    <w:rsid w:val="0020023A"/>
    <w:rsid w:val="00226A41"/>
    <w:rsid w:val="0024142F"/>
    <w:rsid w:val="002440AB"/>
    <w:rsid w:val="002460C8"/>
    <w:rsid w:val="00251B06"/>
    <w:rsid w:val="002562FC"/>
    <w:rsid w:val="00260297"/>
    <w:rsid w:val="00274FD3"/>
    <w:rsid w:val="002752B1"/>
    <w:rsid w:val="0028433A"/>
    <w:rsid w:val="00286FA6"/>
    <w:rsid w:val="00287864"/>
    <w:rsid w:val="00293CD9"/>
    <w:rsid w:val="00293DEE"/>
    <w:rsid w:val="002A07C5"/>
    <w:rsid w:val="002A1100"/>
    <w:rsid w:val="002A7641"/>
    <w:rsid w:val="002A7C59"/>
    <w:rsid w:val="002C1867"/>
    <w:rsid w:val="002C6F8D"/>
    <w:rsid w:val="002E00C2"/>
    <w:rsid w:val="002E0172"/>
    <w:rsid w:val="002E13F1"/>
    <w:rsid w:val="002E1F02"/>
    <w:rsid w:val="002E2E89"/>
    <w:rsid w:val="002E41F3"/>
    <w:rsid w:val="002E48BB"/>
    <w:rsid w:val="002E781F"/>
    <w:rsid w:val="002F0139"/>
    <w:rsid w:val="002F1F0B"/>
    <w:rsid w:val="002F284C"/>
    <w:rsid w:val="002F73FD"/>
    <w:rsid w:val="003003C2"/>
    <w:rsid w:val="00302F58"/>
    <w:rsid w:val="0031103B"/>
    <w:rsid w:val="00312A2F"/>
    <w:rsid w:val="00313CC9"/>
    <w:rsid w:val="00316573"/>
    <w:rsid w:val="00317F22"/>
    <w:rsid w:val="0032671C"/>
    <w:rsid w:val="003270B9"/>
    <w:rsid w:val="003334AF"/>
    <w:rsid w:val="0033514E"/>
    <w:rsid w:val="00342380"/>
    <w:rsid w:val="00344E27"/>
    <w:rsid w:val="003516B2"/>
    <w:rsid w:val="003553DB"/>
    <w:rsid w:val="00356052"/>
    <w:rsid w:val="00364813"/>
    <w:rsid w:val="00365307"/>
    <w:rsid w:val="00371C8D"/>
    <w:rsid w:val="00372C03"/>
    <w:rsid w:val="00374F25"/>
    <w:rsid w:val="00380A70"/>
    <w:rsid w:val="00394B63"/>
    <w:rsid w:val="00396AFA"/>
    <w:rsid w:val="003A1527"/>
    <w:rsid w:val="003A3908"/>
    <w:rsid w:val="003A5069"/>
    <w:rsid w:val="003A5C2D"/>
    <w:rsid w:val="003B3FDB"/>
    <w:rsid w:val="003C13F7"/>
    <w:rsid w:val="003C7022"/>
    <w:rsid w:val="003D08C2"/>
    <w:rsid w:val="003D669D"/>
    <w:rsid w:val="003E2E7E"/>
    <w:rsid w:val="003E7BB6"/>
    <w:rsid w:val="003F19C1"/>
    <w:rsid w:val="003F3DA4"/>
    <w:rsid w:val="003F4714"/>
    <w:rsid w:val="003F4EE6"/>
    <w:rsid w:val="0040310A"/>
    <w:rsid w:val="00407E7E"/>
    <w:rsid w:val="00412024"/>
    <w:rsid w:val="004146CA"/>
    <w:rsid w:val="004164AB"/>
    <w:rsid w:val="00425D41"/>
    <w:rsid w:val="00430D48"/>
    <w:rsid w:val="0043218B"/>
    <w:rsid w:val="00434F37"/>
    <w:rsid w:val="004409EC"/>
    <w:rsid w:val="00443909"/>
    <w:rsid w:val="004520A1"/>
    <w:rsid w:val="0046336F"/>
    <w:rsid w:val="0046424A"/>
    <w:rsid w:val="004645B8"/>
    <w:rsid w:val="0046514B"/>
    <w:rsid w:val="00467ABD"/>
    <w:rsid w:val="004705A1"/>
    <w:rsid w:val="00477DBD"/>
    <w:rsid w:val="00496A28"/>
    <w:rsid w:val="004A0735"/>
    <w:rsid w:val="004A184C"/>
    <w:rsid w:val="004A1B72"/>
    <w:rsid w:val="004A3723"/>
    <w:rsid w:val="004B23FC"/>
    <w:rsid w:val="004B785B"/>
    <w:rsid w:val="004C2A97"/>
    <w:rsid w:val="004C6A51"/>
    <w:rsid w:val="004D36C5"/>
    <w:rsid w:val="004F0FAE"/>
    <w:rsid w:val="0050026D"/>
    <w:rsid w:val="00501C29"/>
    <w:rsid w:val="00502B6C"/>
    <w:rsid w:val="00502FC3"/>
    <w:rsid w:val="005030C9"/>
    <w:rsid w:val="00507D9E"/>
    <w:rsid w:val="00512311"/>
    <w:rsid w:val="005128A5"/>
    <w:rsid w:val="0052341A"/>
    <w:rsid w:val="00523C0C"/>
    <w:rsid w:val="00534465"/>
    <w:rsid w:val="0053558B"/>
    <w:rsid w:val="00541918"/>
    <w:rsid w:val="00542843"/>
    <w:rsid w:val="00547550"/>
    <w:rsid w:val="00547D71"/>
    <w:rsid w:val="00557514"/>
    <w:rsid w:val="005673B6"/>
    <w:rsid w:val="00571CF3"/>
    <w:rsid w:val="005736DC"/>
    <w:rsid w:val="005776FE"/>
    <w:rsid w:val="0058491A"/>
    <w:rsid w:val="00597DC4"/>
    <w:rsid w:val="005A3BBB"/>
    <w:rsid w:val="005A5236"/>
    <w:rsid w:val="005B2B62"/>
    <w:rsid w:val="005B2B74"/>
    <w:rsid w:val="005B37AA"/>
    <w:rsid w:val="005B5266"/>
    <w:rsid w:val="005C27E7"/>
    <w:rsid w:val="005C53D0"/>
    <w:rsid w:val="005C71BE"/>
    <w:rsid w:val="005D4546"/>
    <w:rsid w:val="005E145F"/>
    <w:rsid w:val="005E6FEE"/>
    <w:rsid w:val="005F1223"/>
    <w:rsid w:val="005F1EE9"/>
    <w:rsid w:val="005F4868"/>
    <w:rsid w:val="005F52B8"/>
    <w:rsid w:val="006064FE"/>
    <w:rsid w:val="00606F5E"/>
    <w:rsid w:val="00615AAE"/>
    <w:rsid w:val="006208A4"/>
    <w:rsid w:val="00627CB9"/>
    <w:rsid w:val="006327BD"/>
    <w:rsid w:val="00635C87"/>
    <w:rsid w:val="00637843"/>
    <w:rsid w:val="00642466"/>
    <w:rsid w:val="00646B8A"/>
    <w:rsid w:val="00650686"/>
    <w:rsid w:val="006517BA"/>
    <w:rsid w:val="006544B5"/>
    <w:rsid w:val="00665D2B"/>
    <w:rsid w:val="00672893"/>
    <w:rsid w:val="00680735"/>
    <w:rsid w:val="00680D82"/>
    <w:rsid w:val="00684C57"/>
    <w:rsid w:val="00685325"/>
    <w:rsid w:val="00685718"/>
    <w:rsid w:val="006934F6"/>
    <w:rsid w:val="00693633"/>
    <w:rsid w:val="006974DD"/>
    <w:rsid w:val="0069779E"/>
    <w:rsid w:val="006A019F"/>
    <w:rsid w:val="006B1ED4"/>
    <w:rsid w:val="006B3234"/>
    <w:rsid w:val="006C1B23"/>
    <w:rsid w:val="006C3167"/>
    <w:rsid w:val="006D10B1"/>
    <w:rsid w:val="006E3CF6"/>
    <w:rsid w:val="006E6EEE"/>
    <w:rsid w:val="006F14B6"/>
    <w:rsid w:val="006F3039"/>
    <w:rsid w:val="006F42FD"/>
    <w:rsid w:val="006F5735"/>
    <w:rsid w:val="00706960"/>
    <w:rsid w:val="00712AAF"/>
    <w:rsid w:val="00723B0A"/>
    <w:rsid w:val="00723D1F"/>
    <w:rsid w:val="0073167A"/>
    <w:rsid w:val="00734735"/>
    <w:rsid w:val="00734852"/>
    <w:rsid w:val="00735A92"/>
    <w:rsid w:val="00743D9C"/>
    <w:rsid w:val="00752C39"/>
    <w:rsid w:val="00753973"/>
    <w:rsid w:val="00755DFD"/>
    <w:rsid w:val="007608F0"/>
    <w:rsid w:val="00763756"/>
    <w:rsid w:val="00772A61"/>
    <w:rsid w:val="00773B20"/>
    <w:rsid w:val="00776B31"/>
    <w:rsid w:val="00782393"/>
    <w:rsid w:val="00790F98"/>
    <w:rsid w:val="007955BB"/>
    <w:rsid w:val="007A2229"/>
    <w:rsid w:val="007A78A0"/>
    <w:rsid w:val="007B539B"/>
    <w:rsid w:val="007D0615"/>
    <w:rsid w:val="007D1E3D"/>
    <w:rsid w:val="007D4209"/>
    <w:rsid w:val="007D7406"/>
    <w:rsid w:val="007F277F"/>
    <w:rsid w:val="007F38F4"/>
    <w:rsid w:val="007F5DC8"/>
    <w:rsid w:val="007F6DE7"/>
    <w:rsid w:val="00814D96"/>
    <w:rsid w:val="008153AF"/>
    <w:rsid w:val="00817E1A"/>
    <w:rsid w:val="008243A7"/>
    <w:rsid w:val="008245E7"/>
    <w:rsid w:val="00826E14"/>
    <w:rsid w:val="00831820"/>
    <w:rsid w:val="008436E3"/>
    <w:rsid w:val="008527E2"/>
    <w:rsid w:val="00854711"/>
    <w:rsid w:val="008625B5"/>
    <w:rsid w:val="00873AF5"/>
    <w:rsid w:val="00880A3B"/>
    <w:rsid w:val="00891F29"/>
    <w:rsid w:val="00893425"/>
    <w:rsid w:val="008948AF"/>
    <w:rsid w:val="008A070B"/>
    <w:rsid w:val="008B2E5A"/>
    <w:rsid w:val="008B46C9"/>
    <w:rsid w:val="008C3672"/>
    <w:rsid w:val="008D2F10"/>
    <w:rsid w:val="008D40A0"/>
    <w:rsid w:val="008D6277"/>
    <w:rsid w:val="008D6B84"/>
    <w:rsid w:val="008D7456"/>
    <w:rsid w:val="008E3A85"/>
    <w:rsid w:val="008F119A"/>
    <w:rsid w:val="008F2E67"/>
    <w:rsid w:val="008F31E5"/>
    <w:rsid w:val="008F4EF3"/>
    <w:rsid w:val="008F53D2"/>
    <w:rsid w:val="008F6E18"/>
    <w:rsid w:val="008F6F26"/>
    <w:rsid w:val="00904188"/>
    <w:rsid w:val="0090468B"/>
    <w:rsid w:val="009050B7"/>
    <w:rsid w:val="0091118D"/>
    <w:rsid w:val="009122E0"/>
    <w:rsid w:val="009128FA"/>
    <w:rsid w:val="00914D26"/>
    <w:rsid w:val="00920EC4"/>
    <w:rsid w:val="00921341"/>
    <w:rsid w:val="00921FC7"/>
    <w:rsid w:val="00923C7A"/>
    <w:rsid w:val="0093573A"/>
    <w:rsid w:val="0094435E"/>
    <w:rsid w:val="00944833"/>
    <w:rsid w:val="0095159B"/>
    <w:rsid w:val="00952073"/>
    <w:rsid w:val="009552B3"/>
    <w:rsid w:val="00955B08"/>
    <w:rsid w:val="00960FDD"/>
    <w:rsid w:val="00963FF2"/>
    <w:rsid w:val="0096654B"/>
    <w:rsid w:val="0096724D"/>
    <w:rsid w:val="00977787"/>
    <w:rsid w:val="00982BCE"/>
    <w:rsid w:val="00986410"/>
    <w:rsid w:val="00987057"/>
    <w:rsid w:val="00994AAB"/>
    <w:rsid w:val="00996082"/>
    <w:rsid w:val="00996237"/>
    <w:rsid w:val="009A027D"/>
    <w:rsid w:val="009A2904"/>
    <w:rsid w:val="009A2DA4"/>
    <w:rsid w:val="009A4511"/>
    <w:rsid w:val="009B55DD"/>
    <w:rsid w:val="009B657B"/>
    <w:rsid w:val="009B6A3E"/>
    <w:rsid w:val="009C44A7"/>
    <w:rsid w:val="009D3964"/>
    <w:rsid w:val="009D6D08"/>
    <w:rsid w:val="009D74C5"/>
    <w:rsid w:val="009D785B"/>
    <w:rsid w:val="009D7C2E"/>
    <w:rsid w:val="009E47A6"/>
    <w:rsid w:val="009E7857"/>
    <w:rsid w:val="009F5E19"/>
    <w:rsid w:val="00A00E1D"/>
    <w:rsid w:val="00A021BC"/>
    <w:rsid w:val="00A025DB"/>
    <w:rsid w:val="00A04F6F"/>
    <w:rsid w:val="00A07BE8"/>
    <w:rsid w:val="00A07C98"/>
    <w:rsid w:val="00A15507"/>
    <w:rsid w:val="00A16501"/>
    <w:rsid w:val="00A20FBC"/>
    <w:rsid w:val="00A2509A"/>
    <w:rsid w:val="00A251F9"/>
    <w:rsid w:val="00A35EFB"/>
    <w:rsid w:val="00A36470"/>
    <w:rsid w:val="00A37BE9"/>
    <w:rsid w:val="00A42282"/>
    <w:rsid w:val="00A4710B"/>
    <w:rsid w:val="00A63D18"/>
    <w:rsid w:val="00A63DF4"/>
    <w:rsid w:val="00A67116"/>
    <w:rsid w:val="00A75812"/>
    <w:rsid w:val="00A7671B"/>
    <w:rsid w:val="00A9344C"/>
    <w:rsid w:val="00AA77B0"/>
    <w:rsid w:val="00AB0D83"/>
    <w:rsid w:val="00AC00FD"/>
    <w:rsid w:val="00AC1D94"/>
    <w:rsid w:val="00AC29BA"/>
    <w:rsid w:val="00AC5057"/>
    <w:rsid w:val="00AD1E67"/>
    <w:rsid w:val="00AD60BD"/>
    <w:rsid w:val="00AE16F5"/>
    <w:rsid w:val="00AE5C07"/>
    <w:rsid w:val="00AF34EB"/>
    <w:rsid w:val="00AF3750"/>
    <w:rsid w:val="00AF5D44"/>
    <w:rsid w:val="00B007E2"/>
    <w:rsid w:val="00B06C97"/>
    <w:rsid w:val="00B2000B"/>
    <w:rsid w:val="00B2793E"/>
    <w:rsid w:val="00B357E2"/>
    <w:rsid w:val="00B40C26"/>
    <w:rsid w:val="00B433BA"/>
    <w:rsid w:val="00B44E0E"/>
    <w:rsid w:val="00B504EF"/>
    <w:rsid w:val="00B53613"/>
    <w:rsid w:val="00B53645"/>
    <w:rsid w:val="00B56EA0"/>
    <w:rsid w:val="00B70761"/>
    <w:rsid w:val="00B71177"/>
    <w:rsid w:val="00B75BFF"/>
    <w:rsid w:val="00B8739B"/>
    <w:rsid w:val="00B914D2"/>
    <w:rsid w:val="00B95225"/>
    <w:rsid w:val="00B969AA"/>
    <w:rsid w:val="00BC06DB"/>
    <w:rsid w:val="00BC18ED"/>
    <w:rsid w:val="00BC1A95"/>
    <w:rsid w:val="00BD293B"/>
    <w:rsid w:val="00BE0B68"/>
    <w:rsid w:val="00BE2602"/>
    <w:rsid w:val="00BE2DC3"/>
    <w:rsid w:val="00BE7882"/>
    <w:rsid w:val="00BF1A05"/>
    <w:rsid w:val="00C041AC"/>
    <w:rsid w:val="00C07851"/>
    <w:rsid w:val="00C111DF"/>
    <w:rsid w:val="00C11D59"/>
    <w:rsid w:val="00C137CB"/>
    <w:rsid w:val="00C14369"/>
    <w:rsid w:val="00C1761B"/>
    <w:rsid w:val="00C213DA"/>
    <w:rsid w:val="00C26926"/>
    <w:rsid w:val="00C3518E"/>
    <w:rsid w:val="00C4048B"/>
    <w:rsid w:val="00C4358F"/>
    <w:rsid w:val="00C45101"/>
    <w:rsid w:val="00C514D1"/>
    <w:rsid w:val="00C60A83"/>
    <w:rsid w:val="00C75C0F"/>
    <w:rsid w:val="00C82F60"/>
    <w:rsid w:val="00C916AA"/>
    <w:rsid w:val="00C96DF9"/>
    <w:rsid w:val="00C96F2C"/>
    <w:rsid w:val="00C97423"/>
    <w:rsid w:val="00CA089B"/>
    <w:rsid w:val="00CA1E36"/>
    <w:rsid w:val="00CA62D2"/>
    <w:rsid w:val="00CB09E5"/>
    <w:rsid w:val="00CB2139"/>
    <w:rsid w:val="00CB4EBE"/>
    <w:rsid w:val="00CB5424"/>
    <w:rsid w:val="00CB77F9"/>
    <w:rsid w:val="00CC050D"/>
    <w:rsid w:val="00CC250F"/>
    <w:rsid w:val="00CC3FED"/>
    <w:rsid w:val="00CC47A3"/>
    <w:rsid w:val="00CD0285"/>
    <w:rsid w:val="00CD3667"/>
    <w:rsid w:val="00CE0096"/>
    <w:rsid w:val="00CE03A5"/>
    <w:rsid w:val="00CF0194"/>
    <w:rsid w:val="00CF4BEA"/>
    <w:rsid w:val="00CF5489"/>
    <w:rsid w:val="00CF7ADB"/>
    <w:rsid w:val="00D10936"/>
    <w:rsid w:val="00D133BD"/>
    <w:rsid w:val="00D14730"/>
    <w:rsid w:val="00D31A41"/>
    <w:rsid w:val="00D41056"/>
    <w:rsid w:val="00D42624"/>
    <w:rsid w:val="00D52097"/>
    <w:rsid w:val="00D52C9A"/>
    <w:rsid w:val="00D5579D"/>
    <w:rsid w:val="00D60A48"/>
    <w:rsid w:val="00D60F8E"/>
    <w:rsid w:val="00D610A6"/>
    <w:rsid w:val="00D62CF6"/>
    <w:rsid w:val="00D63292"/>
    <w:rsid w:val="00D71510"/>
    <w:rsid w:val="00D716BA"/>
    <w:rsid w:val="00D80D98"/>
    <w:rsid w:val="00D92049"/>
    <w:rsid w:val="00DA15AB"/>
    <w:rsid w:val="00DA1753"/>
    <w:rsid w:val="00DB2F8F"/>
    <w:rsid w:val="00DB6E3F"/>
    <w:rsid w:val="00DB7AF7"/>
    <w:rsid w:val="00DD7BFA"/>
    <w:rsid w:val="00DE067B"/>
    <w:rsid w:val="00DE56E2"/>
    <w:rsid w:val="00DE58E0"/>
    <w:rsid w:val="00DE6F7C"/>
    <w:rsid w:val="00DF5D89"/>
    <w:rsid w:val="00DF647E"/>
    <w:rsid w:val="00E01A3F"/>
    <w:rsid w:val="00E06EE1"/>
    <w:rsid w:val="00E07F3C"/>
    <w:rsid w:val="00E14AAD"/>
    <w:rsid w:val="00E3041D"/>
    <w:rsid w:val="00E305A2"/>
    <w:rsid w:val="00E30DAF"/>
    <w:rsid w:val="00E31CF9"/>
    <w:rsid w:val="00E3211C"/>
    <w:rsid w:val="00E34392"/>
    <w:rsid w:val="00E36525"/>
    <w:rsid w:val="00E46B65"/>
    <w:rsid w:val="00E61F98"/>
    <w:rsid w:val="00E631BF"/>
    <w:rsid w:val="00E63BC6"/>
    <w:rsid w:val="00E66EAA"/>
    <w:rsid w:val="00E72F60"/>
    <w:rsid w:val="00E85CC2"/>
    <w:rsid w:val="00EA013F"/>
    <w:rsid w:val="00EA3A86"/>
    <w:rsid w:val="00EA3E45"/>
    <w:rsid w:val="00EB11D4"/>
    <w:rsid w:val="00EB1F4A"/>
    <w:rsid w:val="00EC421A"/>
    <w:rsid w:val="00EC46DD"/>
    <w:rsid w:val="00EC49D7"/>
    <w:rsid w:val="00EC737D"/>
    <w:rsid w:val="00ED7EB6"/>
    <w:rsid w:val="00EE39D7"/>
    <w:rsid w:val="00EE4FB5"/>
    <w:rsid w:val="00EF08DF"/>
    <w:rsid w:val="00F13602"/>
    <w:rsid w:val="00F209C3"/>
    <w:rsid w:val="00F2236C"/>
    <w:rsid w:val="00F242B5"/>
    <w:rsid w:val="00F24A0E"/>
    <w:rsid w:val="00F25045"/>
    <w:rsid w:val="00F37F81"/>
    <w:rsid w:val="00F407BC"/>
    <w:rsid w:val="00F40841"/>
    <w:rsid w:val="00F4247C"/>
    <w:rsid w:val="00F4498C"/>
    <w:rsid w:val="00F51E2F"/>
    <w:rsid w:val="00F624B0"/>
    <w:rsid w:val="00F72A9B"/>
    <w:rsid w:val="00F731F4"/>
    <w:rsid w:val="00F75F06"/>
    <w:rsid w:val="00F80525"/>
    <w:rsid w:val="00F82CEE"/>
    <w:rsid w:val="00F94080"/>
    <w:rsid w:val="00F9423B"/>
    <w:rsid w:val="00FA1D00"/>
    <w:rsid w:val="00FB2620"/>
    <w:rsid w:val="00FB2B01"/>
    <w:rsid w:val="00FB5171"/>
    <w:rsid w:val="00FB6B71"/>
    <w:rsid w:val="00FC1335"/>
    <w:rsid w:val="00FC1CDC"/>
    <w:rsid w:val="00FF3F82"/>
    <w:rsid w:val="00FF4AB0"/>
    <w:rsid w:val="00FF5B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CD73"/>
  <w15:chartTrackingRefBased/>
  <w15:docId w15:val="{53DF2FF5-9314-4193-A4D9-80389482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US"/>
    </w:rPr>
  </w:style>
  <w:style w:type="paragraph" w:styleId="Kop1">
    <w:name w:val="heading 1"/>
    <w:basedOn w:val="Standaard"/>
    <w:next w:val="Standaard"/>
    <w:link w:val="Kop1Char"/>
    <w:uiPriority w:val="9"/>
    <w:qFormat/>
    <w:rsid w:val="00994AAB"/>
    <w:pPr>
      <w:keepNext/>
      <w:keepLines/>
      <w:spacing w:before="360" w:after="80"/>
      <w:outlineLvl w:val="0"/>
    </w:pPr>
    <w:rPr>
      <w:rFonts w:asciiTheme="majorHAnsi" w:eastAsiaTheme="majorEastAsia" w:hAnsiTheme="majorHAnsi" w:cstheme="majorBidi"/>
      <w:sz w:val="32"/>
      <w:szCs w:val="40"/>
    </w:rPr>
  </w:style>
  <w:style w:type="paragraph" w:styleId="Kop2">
    <w:name w:val="heading 2"/>
    <w:basedOn w:val="Standaard"/>
    <w:next w:val="Standaard"/>
    <w:link w:val="Kop2Char"/>
    <w:uiPriority w:val="9"/>
    <w:unhideWhenUsed/>
    <w:qFormat/>
    <w:rsid w:val="009111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111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111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111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111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111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111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111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4AAB"/>
    <w:rPr>
      <w:rFonts w:asciiTheme="majorHAnsi" w:eastAsiaTheme="majorEastAsia" w:hAnsiTheme="majorHAnsi" w:cstheme="majorBidi"/>
      <w:sz w:val="32"/>
      <w:szCs w:val="40"/>
      <w:lang w:val="en-US"/>
    </w:rPr>
  </w:style>
  <w:style w:type="character" w:customStyle="1" w:styleId="Kop2Char">
    <w:name w:val="Kop 2 Char"/>
    <w:basedOn w:val="Standaardalinea-lettertype"/>
    <w:link w:val="Kop2"/>
    <w:uiPriority w:val="9"/>
    <w:rsid w:val="0091118D"/>
    <w:rPr>
      <w:rFonts w:asciiTheme="majorHAnsi" w:eastAsiaTheme="majorEastAsia" w:hAnsiTheme="majorHAnsi" w:cstheme="majorBidi"/>
      <w:color w:val="0F4761" w:themeColor="accent1" w:themeShade="BF"/>
      <w:sz w:val="32"/>
      <w:szCs w:val="32"/>
      <w:lang w:val="en-US"/>
    </w:rPr>
  </w:style>
  <w:style w:type="character" w:customStyle="1" w:styleId="Kop3Char">
    <w:name w:val="Kop 3 Char"/>
    <w:basedOn w:val="Standaardalinea-lettertype"/>
    <w:link w:val="Kop3"/>
    <w:uiPriority w:val="9"/>
    <w:rsid w:val="0091118D"/>
    <w:rPr>
      <w:rFonts w:eastAsiaTheme="majorEastAsia" w:cstheme="majorBidi"/>
      <w:color w:val="0F4761" w:themeColor="accent1" w:themeShade="BF"/>
      <w:sz w:val="28"/>
      <w:szCs w:val="28"/>
      <w:lang w:val="en-US"/>
    </w:rPr>
  </w:style>
  <w:style w:type="character" w:customStyle="1" w:styleId="Kop4Char">
    <w:name w:val="Kop 4 Char"/>
    <w:basedOn w:val="Standaardalinea-lettertype"/>
    <w:link w:val="Kop4"/>
    <w:uiPriority w:val="9"/>
    <w:semiHidden/>
    <w:rsid w:val="0091118D"/>
    <w:rPr>
      <w:rFonts w:eastAsiaTheme="majorEastAsia" w:cstheme="majorBidi"/>
      <w:i/>
      <w:iCs/>
      <w:color w:val="0F4761" w:themeColor="accent1" w:themeShade="BF"/>
      <w:lang w:val="en-US"/>
    </w:rPr>
  </w:style>
  <w:style w:type="character" w:customStyle="1" w:styleId="Kop5Char">
    <w:name w:val="Kop 5 Char"/>
    <w:basedOn w:val="Standaardalinea-lettertype"/>
    <w:link w:val="Kop5"/>
    <w:uiPriority w:val="9"/>
    <w:semiHidden/>
    <w:rsid w:val="0091118D"/>
    <w:rPr>
      <w:rFonts w:eastAsiaTheme="majorEastAsia" w:cstheme="majorBidi"/>
      <w:color w:val="0F4761" w:themeColor="accent1" w:themeShade="BF"/>
      <w:lang w:val="en-US"/>
    </w:rPr>
  </w:style>
  <w:style w:type="character" w:customStyle="1" w:styleId="Kop6Char">
    <w:name w:val="Kop 6 Char"/>
    <w:basedOn w:val="Standaardalinea-lettertype"/>
    <w:link w:val="Kop6"/>
    <w:uiPriority w:val="9"/>
    <w:semiHidden/>
    <w:rsid w:val="0091118D"/>
    <w:rPr>
      <w:rFonts w:eastAsiaTheme="majorEastAsia" w:cstheme="majorBidi"/>
      <w:i/>
      <w:iCs/>
      <w:color w:val="595959" w:themeColor="text1" w:themeTint="A6"/>
      <w:lang w:val="en-US"/>
    </w:rPr>
  </w:style>
  <w:style w:type="character" w:customStyle="1" w:styleId="Kop7Char">
    <w:name w:val="Kop 7 Char"/>
    <w:basedOn w:val="Standaardalinea-lettertype"/>
    <w:link w:val="Kop7"/>
    <w:uiPriority w:val="9"/>
    <w:semiHidden/>
    <w:rsid w:val="0091118D"/>
    <w:rPr>
      <w:rFonts w:eastAsiaTheme="majorEastAsia" w:cstheme="majorBidi"/>
      <w:color w:val="595959" w:themeColor="text1" w:themeTint="A6"/>
      <w:lang w:val="en-US"/>
    </w:rPr>
  </w:style>
  <w:style w:type="character" w:customStyle="1" w:styleId="Kop8Char">
    <w:name w:val="Kop 8 Char"/>
    <w:basedOn w:val="Standaardalinea-lettertype"/>
    <w:link w:val="Kop8"/>
    <w:uiPriority w:val="9"/>
    <w:semiHidden/>
    <w:rsid w:val="0091118D"/>
    <w:rPr>
      <w:rFonts w:eastAsiaTheme="majorEastAsia" w:cstheme="majorBidi"/>
      <w:i/>
      <w:iCs/>
      <w:color w:val="272727" w:themeColor="text1" w:themeTint="D8"/>
      <w:lang w:val="en-US"/>
    </w:rPr>
  </w:style>
  <w:style w:type="character" w:customStyle="1" w:styleId="Kop9Char">
    <w:name w:val="Kop 9 Char"/>
    <w:basedOn w:val="Standaardalinea-lettertype"/>
    <w:link w:val="Kop9"/>
    <w:uiPriority w:val="9"/>
    <w:semiHidden/>
    <w:rsid w:val="0091118D"/>
    <w:rPr>
      <w:rFonts w:eastAsiaTheme="majorEastAsia" w:cstheme="majorBidi"/>
      <w:color w:val="272727" w:themeColor="text1" w:themeTint="D8"/>
      <w:lang w:val="en-US"/>
    </w:rPr>
  </w:style>
  <w:style w:type="paragraph" w:styleId="Titel">
    <w:name w:val="Title"/>
    <w:basedOn w:val="Standaard"/>
    <w:next w:val="Standaard"/>
    <w:link w:val="TitelChar"/>
    <w:uiPriority w:val="10"/>
    <w:qFormat/>
    <w:rsid w:val="000D79D0"/>
    <w:pPr>
      <w:spacing w:after="80" w:line="240" w:lineRule="auto"/>
      <w:contextualSpacing/>
    </w:pPr>
    <w:rPr>
      <w:rFonts w:asciiTheme="majorHAnsi" w:eastAsiaTheme="majorEastAsia" w:hAnsiTheme="majorHAnsi" w:cstheme="majorBidi"/>
      <w:spacing w:val="-10"/>
      <w:kern w:val="28"/>
      <w:sz w:val="32"/>
      <w:szCs w:val="56"/>
    </w:rPr>
  </w:style>
  <w:style w:type="character" w:customStyle="1" w:styleId="TitelChar">
    <w:name w:val="Titel Char"/>
    <w:basedOn w:val="Standaardalinea-lettertype"/>
    <w:link w:val="Titel"/>
    <w:uiPriority w:val="10"/>
    <w:rsid w:val="000D79D0"/>
    <w:rPr>
      <w:rFonts w:asciiTheme="majorHAnsi" w:eastAsiaTheme="majorEastAsia" w:hAnsiTheme="majorHAnsi" w:cstheme="majorBidi"/>
      <w:spacing w:val="-10"/>
      <w:kern w:val="28"/>
      <w:sz w:val="32"/>
      <w:szCs w:val="56"/>
      <w:lang w:val="en-US"/>
    </w:rPr>
  </w:style>
  <w:style w:type="paragraph" w:styleId="Ondertitel">
    <w:name w:val="Subtitle"/>
    <w:basedOn w:val="Standaard"/>
    <w:next w:val="Standaard"/>
    <w:link w:val="OndertitelChar"/>
    <w:uiPriority w:val="11"/>
    <w:qFormat/>
    <w:rsid w:val="009111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1118D"/>
    <w:rPr>
      <w:rFonts w:eastAsiaTheme="majorEastAsia" w:cstheme="majorBidi"/>
      <w:color w:val="595959" w:themeColor="text1" w:themeTint="A6"/>
      <w:spacing w:val="15"/>
      <w:sz w:val="28"/>
      <w:szCs w:val="28"/>
      <w:lang w:val="en-US"/>
    </w:rPr>
  </w:style>
  <w:style w:type="paragraph" w:styleId="Citaat">
    <w:name w:val="Quote"/>
    <w:basedOn w:val="Standaard"/>
    <w:next w:val="Standaard"/>
    <w:link w:val="CitaatChar"/>
    <w:uiPriority w:val="29"/>
    <w:qFormat/>
    <w:rsid w:val="009111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1118D"/>
    <w:rPr>
      <w:i/>
      <w:iCs/>
      <w:color w:val="404040" w:themeColor="text1" w:themeTint="BF"/>
      <w:lang w:val="en-US"/>
    </w:rPr>
  </w:style>
  <w:style w:type="paragraph" w:styleId="Lijstalinea">
    <w:name w:val="List Paragraph"/>
    <w:basedOn w:val="Standaard"/>
    <w:uiPriority w:val="34"/>
    <w:qFormat/>
    <w:rsid w:val="0091118D"/>
    <w:pPr>
      <w:ind w:left="720"/>
      <w:contextualSpacing/>
    </w:pPr>
  </w:style>
  <w:style w:type="character" w:styleId="Intensievebenadrukking">
    <w:name w:val="Intense Emphasis"/>
    <w:basedOn w:val="Standaardalinea-lettertype"/>
    <w:uiPriority w:val="21"/>
    <w:qFormat/>
    <w:rsid w:val="0091118D"/>
    <w:rPr>
      <w:i/>
      <w:iCs/>
      <w:color w:val="0F4761" w:themeColor="accent1" w:themeShade="BF"/>
    </w:rPr>
  </w:style>
  <w:style w:type="paragraph" w:styleId="Duidelijkcitaat">
    <w:name w:val="Intense Quote"/>
    <w:basedOn w:val="Standaard"/>
    <w:next w:val="Standaard"/>
    <w:link w:val="DuidelijkcitaatChar"/>
    <w:uiPriority w:val="30"/>
    <w:qFormat/>
    <w:rsid w:val="009111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1118D"/>
    <w:rPr>
      <w:i/>
      <w:iCs/>
      <w:color w:val="0F4761" w:themeColor="accent1" w:themeShade="BF"/>
      <w:lang w:val="en-US"/>
    </w:rPr>
  </w:style>
  <w:style w:type="character" w:styleId="Intensieveverwijzing">
    <w:name w:val="Intense Reference"/>
    <w:basedOn w:val="Standaardalinea-lettertype"/>
    <w:uiPriority w:val="32"/>
    <w:qFormat/>
    <w:rsid w:val="0091118D"/>
    <w:rPr>
      <w:b/>
      <w:bCs/>
      <w:smallCaps/>
      <w:color w:val="0F4761" w:themeColor="accent1" w:themeShade="BF"/>
      <w:spacing w:val="5"/>
    </w:rPr>
  </w:style>
  <w:style w:type="table" w:styleId="Tabelraster">
    <w:name w:val="Table Grid"/>
    <w:basedOn w:val="Standaardtabel"/>
    <w:uiPriority w:val="39"/>
    <w:rsid w:val="00606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DE067B"/>
    <w:pPr>
      <w:spacing w:after="200" w:line="240" w:lineRule="auto"/>
    </w:pPr>
    <w:rPr>
      <w:i/>
      <w:iCs/>
      <w:color w:val="0E2841" w:themeColor="text2"/>
      <w:sz w:val="18"/>
      <w:szCs w:val="18"/>
    </w:rPr>
  </w:style>
  <w:style w:type="character" w:styleId="Tekstvantijdelijkeaanduiding">
    <w:name w:val="Placeholder Text"/>
    <w:basedOn w:val="Standaardalinea-lettertype"/>
    <w:uiPriority w:val="99"/>
    <w:semiHidden/>
    <w:rsid w:val="009B55DD"/>
    <w:rPr>
      <w:color w:val="666666"/>
    </w:rPr>
  </w:style>
  <w:style w:type="character" w:styleId="Verwijzingopmerking">
    <w:name w:val="annotation reference"/>
    <w:basedOn w:val="Standaardalinea-lettertype"/>
    <w:uiPriority w:val="99"/>
    <w:semiHidden/>
    <w:unhideWhenUsed/>
    <w:rsid w:val="00A025DB"/>
    <w:rPr>
      <w:sz w:val="16"/>
      <w:szCs w:val="16"/>
    </w:rPr>
  </w:style>
  <w:style w:type="paragraph" w:styleId="Tekstopmerking">
    <w:name w:val="annotation text"/>
    <w:basedOn w:val="Standaard"/>
    <w:link w:val="TekstopmerkingChar"/>
    <w:uiPriority w:val="99"/>
    <w:unhideWhenUsed/>
    <w:rsid w:val="00A025DB"/>
    <w:pPr>
      <w:spacing w:line="240" w:lineRule="auto"/>
    </w:pPr>
    <w:rPr>
      <w:sz w:val="20"/>
      <w:szCs w:val="20"/>
    </w:rPr>
  </w:style>
  <w:style w:type="character" w:customStyle="1" w:styleId="TekstopmerkingChar">
    <w:name w:val="Tekst opmerking Char"/>
    <w:basedOn w:val="Standaardalinea-lettertype"/>
    <w:link w:val="Tekstopmerking"/>
    <w:uiPriority w:val="99"/>
    <w:rsid w:val="00A025DB"/>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A025DB"/>
    <w:rPr>
      <w:b/>
      <w:bCs/>
    </w:rPr>
  </w:style>
  <w:style w:type="character" w:customStyle="1" w:styleId="OnderwerpvanopmerkingChar">
    <w:name w:val="Onderwerp van opmerking Char"/>
    <w:basedOn w:val="TekstopmerkingChar"/>
    <w:link w:val="Onderwerpvanopmerking"/>
    <w:uiPriority w:val="99"/>
    <w:semiHidden/>
    <w:rsid w:val="00A025DB"/>
    <w:rPr>
      <w:b/>
      <w:bCs/>
      <w:sz w:val="20"/>
      <w:szCs w:val="20"/>
      <w:lang w:val="en-US"/>
    </w:rPr>
  </w:style>
  <w:style w:type="paragraph" w:styleId="Bibliografie">
    <w:name w:val="Bibliography"/>
    <w:basedOn w:val="Standaard"/>
    <w:next w:val="Standaard"/>
    <w:uiPriority w:val="37"/>
    <w:unhideWhenUsed/>
    <w:rsid w:val="00043C2B"/>
    <w:pPr>
      <w:tabs>
        <w:tab w:val="left" w:pos="384"/>
      </w:tabs>
      <w:spacing w:after="240" w:line="240" w:lineRule="auto"/>
      <w:ind w:left="384" w:hanging="384"/>
    </w:pPr>
  </w:style>
  <w:style w:type="paragraph" w:customStyle="1" w:styleId="TableFigTOC">
    <w:name w:val="TableFigTOC"/>
    <w:basedOn w:val="Bijschrift"/>
    <w:link w:val="TableFigTOCChar"/>
    <w:qFormat/>
    <w:rsid w:val="00364813"/>
    <w:pPr>
      <w:keepNext/>
      <w:outlineLvl w:val="2"/>
    </w:pPr>
    <w:rPr>
      <w:i w:val="0"/>
      <w:color w:val="auto"/>
    </w:rPr>
  </w:style>
  <w:style w:type="character" w:customStyle="1" w:styleId="TableFigTOCChar">
    <w:name w:val="TableFigTOC Char"/>
    <w:basedOn w:val="Standaardalinea-lettertype"/>
    <w:link w:val="TableFigTOC"/>
    <w:rsid w:val="00364813"/>
    <w:rPr>
      <w:iCs/>
      <w:sz w:val="18"/>
      <w:szCs w:val="18"/>
      <w:lang w:val="en-US"/>
    </w:rPr>
  </w:style>
  <w:style w:type="character" w:styleId="Hyperlink">
    <w:name w:val="Hyperlink"/>
    <w:basedOn w:val="Standaardalinea-lettertype"/>
    <w:uiPriority w:val="99"/>
    <w:unhideWhenUsed/>
    <w:rsid w:val="009A027D"/>
    <w:rPr>
      <w:color w:val="467886" w:themeColor="hyperlink"/>
      <w:u w:val="single"/>
    </w:rPr>
  </w:style>
  <w:style w:type="character" w:styleId="Onopgelostemelding">
    <w:name w:val="Unresolved Mention"/>
    <w:basedOn w:val="Standaardalinea-lettertype"/>
    <w:uiPriority w:val="99"/>
    <w:semiHidden/>
    <w:unhideWhenUsed/>
    <w:rsid w:val="009A027D"/>
    <w:rPr>
      <w:color w:val="605E5C"/>
      <w:shd w:val="clear" w:color="auto" w:fill="E1DFDD"/>
    </w:rPr>
  </w:style>
  <w:style w:type="paragraph" w:styleId="Kopvaninhoudsopgave">
    <w:name w:val="TOC Heading"/>
    <w:basedOn w:val="Kop1"/>
    <w:next w:val="Standaard"/>
    <w:uiPriority w:val="39"/>
    <w:unhideWhenUsed/>
    <w:qFormat/>
    <w:rsid w:val="006974DD"/>
    <w:pPr>
      <w:spacing w:before="240" w:after="0"/>
      <w:outlineLvl w:val="9"/>
    </w:pPr>
    <w:rPr>
      <w:b/>
      <w:kern w:val="0"/>
      <w:sz w:val="24"/>
      <w:szCs w:val="32"/>
      <w:lang w:val="nl-NL" w:eastAsia="nl-NL"/>
      <w14:ligatures w14:val="none"/>
    </w:rPr>
  </w:style>
  <w:style w:type="paragraph" w:styleId="Inhopg1">
    <w:name w:val="toc 1"/>
    <w:basedOn w:val="Standaard"/>
    <w:next w:val="Standaard"/>
    <w:autoRedefine/>
    <w:uiPriority w:val="39"/>
    <w:unhideWhenUsed/>
    <w:rsid w:val="006974DD"/>
    <w:pPr>
      <w:spacing w:after="100"/>
    </w:pPr>
  </w:style>
  <w:style w:type="paragraph" w:styleId="Inhopg3">
    <w:name w:val="toc 3"/>
    <w:basedOn w:val="Standaard"/>
    <w:next w:val="Standaard"/>
    <w:autoRedefine/>
    <w:uiPriority w:val="39"/>
    <w:unhideWhenUsed/>
    <w:rsid w:val="006974DD"/>
    <w:pPr>
      <w:spacing w:after="100"/>
      <w:ind w:left="440"/>
    </w:pPr>
  </w:style>
  <w:style w:type="paragraph" w:styleId="Koptekst">
    <w:name w:val="header"/>
    <w:basedOn w:val="Standaard"/>
    <w:link w:val="KoptekstChar"/>
    <w:uiPriority w:val="99"/>
    <w:unhideWhenUsed/>
    <w:rsid w:val="00FB2B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B2B01"/>
    <w:rPr>
      <w:lang w:val="en-US"/>
    </w:rPr>
  </w:style>
  <w:style w:type="paragraph" w:styleId="Voettekst">
    <w:name w:val="footer"/>
    <w:basedOn w:val="Standaard"/>
    <w:link w:val="VoettekstChar"/>
    <w:uiPriority w:val="99"/>
    <w:unhideWhenUsed/>
    <w:rsid w:val="00FB2B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B2B0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088979">
      <w:bodyDiv w:val="1"/>
      <w:marLeft w:val="0"/>
      <w:marRight w:val="0"/>
      <w:marTop w:val="0"/>
      <w:marBottom w:val="0"/>
      <w:divBdr>
        <w:top w:val="none" w:sz="0" w:space="0" w:color="auto"/>
        <w:left w:val="none" w:sz="0" w:space="0" w:color="auto"/>
        <w:bottom w:val="none" w:sz="0" w:space="0" w:color="auto"/>
        <w:right w:val="none" w:sz="0" w:space="0" w:color="auto"/>
      </w:divBdr>
      <w:divsChild>
        <w:div w:id="519470057">
          <w:marLeft w:val="0"/>
          <w:marRight w:val="0"/>
          <w:marTop w:val="0"/>
          <w:marBottom w:val="0"/>
          <w:divBdr>
            <w:top w:val="none" w:sz="0" w:space="0" w:color="auto"/>
            <w:left w:val="none" w:sz="0" w:space="0" w:color="auto"/>
            <w:bottom w:val="none" w:sz="0" w:space="0" w:color="auto"/>
            <w:right w:val="none" w:sz="0" w:space="0" w:color="auto"/>
          </w:divBdr>
        </w:div>
      </w:divsChild>
    </w:div>
    <w:div w:id="1512990252">
      <w:bodyDiv w:val="1"/>
      <w:marLeft w:val="0"/>
      <w:marRight w:val="0"/>
      <w:marTop w:val="0"/>
      <w:marBottom w:val="0"/>
      <w:divBdr>
        <w:top w:val="none" w:sz="0" w:space="0" w:color="auto"/>
        <w:left w:val="none" w:sz="0" w:space="0" w:color="auto"/>
        <w:bottom w:val="none" w:sz="0" w:space="0" w:color="auto"/>
        <w:right w:val="none" w:sz="0" w:space="0" w:color="auto"/>
      </w:divBdr>
      <w:divsChild>
        <w:div w:id="660735843">
          <w:marLeft w:val="0"/>
          <w:marRight w:val="0"/>
          <w:marTop w:val="0"/>
          <w:marBottom w:val="0"/>
          <w:divBdr>
            <w:top w:val="none" w:sz="0" w:space="0" w:color="auto"/>
            <w:left w:val="none" w:sz="0" w:space="0" w:color="auto"/>
            <w:bottom w:val="none" w:sz="0" w:space="0" w:color="auto"/>
            <w:right w:val="none" w:sz="0" w:space="0" w:color="auto"/>
          </w:divBdr>
        </w:div>
      </w:divsChild>
    </w:div>
    <w:div w:id="1790317261">
      <w:bodyDiv w:val="1"/>
      <w:marLeft w:val="0"/>
      <w:marRight w:val="0"/>
      <w:marTop w:val="0"/>
      <w:marBottom w:val="0"/>
      <w:divBdr>
        <w:top w:val="none" w:sz="0" w:space="0" w:color="auto"/>
        <w:left w:val="none" w:sz="0" w:space="0" w:color="auto"/>
        <w:bottom w:val="none" w:sz="0" w:space="0" w:color="auto"/>
        <w:right w:val="none" w:sz="0" w:space="0" w:color="auto"/>
      </w:divBdr>
      <w:divsChild>
        <w:div w:id="833378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elmus@uva.nl"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62DFE-CB00-4554-B2F4-05023241A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3348</Words>
  <Characters>18417</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Helmus</dc:creator>
  <cp:keywords/>
  <dc:description/>
  <cp:lastModifiedBy>Rick Helmus</cp:lastModifiedBy>
  <cp:revision>509</cp:revision>
  <dcterms:created xsi:type="dcterms:W3CDTF">2025-06-20T14:27:00Z</dcterms:created>
  <dcterms:modified xsi:type="dcterms:W3CDTF">2026-04-24T13:01:00Z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id="sCmvcyKm"/&gt;&lt;style id="http://www.zotero.org/styles/journal-of-cheminformatics" hasBibliography="1" bibliographyStyleHasBeenSet="1"/&gt;&lt;prefs&gt;&lt;pref name="fieldType" value="Field"/&gt;&lt;/prefs&gt;&lt;/data&gt;</vt:lpwstr>
  </property>
</Properties>
</file>