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2D807" w14:textId="4DC6819C" w:rsidR="00AE5B81" w:rsidRDefault="00AE5B81" w:rsidP="00AE5B81">
      <w:pPr>
        <w:widowControl/>
        <w:shd w:val="clear" w:color="auto" w:fill="FFFFFF"/>
        <w:spacing w:before="100" w:beforeAutospacing="1" w:after="240"/>
        <w:jc w:val="left"/>
        <w:outlineLvl w:val="2"/>
      </w:pPr>
      <w:r w:rsidRPr="00AE5B81">
        <w:rPr>
          <w:rFonts w:ascii="Times New Roman" w:eastAsia="宋体" w:hAnsi="Times New Roman" w:cs="Times New Roman"/>
          <w:b/>
          <w:bCs/>
          <w:color w:val="222222"/>
          <w:spacing w:val="2"/>
          <w:kern w:val="0"/>
          <w:sz w:val="27"/>
          <w:szCs w:val="27"/>
        </w:rPr>
        <w:t>Supplementary material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641E3D0" wp14:editId="1FE54674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264785" cy="853440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B2CC27" w14:textId="35165626" w:rsidR="00232F69" w:rsidRDefault="00AE5B81" w:rsidP="00AE5B81">
      <w:pPr>
        <w:autoSpaceDE w:val="0"/>
        <w:autoSpaceDN w:val="0"/>
        <w:adjustRightInd w:val="0"/>
        <w:jc w:val="left"/>
        <w:rPr>
          <w:rFonts w:ascii="CMR8" w:eastAsia="CMR8" w:cs="CMR8"/>
          <w:kern w:val="0"/>
          <w:sz w:val="16"/>
          <w:szCs w:val="16"/>
        </w:rPr>
      </w:pPr>
      <w:r w:rsidRPr="00AE5B81">
        <w:rPr>
          <w:b/>
          <w:bCs/>
        </w:rPr>
        <w:lastRenderedPageBreak/>
        <w:t xml:space="preserve"> </w:t>
      </w:r>
      <w:r w:rsidRPr="00AE5B81">
        <w:rPr>
          <w:rFonts w:ascii="CMBX8" w:eastAsia="CMBX8" w:cs="CMBX8"/>
          <w:b/>
          <w:bCs/>
          <w:kern w:val="0"/>
          <w:sz w:val="16"/>
          <w:szCs w:val="16"/>
        </w:rPr>
        <w:t>Fig. S1</w:t>
      </w:r>
      <w:r>
        <w:rPr>
          <w:rFonts w:ascii="CMBX8" w:eastAsia="CMBX8" w:cs="CMBX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Detailed Study Design and Patient Flow Diagram. The figure presents the end-to-end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pipeline of RD-MMS across seven sequential phases: multimodal data integration (Phase I), cohort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construction and target labeling with semantic masking (Phase II), RD encoding of LIS data (Phase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III), multimodal feature engineering (Phase IV), four-dimensional leakage control (Phase V), stacking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 xml:space="preserve">ensemble training via 5-fold </w:t>
      </w:r>
      <w:proofErr w:type="spellStart"/>
      <w:r>
        <w:rPr>
          <w:rFonts w:ascii="CMR8" w:eastAsia="CMR8" w:cs="CMR8"/>
          <w:kern w:val="0"/>
          <w:sz w:val="16"/>
          <w:szCs w:val="16"/>
        </w:rPr>
        <w:t>GroupKFold</w:t>
      </w:r>
      <w:proofErr w:type="spellEnd"/>
      <w:r>
        <w:rPr>
          <w:rFonts w:ascii="CMR8" w:eastAsia="CMR8" w:cs="CMR8"/>
          <w:kern w:val="0"/>
          <w:sz w:val="16"/>
          <w:szCs w:val="16"/>
        </w:rPr>
        <w:t xml:space="preserve"> ross-validation (Phase VI), and comprehensive validation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including internal OOF evaluation and external validation on the sealed 2025 holdout cohort (Phase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VII). Key statistics are annotated at each phase.</w:t>
      </w:r>
    </w:p>
    <w:p w14:paraId="34F3B869" w14:textId="77777777" w:rsidR="00AE5B81" w:rsidRDefault="00AE5B81" w:rsidP="00AE5B81">
      <w:pPr>
        <w:autoSpaceDE w:val="0"/>
        <w:autoSpaceDN w:val="0"/>
        <w:adjustRightInd w:val="0"/>
        <w:jc w:val="left"/>
        <w:rPr>
          <w:rFonts w:ascii="CMR8" w:eastAsia="CMR8" w:cs="CMR8"/>
          <w:kern w:val="0"/>
          <w:sz w:val="16"/>
          <w:szCs w:val="16"/>
        </w:rPr>
      </w:pPr>
    </w:p>
    <w:p w14:paraId="312908B2" w14:textId="54410560" w:rsidR="00AE5B81" w:rsidRDefault="00AE5B81" w:rsidP="00AE5B81">
      <w:pPr>
        <w:rPr>
          <w:rFonts w:ascii="CMR8" w:eastAsia="CMR8" w:cs="CMR8"/>
          <w:kern w:val="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31B401" wp14:editId="67C85880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5274310" cy="2152650"/>
            <wp:effectExtent l="0" t="0" r="254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5B81">
        <w:rPr>
          <w:rFonts w:ascii="CMBX8" w:eastAsia="CMBX8" w:cs="CMBX8"/>
          <w:b/>
          <w:bCs/>
          <w:kern w:val="0"/>
          <w:sz w:val="16"/>
          <w:szCs w:val="16"/>
        </w:rPr>
        <w:t>Fig. S2</w:t>
      </w:r>
      <w:r>
        <w:rPr>
          <w:rFonts w:ascii="CMBX8" w:eastAsia="CMBX8" w:cs="CMBX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 xml:space="preserve">Precision-Recall Curves: Internal Validation (5-fold OOF). Left panel: DM-to-HTN </w:t>
      </w:r>
      <w:proofErr w:type="spellStart"/>
      <w:proofErr w:type="gramStart"/>
      <w:r>
        <w:rPr>
          <w:rFonts w:ascii="CMR8" w:eastAsia="CMR8" w:cs="CMR8"/>
          <w:kern w:val="0"/>
          <w:sz w:val="16"/>
          <w:szCs w:val="16"/>
        </w:rPr>
        <w:t>task;right</w:t>
      </w:r>
      <w:proofErr w:type="spellEnd"/>
      <w:proofErr w:type="gramEnd"/>
      <w:r>
        <w:rPr>
          <w:rFonts w:ascii="CMR8" w:eastAsia="CMR8" w:cs="CMR8"/>
          <w:kern w:val="0"/>
          <w:sz w:val="16"/>
          <w:szCs w:val="16"/>
        </w:rPr>
        <w:t xml:space="preserve"> panel: HTN-to-DM task. The dotted horizontal line at 0.167 represents the no-skill </w:t>
      </w:r>
      <w:proofErr w:type="spellStart"/>
      <w:r>
        <w:rPr>
          <w:rFonts w:ascii="CMR8" w:eastAsia="CMR8" w:cs="CMR8"/>
          <w:kern w:val="0"/>
          <w:sz w:val="16"/>
          <w:szCs w:val="16"/>
        </w:rPr>
        <w:t>baseline.The</w:t>
      </w:r>
      <w:proofErr w:type="spellEnd"/>
      <w:r>
        <w:rPr>
          <w:rFonts w:ascii="CMR8" w:eastAsia="CMR8" w:cs="CMR8"/>
          <w:kern w:val="0"/>
          <w:sz w:val="16"/>
          <w:szCs w:val="16"/>
        </w:rPr>
        <w:t xml:space="preserve"> Stacking ensemble achieves the highest average precision in both tasks (AP = 0</w:t>
      </w:r>
      <w:r>
        <w:rPr>
          <w:rFonts w:ascii="CMMI8" w:eastAsia="CMMI8" w:cs="CMMI8"/>
          <w:kern w:val="0"/>
          <w:sz w:val="16"/>
          <w:szCs w:val="16"/>
        </w:rPr>
        <w:t>.</w:t>
      </w:r>
      <w:r>
        <w:rPr>
          <w:rFonts w:ascii="CMR8" w:eastAsia="CMR8" w:cs="CMR8"/>
          <w:kern w:val="0"/>
          <w:sz w:val="16"/>
          <w:szCs w:val="16"/>
        </w:rPr>
        <w:t>413 and 0</w:t>
      </w:r>
      <w:r>
        <w:rPr>
          <w:rFonts w:ascii="CMMI8" w:eastAsia="CMMI8" w:cs="CMMI8"/>
          <w:kern w:val="0"/>
          <w:sz w:val="16"/>
          <w:szCs w:val="16"/>
        </w:rPr>
        <w:t>.</w:t>
      </w:r>
      <w:r>
        <w:rPr>
          <w:rFonts w:ascii="CMR8" w:eastAsia="CMR8" w:cs="CMR8"/>
          <w:kern w:val="0"/>
          <w:sz w:val="16"/>
          <w:szCs w:val="16"/>
        </w:rPr>
        <w:t>401,respectively), representing 2.4</w:t>
      </w:r>
      <w:r>
        <w:rPr>
          <w:rFonts w:ascii="CMR8" w:eastAsia="CMR8" w:cs="CMR8" w:hint="eastAsia"/>
          <w:kern w:val="0"/>
          <w:sz w:val="16"/>
          <w:szCs w:val="16"/>
        </w:rPr>
        <w:t>–</w:t>
      </w:r>
      <w:r>
        <w:rPr>
          <w:rFonts w:ascii="CMR8" w:eastAsia="CMR8" w:cs="CMR8"/>
          <w:kern w:val="0"/>
          <w:sz w:val="16"/>
          <w:szCs w:val="16"/>
        </w:rPr>
        <w:t>2.5 times the no-skill baseline. All curves are derived from complete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5-fold patient-level OOF prediction vectors.</w:t>
      </w:r>
    </w:p>
    <w:p w14:paraId="5D780CF7" w14:textId="61963872" w:rsidR="00AE5B81" w:rsidRDefault="00AE5B81" w:rsidP="00AE5B81">
      <w:pPr>
        <w:rPr>
          <w:rFonts w:ascii="CMR8" w:cs="CMR8"/>
          <w:kern w:val="0"/>
          <w:sz w:val="16"/>
          <w:szCs w:val="16"/>
        </w:rPr>
      </w:pPr>
    </w:p>
    <w:p w14:paraId="5B0049A6" w14:textId="73A24C62" w:rsidR="00AE5B81" w:rsidRDefault="00AE5B81" w:rsidP="00AE5B81">
      <w:pPr>
        <w:autoSpaceDE w:val="0"/>
        <w:autoSpaceDN w:val="0"/>
        <w:adjustRightInd w:val="0"/>
        <w:jc w:val="left"/>
        <w:rPr>
          <w:rFonts w:ascii="CMR8" w:eastAsia="CMR8" w:cs="CMR8"/>
          <w:kern w:val="0"/>
          <w:sz w:val="16"/>
          <w:szCs w:val="16"/>
        </w:rPr>
      </w:pPr>
      <w:r>
        <w:rPr>
          <w:noProof/>
        </w:rPr>
        <w:drawing>
          <wp:inline distT="0" distB="0" distL="0" distR="0" wp14:anchorId="7C1BD2AF" wp14:editId="2582D675">
            <wp:extent cx="5274310" cy="202882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B81">
        <w:rPr>
          <w:rFonts w:ascii="CMBX8" w:eastAsia="CMBX8" w:cs="CMBX8"/>
          <w:b/>
          <w:bCs/>
          <w:kern w:val="0"/>
          <w:sz w:val="16"/>
          <w:szCs w:val="16"/>
        </w:rPr>
        <w:t>Fig. S3</w:t>
      </w:r>
      <w:r>
        <w:rPr>
          <w:rFonts w:ascii="CMBX8" w:eastAsia="CMBX8" w:cs="CMBX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Internal vs. External Validation: AUROC Comparison. Grouped bar charts compare internal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OOF AUROC (solid bars) and external 2025 holdout AUROC (hatched bars) for five models in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the DM-to-HTN (left) and HTN-to-DM (right) tasks. Random Forest exhibits the largest temporal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 xml:space="preserve">degradation (DM-to-HTN: </w:t>
      </w:r>
      <w:r>
        <w:rPr>
          <w:rFonts w:ascii="CMR8" w:eastAsia="CMR8" w:cs="CMR8" w:hint="eastAsia"/>
          <w:kern w:val="0"/>
          <w:sz w:val="16"/>
          <w:szCs w:val="16"/>
        </w:rPr>
        <w:t>Δ</w:t>
      </w:r>
      <w:r>
        <w:rPr>
          <w:rFonts w:ascii="CMR8" w:eastAsia="CMR8" w:cs="CMR8"/>
          <w:kern w:val="0"/>
          <w:sz w:val="16"/>
          <w:szCs w:val="16"/>
        </w:rPr>
        <w:t xml:space="preserve"> = 0</w:t>
      </w:r>
      <w:r>
        <w:rPr>
          <w:rFonts w:ascii="CMMI8" w:eastAsia="CMMI8" w:cs="CMMI8"/>
          <w:kern w:val="0"/>
          <w:sz w:val="16"/>
          <w:szCs w:val="16"/>
        </w:rPr>
        <w:t>.</w:t>
      </w:r>
      <w:r>
        <w:rPr>
          <w:rFonts w:ascii="CMR8" w:eastAsia="CMR8" w:cs="CMR8"/>
          <w:kern w:val="0"/>
          <w:sz w:val="16"/>
          <w:szCs w:val="16"/>
        </w:rPr>
        <w:t xml:space="preserve">122; HTN-to-DM: </w:t>
      </w:r>
      <w:r>
        <w:rPr>
          <w:rFonts w:ascii="CMR8" w:eastAsia="CMR8" w:cs="CMR8" w:hint="eastAsia"/>
          <w:kern w:val="0"/>
          <w:sz w:val="16"/>
          <w:szCs w:val="16"/>
        </w:rPr>
        <w:t>Δ</w:t>
      </w:r>
      <w:r>
        <w:rPr>
          <w:rFonts w:ascii="CMR8" w:eastAsia="CMR8" w:cs="CMR8"/>
          <w:kern w:val="0"/>
          <w:sz w:val="16"/>
          <w:szCs w:val="16"/>
        </w:rPr>
        <w:t xml:space="preserve"> = 0</w:t>
      </w:r>
      <w:r>
        <w:rPr>
          <w:rFonts w:ascii="CMMI8" w:eastAsia="CMMI8" w:cs="CMMI8"/>
          <w:kern w:val="0"/>
          <w:sz w:val="16"/>
          <w:szCs w:val="16"/>
        </w:rPr>
        <w:t>.</w:t>
      </w:r>
      <w:r>
        <w:rPr>
          <w:rFonts w:ascii="CMR8" w:eastAsia="CMR8" w:cs="CMR8"/>
          <w:kern w:val="0"/>
          <w:sz w:val="16"/>
          <w:szCs w:val="16"/>
        </w:rPr>
        <w:t>039), while the Stacking ensemble shows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 xml:space="preserve">the smallest drift (DM-to-HTN: </w:t>
      </w:r>
      <w:r>
        <w:rPr>
          <w:rFonts w:ascii="CMR8" w:eastAsia="CMR8" w:cs="CMR8" w:hint="eastAsia"/>
          <w:kern w:val="0"/>
          <w:sz w:val="16"/>
          <w:szCs w:val="16"/>
        </w:rPr>
        <w:t>Δ</w:t>
      </w:r>
      <w:r>
        <w:rPr>
          <w:rFonts w:ascii="CMR8" w:eastAsia="CMR8" w:cs="CMR8"/>
          <w:kern w:val="0"/>
          <w:sz w:val="16"/>
          <w:szCs w:val="16"/>
        </w:rPr>
        <w:t xml:space="preserve"> = 0</w:t>
      </w:r>
      <w:r>
        <w:rPr>
          <w:rFonts w:ascii="CMMI8" w:eastAsia="CMMI8" w:cs="CMMI8"/>
          <w:kern w:val="0"/>
          <w:sz w:val="16"/>
          <w:szCs w:val="16"/>
        </w:rPr>
        <w:t>.</w:t>
      </w:r>
      <w:r>
        <w:rPr>
          <w:rFonts w:ascii="CMR8" w:eastAsia="CMR8" w:cs="CMR8"/>
          <w:kern w:val="0"/>
          <w:sz w:val="16"/>
          <w:szCs w:val="16"/>
        </w:rPr>
        <w:t xml:space="preserve">013; HTN-to-DM: </w:t>
      </w:r>
      <w:r>
        <w:rPr>
          <w:rFonts w:ascii="CMR8" w:eastAsia="CMR8" w:cs="CMR8" w:hint="eastAsia"/>
          <w:kern w:val="0"/>
          <w:sz w:val="16"/>
          <w:szCs w:val="16"/>
        </w:rPr>
        <w:t>Δ</w:t>
      </w:r>
      <w:r>
        <w:rPr>
          <w:rFonts w:ascii="CMR8" w:eastAsia="CMR8" w:cs="CMR8"/>
          <w:kern w:val="0"/>
          <w:sz w:val="16"/>
          <w:szCs w:val="16"/>
        </w:rPr>
        <w:t xml:space="preserve"> = 0</w:t>
      </w:r>
      <w:r>
        <w:rPr>
          <w:rFonts w:ascii="CMMI8" w:eastAsia="CMMI8" w:cs="CMMI8"/>
          <w:kern w:val="0"/>
          <w:sz w:val="16"/>
          <w:szCs w:val="16"/>
        </w:rPr>
        <w:t>.</w:t>
      </w:r>
      <w:r>
        <w:rPr>
          <w:rFonts w:ascii="CMR8" w:eastAsia="CMR8" w:cs="CMR8"/>
          <w:kern w:val="0"/>
          <w:sz w:val="16"/>
          <w:szCs w:val="16"/>
        </w:rPr>
        <w:t>015).</w:t>
      </w:r>
    </w:p>
    <w:p w14:paraId="34593301" w14:textId="5D067A50" w:rsidR="00AE5B81" w:rsidRDefault="00AE5B81" w:rsidP="00AE5B81">
      <w:pPr>
        <w:autoSpaceDE w:val="0"/>
        <w:autoSpaceDN w:val="0"/>
        <w:adjustRightInd w:val="0"/>
        <w:jc w:val="left"/>
        <w:rPr>
          <w:rFonts w:ascii="CMR8" w:eastAsia="CMR8" w:cs="CMR8"/>
          <w:kern w:val="0"/>
          <w:sz w:val="16"/>
          <w:szCs w:val="16"/>
        </w:rPr>
      </w:pPr>
    </w:p>
    <w:p w14:paraId="5C8F3DCE" w14:textId="5BB66702" w:rsidR="00AE5B81" w:rsidRDefault="00AE5B81" w:rsidP="00AE5B81">
      <w:pPr>
        <w:autoSpaceDE w:val="0"/>
        <w:autoSpaceDN w:val="0"/>
        <w:adjustRightInd w:val="0"/>
        <w:jc w:val="left"/>
        <w:rPr>
          <w:rFonts w:ascii="CMR8" w:eastAsia="CMR8" w:cs="CMR8"/>
          <w:kern w:val="0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3C545C3D" wp14:editId="49073315">
            <wp:extent cx="5274310" cy="181991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B81">
        <w:rPr>
          <w:rFonts w:ascii="CMBX8" w:eastAsia="CMBX8" w:cs="CMBX8"/>
          <w:b/>
          <w:bCs/>
          <w:kern w:val="0"/>
          <w:sz w:val="16"/>
          <w:szCs w:val="16"/>
        </w:rPr>
        <w:t>Fig. S4</w:t>
      </w:r>
      <w:r>
        <w:rPr>
          <w:rFonts w:ascii="CMBX8" w:eastAsia="CMBX8" w:cs="CMBX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 xml:space="preserve">AUROC by Laboratory Test Coverage Group. Grouped bar charts compare the </w:t>
      </w:r>
      <w:proofErr w:type="spellStart"/>
      <w:r>
        <w:rPr>
          <w:rFonts w:ascii="CMR8" w:eastAsia="CMR8" w:cs="CMR8"/>
          <w:kern w:val="0"/>
          <w:sz w:val="16"/>
          <w:szCs w:val="16"/>
        </w:rPr>
        <w:t>numericalonly</w:t>
      </w:r>
      <w:proofErr w:type="spellEnd"/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(light bars) and full multimodal RD-MMS (dark bars) configurations within the high-coverage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 xml:space="preserve">patient stratum (laboratory test coverage </w:t>
      </w:r>
      <w:r>
        <w:rPr>
          <w:rFonts w:ascii="CMSY8" w:eastAsia="CMSY8" w:cs="CMSY8" w:hint="eastAsia"/>
          <w:kern w:val="0"/>
          <w:sz w:val="16"/>
          <w:szCs w:val="16"/>
        </w:rPr>
        <w:t>≥</w:t>
      </w:r>
      <w:r>
        <w:rPr>
          <w:rFonts w:ascii="CMR8" w:eastAsia="CMR8" w:cs="CMR8"/>
          <w:kern w:val="0"/>
          <w:sz w:val="16"/>
          <w:szCs w:val="16"/>
        </w:rPr>
        <w:t xml:space="preserve">50%: DM-to-HTN </w:t>
      </w:r>
      <w:r>
        <w:rPr>
          <w:rFonts w:ascii="CMMI8" w:eastAsia="CMMI8" w:cs="CMMI8"/>
          <w:kern w:val="0"/>
          <w:sz w:val="16"/>
          <w:szCs w:val="16"/>
        </w:rPr>
        <w:t xml:space="preserve">n </w:t>
      </w:r>
      <w:r>
        <w:rPr>
          <w:rFonts w:ascii="CMR8" w:eastAsia="CMR8" w:cs="CMR8"/>
          <w:kern w:val="0"/>
          <w:sz w:val="16"/>
          <w:szCs w:val="16"/>
        </w:rPr>
        <w:t>= 10</w:t>
      </w:r>
      <w:r>
        <w:rPr>
          <w:rFonts w:ascii="CMMI8" w:eastAsia="CMMI8" w:cs="CMMI8"/>
          <w:kern w:val="0"/>
          <w:sz w:val="16"/>
          <w:szCs w:val="16"/>
        </w:rPr>
        <w:t>,</w:t>
      </w:r>
      <w:r>
        <w:rPr>
          <w:rFonts w:ascii="CMR8" w:eastAsia="CMR8" w:cs="CMR8"/>
          <w:kern w:val="0"/>
          <w:sz w:val="16"/>
          <w:szCs w:val="16"/>
        </w:rPr>
        <w:t xml:space="preserve">902; HTN-to-DM </w:t>
      </w:r>
      <w:r>
        <w:rPr>
          <w:rFonts w:ascii="CMMI8" w:eastAsia="CMMI8" w:cs="CMMI8"/>
          <w:kern w:val="0"/>
          <w:sz w:val="16"/>
          <w:szCs w:val="16"/>
        </w:rPr>
        <w:t xml:space="preserve">n </w:t>
      </w:r>
      <w:r>
        <w:rPr>
          <w:rFonts w:ascii="CMR8" w:eastAsia="CMR8" w:cs="CMR8"/>
          <w:kern w:val="0"/>
          <w:sz w:val="16"/>
          <w:szCs w:val="16"/>
        </w:rPr>
        <w:t>= 11</w:t>
      </w:r>
      <w:r>
        <w:rPr>
          <w:rFonts w:ascii="CMMI8" w:eastAsia="CMMI8" w:cs="CMMI8"/>
          <w:kern w:val="0"/>
          <w:sz w:val="16"/>
          <w:szCs w:val="16"/>
        </w:rPr>
        <w:t>,</w:t>
      </w:r>
      <w:r>
        <w:rPr>
          <w:rFonts w:ascii="CMR8" w:eastAsia="CMR8" w:cs="CMR8"/>
          <w:kern w:val="0"/>
          <w:sz w:val="16"/>
          <w:szCs w:val="16"/>
        </w:rPr>
        <w:t>076).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Text features provide gains of +0</w:t>
      </w:r>
      <w:r>
        <w:rPr>
          <w:rFonts w:ascii="CMMI8" w:eastAsia="CMMI8" w:cs="CMMI8"/>
          <w:kern w:val="0"/>
          <w:sz w:val="16"/>
          <w:szCs w:val="16"/>
        </w:rPr>
        <w:t>.</w:t>
      </w:r>
      <w:r>
        <w:rPr>
          <w:rFonts w:ascii="CMR8" w:eastAsia="CMR8" w:cs="CMR8"/>
          <w:kern w:val="0"/>
          <w:sz w:val="16"/>
          <w:szCs w:val="16"/>
        </w:rPr>
        <w:t>014 (DM-to-HTN) and +0</w:t>
      </w:r>
      <w:r>
        <w:rPr>
          <w:rFonts w:ascii="CMMI8" w:eastAsia="CMMI8" w:cs="CMMI8"/>
          <w:kern w:val="0"/>
          <w:sz w:val="16"/>
          <w:szCs w:val="16"/>
        </w:rPr>
        <w:t>.</w:t>
      </w:r>
      <w:r>
        <w:rPr>
          <w:rFonts w:ascii="CMR8" w:eastAsia="CMR8" w:cs="CMR8"/>
          <w:kern w:val="0"/>
          <w:sz w:val="16"/>
          <w:szCs w:val="16"/>
        </w:rPr>
        <w:t>021 (HTN-to-DM) even in patients with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relatively complete laboratory data, indicating that their contribution is additive rather than purely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compensatory.</w:t>
      </w:r>
    </w:p>
    <w:p w14:paraId="7F9A9CA7" w14:textId="6978A635" w:rsidR="00AE5B81" w:rsidRDefault="00AE5B81" w:rsidP="00AE5B81">
      <w:pPr>
        <w:autoSpaceDE w:val="0"/>
        <w:autoSpaceDN w:val="0"/>
        <w:adjustRightInd w:val="0"/>
        <w:jc w:val="left"/>
        <w:rPr>
          <w:rFonts w:ascii="CMR8" w:cs="CMR8"/>
          <w:kern w:val="0"/>
          <w:sz w:val="16"/>
          <w:szCs w:val="16"/>
        </w:rPr>
      </w:pPr>
    </w:p>
    <w:p w14:paraId="548D1CB0" w14:textId="11BFD82F" w:rsidR="00AE5B81" w:rsidRDefault="00AE5B81" w:rsidP="00AE5B81">
      <w:pPr>
        <w:autoSpaceDE w:val="0"/>
        <w:autoSpaceDN w:val="0"/>
        <w:adjustRightInd w:val="0"/>
        <w:jc w:val="left"/>
        <w:rPr>
          <w:b/>
          <w:bCs/>
        </w:rPr>
      </w:pPr>
      <w:r>
        <w:rPr>
          <w:noProof/>
        </w:rPr>
        <w:drawing>
          <wp:inline distT="0" distB="0" distL="0" distR="0" wp14:anchorId="19C6D502" wp14:editId="29FE0984">
            <wp:extent cx="5274310" cy="281749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544A4" w14:textId="4D2F8F25" w:rsidR="00AE5B81" w:rsidRDefault="00AE5B81" w:rsidP="00AE5B81">
      <w:pPr>
        <w:autoSpaceDE w:val="0"/>
        <w:autoSpaceDN w:val="0"/>
        <w:adjustRightInd w:val="0"/>
        <w:jc w:val="left"/>
        <w:rPr>
          <w:rFonts w:ascii="CMR8" w:eastAsia="CMR8" w:cs="CMR8"/>
          <w:kern w:val="0"/>
          <w:sz w:val="16"/>
          <w:szCs w:val="16"/>
        </w:rPr>
      </w:pPr>
      <w:r w:rsidRPr="00AE5B81">
        <w:rPr>
          <w:rFonts w:ascii="CMBX8" w:eastAsia="CMBX8" w:cs="CMBX8"/>
          <w:b/>
          <w:bCs/>
          <w:kern w:val="0"/>
          <w:sz w:val="16"/>
          <w:szCs w:val="16"/>
        </w:rPr>
        <w:t>Fig. S5</w:t>
      </w:r>
      <w:r>
        <w:rPr>
          <w:rFonts w:ascii="CMBX8" w:eastAsia="CMBX8" w:cs="CMBX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SHAP Dependence Plots: Main Effects (Top 3 Features). Scatter plots show feature value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(x-axis) against SHAP value (y-axis) with a fitted trend line for the top 3 features in each task. Upper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row (DM-to-HTN, blue): age at first visit shows a monotonically increasing effect from approximately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age 40; visit density shows a positive linear relationship; visit interval SD shows a steep negative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 xml:space="preserve">association. Lower row (HTN-to-DM, green/orange): visit density shows a strong positive linear </w:t>
      </w:r>
      <w:proofErr w:type="spellStart"/>
      <w:proofErr w:type="gramStart"/>
      <w:r>
        <w:rPr>
          <w:rFonts w:ascii="CMR8" w:eastAsia="CMR8" w:cs="CMR8"/>
          <w:kern w:val="0"/>
          <w:sz w:val="16"/>
          <w:szCs w:val="16"/>
        </w:rPr>
        <w:t>effect;text</w:t>
      </w:r>
      <w:proofErr w:type="gramEnd"/>
      <w:r>
        <w:rPr>
          <w:rFonts w:ascii="CMR8" w:eastAsia="CMR8" w:cs="CMR8"/>
          <w:kern w:val="0"/>
          <w:sz w:val="16"/>
          <w:szCs w:val="16"/>
        </w:rPr>
        <w:t>-extracted</w:t>
      </w:r>
      <w:proofErr w:type="spellEnd"/>
      <w:r>
        <w:rPr>
          <w:rFonts w:ascii="CMR8" w:eastAsia="CMR8" w:cs="CMR8"/>
          <w:kern w:val="0"/>
          <w:sz w:val="16"/>
          <w:szCs w:val="16"/>
        </w:rPr>
        <w:t xml:space="preserve"> glucose (orange) shows a near-linear positive association; visit interval SD shows a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negative effect consistent with the DM-to-HTN task.</w:t>
      </w:r>
    </w:p>
    <w:p w14:paraId="34934A32" w14:textId="11922C25" w:rsidR="00AE5B81" w:rsidRDefault="00AE5B81" w:rsidP="00AE5B81">
      <w:pPr>
        <w:autoSpaceDE w:val="0"/>
        <w:autoSpaceDN w:val="0"/>
        <w:adjustRightInd w:val="0"/>
        <w:jc w:val="left"/>
        <w:rPr>
          <w:rFonts w:ascii="CMR8" w:eastAsia="CMR8" w:cs="CMR8"/>
          <w:kern w:val="0"/>
          <w:sz w:val="16"/>
          <w:szCs w:val="16"/>
        </w:rPr>
      </w:pPr>
    </w:p>
    <w:p w14:paraId="2FB441F6" w14:textId="34FBA8C8" w:rsidR="00AE5B81" w:rsidRDefault="00AE5B81" w:rsidP="00AE5B81">
      <w:pPr>
        <w:autoSpaceDE w:val="0"/>
        <w:autoSpaceDN w:val="0"/>
        <w:adjustRightInd w:val="0"/>
        <w:jc w:val="left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01C0A3D" wp14:editId="1F5FB050">
            <wp:extent cx="5274310" cy="3405505"/>
            <wp:effectExtent l="0" t="0" r="254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6D194" w14:textId="6F861562" w:rsidR="00AE5B81" w:rsidRDefault="00AE5B81" w:rsidP="00AE5B81">
      <w:pPr>
        <w:autoSpaceDE w:val="0"/>
        <w:autoSpaceDN w:val="0"/>
        <w:adjustRightInd w:val="0"/>
        <w:jc w:val="left"/>
        <w:rPr>
          <w:rFonts w:ascii="CMR8" w:eastAsia="CMR8" w:cs="CMR8"/>
          <w:kern w:val="0"/>
          <w:sz w:val="16"/>
          <w:szCs w:val="16"/>
        </w:rPr>
      </w:pPr>
      <w:bookmarkStart w:id="0" w:name="OLE_LINK1"/>
      <w:r w:rsidRPr="00AE5B81">
        <w:rPr>
          <w:rFonts w:ascii="CMBX8" w:eastAsia="CMBX8" w:cs="CMBX8"/>
          <w:b/>
          <w:bCs/>
          <w:kern w:val="0"/>
          <w:sz w:val="16"/>
          <w:szCs w:val="16"/>
        </w:rPr>
        <w:t>Fig. S6</w:t>
      </w:r>
      <w:r>
        <w:rPr>
          <w:rFonts w:ascii="CMBX8" w:eastAsia="CMBX8" w:cs="CMBX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SHAP Dependence Plots: Feature</w:t>
      </w:r>
      <w:r>
        <w:rPr>
          <w:rFonts w:ascii="CMSY8" w:eastAsia="CMSY8" w:cs="CMSY8" w:hint="eastAsia"/>
          <w:kern w:val="0"/>
          <w:sz w:val="16"/>
          <w:szCs w:val="16"/>
        </w:rPr>
        <w:t>×</w:t>
      </w:r>
      <w:r>
        <w:rPr>
          <w:rFonts w:ascii="CMR8" w:eastAsia="CMR8" w:cs="CMR8"/>
          <w:kern w:val="0"/>
          <w:sz w:val="16"/>
          <w:szCs w:val="16"/>
        </w:rPr>
        <w:t>BERT Interaction Effects (Top 3 Features). Scatter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plots display the same features as Supplementary Fig. S5, with point color encoding the strongest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BERT-dimension interaction term selected automatically by SHAP. Panel A (DM-to-HTN): age at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first visit is modulated by chronic disease prescription status; visit density is modulated by BERT</w:t>
      </w:r>
      <w:r>
        <w:rPr>
          <w:rFonts w:ascii="CMR6" w:eastAsia="CMR6" w:cs="CMR6"/>
          <w:kern w:val="0"/>
          <w:sz w:val="12"/>
          <w:szCs w:val="12"/>
        </w:rPr>
        <w:t>199</w:t>
      </w:r>
      <w:r>
        <w:rPr>
          <w:rFonts w:ascii="CMR8" w:eastAsia="CMR8" w:cs="CMR8"/>
          <w:kern w:val="0"/>
          <w:sz w:val="16"/>
          <w:szCs w:val="16"/>
        </w:rPr>
        <w:t>;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visit interval SD by BERT</w:t>
      </w:r>
      <w:r>
        <w:rPr>
          <w:rFonts w:ascii="CMR6" w:eastAsia="CMR6" w:cs="CMR6"/>
          <w:kern w:val="0"/>
          <w:sz w:val="12"/>
          <w:szCs w:val="12"/>
        </w:rPr>
        <w:t>310</w:t>
      </w:r>
      <w:r>
        <w:rPr>
          <w:rFonts w:ascii="CMR8" w:eastAsia="CMR8" w:cs="CMR8"/>
          <w:kern w:val="0"/>
          <w:sz w:val="16"/>
          <w:szCs w:val="16"/>
        </w:rPr>
        <w:t>. Panel B (HTN-to-DM): visit density and visit interval SD effects are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modulated by BERT</w:t>
      </w:r>
      <w:r>
        <w:rPr>
          <w:rFonts w:ascii="CMR6" w:eastAsia="CMR6" w:cs="CMR6"/>
          <w:kern w:val="0"/>
          <w:sz w:val="12"/>
          <w:szCs w:val="12"/>
        </w:rPr>
        <w:t xml:space="preserve">592 </w:t>
      </w:r>
      <w:r>
        <w:rPr>
          <w:rFonts w:ascii="CMR8" w:eastAsia="CMR8" w:cs="CMR8"/>
          <w:kern w:val="0"/>
          <w:sz w:val="16"/>
          <w:szCs w:val="16"/>
        </w:rPr>
        <w:t>and BERT</w:t>
      </w:r>
      <w:r>
        <w:rPr>
          <w:rFonts w:ascii="CMR6" w:eastAsia="CMR6" w:cs="CMR6"/>
          <w:kern w:val="0"/>
          <w:sz w:val="12"/>
          <w:szCs w:val="12"/>
        </w:rPr>
        <w:t>88</w:t>
      </w:r>
      <w:r>
        <w:rPr>
          <w:rFonts w:ascii="CMR8" w:eastAsia="CMR8" w:cs="CMR8"/>
          <w:kern w:val="0"/>
          <w:sz w:val="16"/>
          <w:szCs w:val="16"/>
        </w:rPr>
        <w:t>, respectively; text-extracted glucose</w:t>
      </w:r>
      <w:r>
        <w:rPr>
          <w:rFonts w:ascii="CMSY8" w:eastAsia="CMSY8" w:cs="CMSY8" w:hint="eastAsia"/>
          <w:kern w:val="0"/>
          <w:sz w:val="16"/>
          <w:szCs w:val="16"/>
        </w:rPr>
        <w:t>×</w:t>
      </w:r>
      <w:r>
        <w:rPr>
          <w:rFonts w:ascii="CMR8" w:eastAsia="CMR8" w:cs="CMR8"/>
          <w:kern w:val="0"/>
          <w:sz w:val="16"/>
          <w:szCs w:val="16"/>
        </w:rPr>
        <w:t>BERT</w:t>
      </w:r>
      <w:r>
        <w:rPr>
          <w:rFonts w:ascii="CMR6" w:eastAsia="CMR6" w:cs="CMR6"/>
          <w:kern w:val="0"/>
          <w:sz w:val="12"/>
          <w:szCs w:val="12"/>
        </w:rPr>
        <w:t xml:space="preserve">120 </w:t>
      </w:r>
      <w:r>
        <w:rPr>
          <w:rFonts w:ascii="CMR8" w:eastAsia="CMR8" w:cs="CMR8"/>
          <w:kern w:val="0"/>
          <w:sz w:val="16"/>
          <w:szCs w:val="16"/>
        </w:rPr>
        <w:t>shows divergent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patterns between patients whose notes contain specific glycemic keywords. Together with Supplementary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Fig. S5, these plots confirm that BERT embeddings contribute independent interaction-level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information beyond the main effects of numerical features.</w:t>
      </w:r>
    </w:p>
    <w:bookmarkEnd w:id="0"/>
    <w:p w14:paraId="05EF4738" w14:textId="478BD123" w:rsidR="00AE5B81" w:rsidRDefault="00AE5B81" w:rsidP="00AE5B81">
      <w:pPr>
        <w:autoSpaceDE w:val="0"/>
        <w:autoSpaceDN w:val="0"/>
        <w:adjustRightInd w:val="0"/>
        <w:jc w:val="left"/>
        <w:rPr>
          <w:rFonts w:ascii="CMR8" w:cs="CMR8"/>
          <w:kern w:val="0"/>
          <w:sz w:val="16"/>
          <w:szCs w:val="16"/>
        </w:rPr>
      </w:pPr>
    </w:p>
    <w:p w14:paraId="59E3027B" w14:textId="083B92B9" w:rsidR="00AE5B81" w:rsidRDefault="00AE5B81" w:rsidP="00AE5B81">
      <w:pPr>
        <w:autoSpaceDE w:val="0"/>
        <w:autoSpaceDN w:val="0"/>
        <w:adjustRightInd w:val="0"/>
        <w:jc w:val="left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2E57B80" wp14:editId="560E9373">
            <wp:extent cx="5274310" cy="647763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7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884EB" w14:textId="4D3F5A07" w:rsidR="00AE5B81" w:rsidRPr="00AE5B81" w:rsidRDefault="00AE5B81" w:rsidP="00AE5B81">
      <w:pPr>
        <w:autoSpaceDE w:val="0"/>
        <w:autoSpaceDN w:val="0"/>
        <w:adjustRightInd w:val="0"/>
        <w:jc w:val="left"/>
        <w:rPr>
          <w:rFonts w:hint="eastAsia"/>
          <w:b/>
          <w:bCs/>
        </w:rPr>
      </w:pPr>
      <w:r w:rsidRPr="00AE5B81">
        <w:rPr>
          <w:rFonts w:ascii="CMBX8" w:eastAsia="CMBX8" w:cs="CMBX8"/>
          <w:b/>
          <w:bCs/>
          <w:kern w:val="0"/>
          <w:sz w:val="16"/>
          <w:szCs w:val="16"/>
        </w:rPr>
        <w:t>Fig. S7</w:t>
      </w:r>
      <w:r>
        <w:rPr>
          <w:rFonts w:ascii="CMBX8" w:eastAsia="CMBX8" w:cs="CMBX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SHAP Feature Importance Analysis (</w:t>
      </w:r>
      <w:proofErr w:type="spellStart"/>
      <w:r>
        <w:rPr>
          <w:rFonts w:ascii="CMR8" w:eastAsia="CMR8" w:cs="CMR8"/>
          <w:kern w:val="0"/>
          <w:sz w:val="16"/>
          <w:szCs w:val="16"/>
        </w:rPr>
        <w:t>XGBoost</w:t>
      </w:r>
      <w:proofErr w:type="spellEnd"/>
      <w:r>
        <w:rPr>
          <w:rFonts w:ascii="CMR8" w:eastAsia="CMR8" w:cs="CMR8"/>
          <w:kern w:val="0"/>
          <w:sz w:val="16"/>
          <w:szCs w:val="16"/>
        </w:rPr>
        <w:t xml:space="preserve">, </w:t>
      </w:r>
      <w:r>
        <w:rPr>
          <w:rFonts w:ascii="CMMI8" w:eastAsia="CMMI8" w:cs="CMMI8"/>
          <w:kern w:val="0"/>
          <w:sz w:val="16"/>
          <w:szCs w:val="16"/>
        </w:rPr>
        <w:t xml:space="preserve">n </w:t>
      </w:r>
      <w:r>
        <w:rPr>
          <w:rFonts w:ascii="CMR8" w:eastAsia="CMR8" w:cs="CMR8"/>
          <w:kern w:val="0"/>
          <w:sz w:val="16"/>
          <w:szCs w:val="16"/>
        </w:rPr>
        <w:t>= 2</w:t>
      </w:r>
      <w:r>
        <w:rPr>
          <w:rFonts w:ascii="CMMI8" w:eastAsia="CMMI8" w:cs="CMMI8"/>
          <w:kern w:val="0"/>
          <w:sz w:val="16"/>
          <w:szCs w:val="16"/>
        </w:rPr>
        <w:t>,</w:t>
      </w:r>
      <w:r>
        <w:rPr>
          <w:rFonts w:ascii="CMR8" w:eastAsia="CMR8" w:cs="CMR8"/>
          <w:kern w:val="0"/>
          <w:sz w:val="16"/>
          <w:szCs w:val="16"/>
        </w:rPr>
        <w:t>000 random samples). Panels A and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 xml:space="preserve">B show horizontal bar charts of mean </w:t>
      </w:r>
      <w:r>
        <w:rPr>
          <w:rFonts w:ascii="CMSY8" w:eastAsia="CMSY8" w:cs="CMSY8"/>
          <w:kern w:val="0"/>
          <w:sz w:val="16"/>
          <w:szCs w:val="16"/>
        </w:rPr>
        <w:t>|</w:t>
      </w:r>
      <w:r>
        <w:rPr>
          <w:rFonts w:ascii="CMR8" w:eastAsia="CMR8" w:cs="CMR8"/>
          <w:kern w:val="0"/>
          <w:sz w:val="16"/>
          <w:szCs w:val="16"/>
        </w:rPr>
        <w:t>SHAP</w:t>
      </w:r>
      <w:r>
        <w:rPr>
          <w:rFonts w:ascii="CMSY8" w:eastAsia="CMSY8" w:cs="CMSY8"/>
          <w:kern w:val="0"/>
          <w:sz w:val="16"/>
          <w:szCs w:val="16"/>
        </w:rPr>
        <w:t xml:space="preserve">| </w:t>
      </w:r>
      <w:r>
        <w:rPr>
          <w:rFonts w:ascii="CMR8" w:eastAsia="CMR8" w:cs="CMR8"/>
          <w:kern w:val="0"/>
          <w:sz w:val="16"/>
          <w:szCs w:val="16"/>
        </w:rPr>
        <w:t xml:space="preserve">for the top 20 features in the DM-to-HTN and </w:t>
      </w:r>
      <w:proofErr w:type="spellStart"/>
      <w:r>
        <w:rPr>
          <w:rFonts w:ascii="CMR8" w:eastAsia="CMR8" w:cs="CMR8"/>
          <w:kern w:val="0"/>
          <w:sz w:val="16"/>
          <w:szCs w:val="16"/>
        </w:rPr>
        <w:t>HTNto</w:t>
      </w:r>
      <w:proofErr w:type="spellEnd"/>
      <w:r>
        <w:rPr>
          <w:rFonts w:ascii="CMR8" w:eastAsia="CMR8" w:cs="CMR8"/>
          <w:kern w:val="0"/>
          <w:sz w:val="16"/>
          <w:szCs w:val="16"/>
        </w:rPr>
        <w:t xml:space="preserve">-DM tasks, respectively. Panels C and D show the corresponding SHAP </w:t>
      </w:r>
      <w:proofErr w:type="spellStart"/>
      <w:r>
        <w:rPr>
          <w:rFonts w:ascii="CMR8" w:eastAsia="CMR8" w:cs="CMR8"/>
          <w:kern w:val="0"/>
          <w:sz w:val="16"/>
          <w:szCs w:val="16"/>
        </w:rPr>
        <w:t>beeswarm</w:t>
      </w:r>
      <w:proofErr w:type="spellEnd"/>
      <w:r>
        <w:rPr>
          <w:rFonts w:ascii="CMR8" w:eastAsia="CMR8" w:cs="CMR8"/>
          <w:kern w:val="0"/>
          <w:sz w:val="16"/>
          <w:szCs w:val="16"/>
        </w:rPr>
        <w:t xml:space="preserve"> plots; each dot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represents one patient, the x-axis encodes SHAP value (positive: increases risk; negative: decreases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risk), and dot color encodes feature value (red: high, blue: low). In DM-to-HTN, age at first visit and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blood pressure trajectory features dominate; in HTN-to-DM, visit density and text-extracted glucose</w:t>
      </w:r>
      <w:r>
        <w:rPr>
          <w:rFonts w:ascii="CMR8" w:eastAsia="CMR8" w:cs="CMR8"/>
          <w:kern w:val="0"/>
          <w:sz w:val="16"/>
          <w:szCs w:val="16"/>
        </w:rPr>
        <w:t xml:space="preserve"> </w:t>
      </w:r>
      <w:r>
        <w:rPr>
          <w:rFonts w:ascii="CMR8" w:eastAsia="CMR8" w:cs="CMR8"/>
          <w:kern w:val="0"/>
          <w:sz w:val="16"/>
          <w:szCs w:val="16"/>
        </w:rPr>
        <w:t>rank highest.</w:t>
      </w:r>
    </w:p>
    <w:sectPr w:rsidR="00AE5B81" w:rsidRPr="00AE5B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AF4A7" w14:textId="77777777" w:rsidR="00E812DE" w:rsidRDefault="00E812DE" w:rsidP="00AE5B81">
      <w:r>
        <w:separator/>
      </w:r>
    </w:p>
  </w:endnote>
  <w:endnote w:type="continuationSeparator" w:id="0">
    <w:p w14:paraId="37340F20" w14:textId="77777777" w:rsidR="00E812DE" w:rsidRDefault="00E812DE" w:rsidP="00AE5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MR8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BX8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MI8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MSY8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R6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9F419" w14:textId="77777777" w:rsidR="00E812DE" w:rsidRDefault="00E812DE" w:rsidP="00AE5B81">
      <w:r>
        <w:separator/>
      </w:r>
    </w:p>
  </w:footnote>
  <w:footnote w:type="continuationSeparator" w:id="0">
    <w:p w14:paraId="61A85ED7" w14:textId="77777777" w:rsidR="00E812DE" w:rsidRDefault="00E812DE" w:rsidP="00AE5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CD2"/>
    <w:rsid w:val="00232F69"/>
    <w:rsid w:val="004D4CD2"/>
    <w:rsid w:val="007415E5"/>
    <w:rsid w:val="00AE5B81"/>
    <w:rsid w:val="00E8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8EE11D"/>
  <w15:chartTrackingRefBased/>
  <w15:docId w15:val="{C448D9FC-CCE6-443E-80C6-859ACB70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AE5B8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5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5B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5B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5B81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AE5B81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3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谭绍峰</dc:creator>
  <cp:keywords/>
  <dc:description/>
  <cp:lastModifiedBy>谭绍峰</cp:lastModifiedBy>
  <cp:revision>3</cp:revision>
  <dcterms:created xsi:type="dcterms:W3CDTF">2026-04-26T11:57:00Z</dcterms:created>
  <dcterms:modified xsi:type="dcterms:W3CDTF">2026-04-26T12:24:00Z</dcterms:modified>
</cp:coreProperties>
</file>