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ECBA9" w14:textId="77777777" w:rsidR="00486806" w:rsidRPr="00FA10AD" w:rsidRDefault="00486806" w:rsidP="00486806">
      <w:pPr>
        <w:spacing w:after="240" w:line="360" w:lineRule="auto"/>
        <w:jc w:val="both"/>
        <w:rPr>
          <w:rFonts w:ascii="Calibri" w:hAnsi="Calibri" w:cs="Calibri"/>
          <w:b/>
          <w:bCs/>
          <w:lang w:val="en-GB"/>
        </w:rPr>
      </w:pPr>
      <w:r w:rsidRPr="00FA10AD">
        <w:rPr>
          <w:rFonts w:ascii="Calibri" w:hAnsi="Calibri" w:cs="Calibri"/>
          <w:b/>
          <w:bCs/>
          <w:lang w:val="en-GB"/>
        </w:rPr>
        <w:t>SUPPLEMENTARY MATERIALS</w:t>
      </w:r>
    </w:p>
    <w:p w14:paraId="35C7FEF7" w14:textId="77777777" w:rsidR="00486806" w:rsidRPr="00FA10AD" w:rsidRDefault="00486806" w:rsidP="00486806">
      <w:pPr>
        <w:spacing w:after="240" w:line="276" w:lineRule="auto"/>
        <w:jc w:val="both"/>
        <w:rPr>
          <w:rFonts w:ascii="Calibri" w:hAnsi="Calibri" w:cs="Calibri"/>
          <w:b/>
          <w:bCs/>
          <w:color w:val="000000" w:themeColor="text1"/>
          <w:lang w:val="en-GB"/>
        </w:rPr>
      </w:pPr>
      <w:r w:rsidRPr="00FA10AD">
        <w:rPr>
          <w:rFonts w:ascii="Calibri" w:hAnsi="Calibri" w:cs="Calibri"/>
          <w:b/>
          <w:bCs/>
          <w:color w:val="000000" w:themeColor="text1"/>
          <w:lang w:val="en-GB"/>
        </w:rPr>
        <w:t>Supplementary Table 1. Bivariate association between baseline characteristics and clinical improvement (CGI and MHGS scales)</w:t>
      </w:r>
    </w:p>
    <w:tbl>
      <w:tblPr>
        <w:tblStyle w:val="TableGrid"/>
        <w:tblW w:w="10918" w:type="dxa"/>
        <w:jc w:val="center"/>
        <w:tblLook w:val="04A0" w:firstRow="1" w:lastRow="0" w:firstColumn="1" w:lastColumn="0" w:noHBand="0" w:noVBand="1"/>
      </w:tblPr>
      <w:tblGrid>
        <w:gridCol w:w="3100"/>
        <w:gridCol w:w="1782"/>
        <w:gridCol w:w="1518"/>
        <w:gridCol w:w="828"/>
        <w:gridCol w:w="1561"/>
        <w:gridCol w:w="1301"/>
        <w:gridCol w:w="828"/>
      </w:tblGrid>
      <w:tr w:rsidR="00486806" w:rsidRPr="00FA10AD" w14:paraId="6ABD1AEC" w14:textId="77777777" w:rsidTr="00BA4A66">
        <w:trPr>
          <w:jc w:val="center"/>
        </w:trPr>
        <w:tc>
          <w:tcPr>
            <w:tcW w:w="3100" w:type="dxa"/>
            <w:hideMark/>
          </w:tcPr>
          <w:p w14:paraId="548D2B36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Variable &amp; Category</w:t>
            </w:r>
          </w:p>
        </w:tc>
        <w:tc>
          <w:tcPr>
            <w:tcW w:w="1782" w:type="dxa"/>
          </w:tcPr>
          <w:p w14:paraId="46BF9C85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CGI not improved (n= 98)</w:t>
            </w:r>
          </w:p>
        </w:tc>
        <w:tc>
          <w:tcPr>
            <w:tcW w:w="1518" w:type="dxa"/>
            <w:hideMark/>
          </w:tcPr>
          <w:p w14:paraId="3FE4755B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CGI improved (n= 434)</w:t>
            </w:r>
          </w:p>
        </w:tc>
        <w:tc>
          <w:tcPr>
            <w:tcW w:w="0" w:type="auto"/>
            <w:hideMark/>
          </w:tcPr>
          <w:p w14:paraId="3A76F222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CGI p-value</w:t>
            </w:r>
          </w:p>
        </w:tc>
        <w:tc>
          <w:tcPr>
            <w:tcW w:w="1561" w:type="dxa"/>
          </w:tcPr>
          <w:p w14:paraId="0033E689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MHGS not improved (n= 148)</w:t>
            </w:r>
          </w:p>
        </w:tc>
        <w:tc>
          <w:tcPr>
            <w:tcW w:w="1301" w:type="dxa"/>
            <w:hideMark/>
          </w:tcPr>
          <w:p w14:paraId="621FC3A0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MHGS improved (n= 367)</w:t>
            </w:r>
          </w:p>
        </w:tc>
        <w:tc>
          <w:tcPr>
            <w:tcW w:w="828" w:type="dxa"/>
            <w:hideMark/>
          </w:tcPr>
          <w:p w14:paraId="77A0B142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MHGS p-value</w:t>
            </w:r>
          </w:p>
        </w:tc>
      </w:tr>
      <w:tr w:rsidR="00486806" w:rsidRPr="00FA10AD" w14:paraId="4895EFA1" w14:textId="77777777" w:rsidTr="00BA4A66">
        <w:trPr>
          <w:jc w:val="center"/>
        </w:trPr>
        <w:tc>
          <w:tcPr>
            <w:tcW w:w="3100" w:type="dxa"/>
            <w:hideMark/>
          </w:tcPr>
          <w:p w14:paraId="73BEC9F1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Age at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session</w:t>
            </w:r>
            <w:r w:rsidRPr="00FA10A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(mean, SD; median, IQR)</w:t>
            </w:r>
          </w:p>
        </w:tc>
        <w:tc>
          <w:tcPr>
            <w:tcW w:w="1782" w:type="dxa"/>
          </w:tcPr>
          <w:p w14:paraId="79560634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29.3 (12.5); 29.5 (21–39)</w:t>
            </w:r>
          </w:p>
        </w:tc>
        <w:tc>
          <w:tcPr>
            <w:tcW w:w="1518" w:type="dxa"/>
            <w:hideMark/>
          </w:tcPr>
          <w:p w14:paraId="7438E935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29.7 (13.3); 30 (19–40)</w:t>
            </w:r>
          </w:p>
        </w:tc>
        <w:tc>
          <w:tcPr>
            <w:tcW w:w="0" w:type="auto"/>
            <w:hideMark/>
          </w:tcPr>
          <w:p w14:paraId="46577AE2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0.78</w:t>
            </w:r>
          </w:p>
        </w:tc>
        <w:tc>
          <w:tcPr>
            <w:tcW w:w="1561" w:type="dxa"/>
          </w:tcPr>
          <w:p w14:paraId="251207D8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28.8 (13.7); 28 (17.5–40)</w:t>
            </w:r>
          </w:p>
        </w:tc>
        <w:tc>
          <w:tcPr>
            <w:tcW w:w="1301" w:type="dxa"/>
            <w:hideMark/>
          </w:tcPr>
          <w:p w14:paraId="3FC3B7D8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30.3 (12.8); 31 (22–39)</w:t>
            </w:r>
          </w:p>
        </w:tc>
        <w:tc>
          <w:tcPr>
            <w:tcW w:w="828" w:type="dxa"/>
            <w:hideMark/>
          </w:tcPr>
          <w:p w14:paraId="5270B328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0.25</w:t>
            </w:r>
          </w:p>
        </w:tc>
      </w:tr>
      <w:tr w:rsidR="00486806" w:rsidRPr="00FA10AD" w14:paraId="5F2DE88A" w14:textId="77777777" w:rsidTr="00BA4A66">
        <w:trPr>
          <w:jc w:val="center"/>
        </w:trPr>
        <w:tc>
          <w:tcPr>
            <w:tcW w:w="3100" w:type="dxa"/>
            <w:hideMark/>
          </w:tcPr>
          <w:p w14:paraId="3B16D51F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Age group</w:t>
            </w:r>
          </w:p>
        </w:tc>
        <w:tc>
          <w:tcPr>
            <w:tcW w:w="1782" w:type="dxa"/>
          </w:tcPr>
          <w:p w14:paraId="75FAD3BC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  <w:hideMark/>
          </w:tcPr>
          <w:p w14:paraId="3299CC75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51457367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0.38</w:t>
            </w:r>
          </w:p>
        </w:tc>
        <w:tc>
          <w:tcPr>
            <w:tcW w:w="1561" w:type="dxa"/>
          </w:tcPr>
          <w:p w14:paraId="70691A85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01" w:type="dxa"/>
            <w:hideMark/>
          </w:tcPr>
          <w:p w14:paraId="0B2B53EF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28" w:type="dxa"/>
            <w:hideMark/>
          </w:tcPr>
          <w:p w14:paraId="183FB5CB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0.11</w:t>
            </w:r>
          </w:p>
        </w:tc>
      </w:tr>
      <w:tr w:rsidR="00486806" w:rsidRPr="00FA10AD" w14:paraId="70CBE3FA" w14:textId="77777777" w:rsidTr="00BA4A66">
        <w:trPr>
          <w:jc w:val="center"/>
        </w:trPr>
        <w:tc>
          <w:tcPr>
            <w:tcW w:w="3100" w:type="dxa"/>
            <w:hideMark/>
          </w:tcPr>
          <w:p w14:paraId="7F3ECE05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≤15 years (Children)</w:t>
            </w:r>
          </w:p>
        </w:tc>
        <w:tc>
          <w:tcPr>
            <w:tcW w:w="1782" w:type="dxa"/>
          </w:tcPr>
          <w:p w14:paraId="2772987E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16 (15.7%)</w:t>
            </w:r>
          </w:p>
        </w:tc>
        <w:tc>
          <w:tcPr>
            <w:tcW w:w="1518" w:type="dxa"/>
            <w:hideMark/>
          </w:tcPr>
          <w:p w14:paraId="7250EB38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86 (84.3%)</w:t>
            </w:r>
          </w:p>
        </w:tc>
        <w:tc>
          <w:tcPr>
            <w:tcW w:w="0" w:type="auto"/>
            <w:hideMark/>
          </w:tcPr>
          <w:p w14:paraId="255CAE32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6F936889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34 (37.4%)</w:t>
            </w:r>
          </w:p>
        </w:tc>
        <w:tc>
          <w:tcPr>
            <w:tcW w:w="1301" w:type="dxa"/>
            <w:hideMark/>
          </w:tcPr>
          <w:p w14:paraId="051E4EB4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57 (62.6%)</w:t>
            </w:r>
          </w:p>
        </w:tc>
        <w:tc>
          <w:tcPr>
            <w:tcW w:w="828" w:type="dxa"/>
            <w:hideMark/>
          </w:tcPr>
          <w:p w14:paraId="76BDF779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75563CCF" w14:textId="77777777" w:rsidTr="00BA4A66">
        <w:trPr>
          <w:jc w:val="center"/>
        </w:trPr>
        <w:tc>
          <w:tcPr>
            <w:tcW w:w="3100" w:type="dxa"/>
            <w:hideMark/>
          </w:tcPr>
          <w:p w14:paraId="58F5D3F2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16–19 years (Adolescents)</w:t>
            </w:r>
          </w:p>
        </w:tc>
        <w:tc>
          <w:tcPr>
            <w:tcW w:w="1782" w:type="dxa"/>
          </w:tcPr>
          <w:p w14:paraId="69D0DAEE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6 (20.7%)</w:t>
            </w:r>
          </w:p>
        </w:tc>
        <w:tc>
          <w:tcPr>
            <w:tcW w:w="1518" w:type="dxa"/>
            <w:hideMark/>
          </w:tcPr>
          <w:p w14:paraId="0C6BCB82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23 (79.3%)</w:t>
            </w:r>
          </w:p>
        </w:tc>
        <w:tc>
          <w:tcPr>
            <w:tcW w:w="0" w:type="auto"/>
            <w:hideMark/>
          </w:tcPr>
          <w:p w14:paraId="1E6AF50C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08479764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8 (27.6%)</w:t>
            </w:r>
          </w:p>
        </w:tc>
        <w:tc>
          <w:tcPr>
            <w:tcW w:w="1301" w:type="dxa"/>
            <w:hideMark/>
          </w:tcPr>
          <w:p w14:paraId="3D879C7D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21 (72.4%)</w:t>
            </w:r>
          </w:p>
        </w:tc>
        <w:tc>
          <w:tcPr>
            <w:tcW w:w="828" w:type="dxa"/>
            <w:hideMark/>
          </w:tcPr>
          <w:p w14:paraId="168B33FD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11A2D0C8" w14:textId="77777777" w:rsidTr="00BA4A66">
        <w:trPr>
          <w:jc w:val="center"/>
        </w:trPr>
        <w:tc>
          <w:tcPr>
            <w:tcW w:w="3100" w:type="dxa"/>
            <w:hideMark/>
          </w:tcPr>
          <w:p w14:paraId="0867D17B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20–24 years (Young adults)</w:t>
            </w:r>
          </w:p>
        </w:tc>
        <w:tc>
          <w:tcPr>
            <w:tcW w:w="1782" w:type="dxa"/>
          </w:tcPr>
          <w:p w14:paraId="11DC0DF7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15 (26.3%)</w:t>
            </w:r>
          </w:p>
        </w:tc>
        <w:tc>
          <w:tcPr>
            <w:tcW w:w="1518" w:type="dxa"/>
            <w:hideMark/>
          </w:tcPr>
          <w:p w14:paraId="42106BA3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42 (73.7%)</w:t>
            </w:r>
          </w:p>
        </w:tc>
        <w:tc>
          <w:tcPr>
            <w:tcW w:w="0" w:type="auto"/>
            <w:hideMark/>
          </w:tcPr>
          <w:p w14:paraId="0AFE1AD1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51578C28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20 (34.5%)</w:t>
            </w:r>
          </w:p>
        </w:tc>
        <w:tc>
          <w:tcPr>
            <w:tcW w:w="1301" w:type="dxa"/>
            <w:hideMark/>
          </w:tcPr>
          <w:p w14:paraId="26A8B845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38 (65.5%)</w:t>
            </w:r>
          </w:p>
        </w:tc>
        <w:tc>
          <w:tcPr>
            <w:tcW w:w="828" w:type="dxa"/>
            <w:hideMark/>
          </w:tcPr>
          <w:p w14:paraId="31B1EB76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44744137" w14:textId="77777777" w:rsidTr="00BA4A66">
        <w:trPr>
          <w:jc w:val="center"/>
        </w:trPr>
        <w:tc>
          <w:tcPr>
            <w:tcW w:w="3100" w:type="dxa"/>
            <w:hideMark/>
          </w:tcPr>
          <w:p w14:paraId="2E304400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≥2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5 years (Adults)</w:t>
            </w:r>
          </w:p>
        </w:tc>
        <w:tc>
          <w:tcPr>
            <w:tcW w:w="1782" w:type="dxa"/>
          </w:tcPr>
          <w:p w14:paraId="0CAD8873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61 (17.7%)</w:t>
            </w:r>
          </w:p>
        </w:tc>
        <w:tc>
          <w:tcPr>
            <w:tcW w:w="1518" w:type="dxa"/>
            <w:hideMark/>
          </w:tcPr>
          <w:p w14:paraId="78584C16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283 (82.3%)</w:t>
            </w:r>
          </w:p>
        </w:tc>
        <w:tc>
          <w:tcPr>
            <w:tcW w:w="0" w:type="auto"/>
            <w:hideMark/>
          </w:tcPr>
          <w:p w14:paraId="6E6BDD8D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3B1F6A47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86 (25.5%)</w:t>
            </w:r>
          </w:p>
        </w:tc>
        <w:tc>
          <w:tcPr>
            <w:tcW w:w="1301" w:type="dxa"/>
            <w:hideMark/>
          </w:tcPr>
          <w:p w14:paraId="3F3CE99A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251 (74.5%)</w:t>
            </w:r>
          </w:p>
        </w:tc>
        <w:tc>
          <w:tcPr>
            <w:tcW w:w="828" w:type="dxa"/>
            <w:hideMark/>
          </w:tcPr>
          <w:p w14:paraId="1EDAA18C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361C4C71" w14:textId="77777777" w:rsidTr="00BA4A66">
        <w:trPr>
          <w:jc w:val="center"/>
        </w:trPr>
        <w:tc>
          <w:tcPr>
            <w:tcW w:w="3100" w:type="dxa"/>
            <w:hideMark/>
          </w:tcPr>
          <w:p w14:paraId="3AF6AE27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Gender</w:t>
            </w:r>
          </w:p>
        </w:tc>
        <w:tc>
          <w:tcPr>
            <w:tcW w:w="1782" w:type="dxa"/>
          </w:tcPr>
          <w:p w14:paraId="2483D979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  <w:hideMark/>
          </w:tcPr>
          <w:p w14:paraId="713ABF7C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75D0F1A7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0.04</w:t>
            </w:r>
          </w:p>
        </w:tc>
        <w:tc>
          <w:tcPr>
            <w:tcW w:w="1561" w:type="dxa"/>
          </w:tcPr>
          <w:p w14:paraId="6BD38C60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01" w:type="dxa"/>
            <w:hideMark/>
          </w:tcPr>
          <w:p w14:paraId="2DBD30B1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28" w:type="dxa"/>
            <w:hideMark/>
          </w:tcPr>
          <w:p w14:paraId="4E01CCD8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0.42</w:t>
            </w:r>
          </w:p>
        </w:tc>
      </w:tr>
      <w:tr w:rsidR="00486806" w:rsidRPr="00FA10AD" w14:paraId="45FEE893" w14:textId="77777777" w:rsidTr="00BA4A66">
        <w:trPr>
          <w:jc w:val="center"/>
        </w:trPr>
        <w:tc>
          <w:tcPr>
            <w:tcW w:w="3100" w:type="dxa"/>
            <w:hideMark/>
          </w:tcPr>
          <w:p w14:paraId="76AD59F2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 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782" w:type="dxa"/>
          </w:tcPr>
          <w:p w14:paraId="7360A361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43 (16.0%)</w:t>
            </w:r>
          </w:p>
        </w:tc>
        <w:tc>
          <w:tcPr>
            <w:tcW w:w="1518" w:type="dxa"/>
            <w:hideMark/>
          </w:tcPr>
          <w:p w14:paraId="5D68B3DA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226 (84.0%)</w:t>
            </w:r>
          </w:p>
        </w:tc>
        <w:tc>
          <w:tcPr>
            <w:tcW w:w="0" w:type="auto"/>
            <w:hideMark/>
          </w:tcPr>
          <w:p w14:paraId="14C89687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6E4374D5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73 (27.9%)</w:t>
            </w:r>
          </w:p>
        </w:tc>
        <w:tc>
          <w:tcPr>
            <w:tcW w:w="1301" w:type="dxa"/>
            <w:hideMark/>
          </w:tcPr>
          <w:p w14:paraId="2CE60DA2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189 (72.1%)</w:t>
            </w:r>
          </w:p>
        </w:tc>
        <w:tc>
          <w:tcPr>
            <w:tcW w:w="828" w:type="dxa"/>
            <w:hideMark/>
          </w:tcPr>
          <w:p w14:paraId="10A5DC3E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13E6E045" w14:textId="77777777" w:rsidTr="00BA4A66">
        <w:trPr>
          <w:jc w:val="center"/>
        </w:trPr>
        <w:tc>
          <w:tcPr>
            <w:tcW w:w="3100" w:type="dxa"/>
            <w:hideMark/>
          </w:tcPr>
          <w:p w14:paraId="5F2D3621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 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Male</w:t>
            </w:r>
          </w:p>
        </w:tc>
        <w:tc>
          <w:tcPr>
            <w:tcW w:w="1782" w:type="dxa"/>
          </w:tcPr>
          <w:p w14:paraId="64826AF3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54 (22.4%)</w:t>
            </w:r>
          </w:p>
        </w:tc>
        <w:tc>
          <w:tcPr>
            <w:tcW w:w="1518" w:type="dxa"/>
            <w:hideMark/>
          </w:tcPr>
          <w:p w14:paraId="7A4DD9BF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187 (77.6%)</w:t>
            </w:r>
          </w:p>
        </w:tc>
        <w:tc>
          <w:tcPr>
            <w:tcW w:w="0" w:type="auto"/>
            <w:hideMark/>
          </w:tcPr>
          <w:p w14:paraId="17A75CB1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0A9B9FC9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71 (30.7%)</w:t>
            </w:r>
          </w:p>
        </w:tc>
        <w:tc>
          <w:tcPr>
            <w:tcW w:w="1301" w:type="dxa"/>
            <w:hideMark/>
          </w:tcPr>
          <w:p w14:paraId="0F4D9F50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160 (69.3%)</w:t>
            </w:r>
          </w:p>
        </w:tc>
        <w:tc>
          <w:tcPr>
            <w:tcW w:w="828" w:type="dxa"/>
            <w:hideMark/>
          </w:tcPr>
          <w:p w14:paraId="2FE589DE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640BB4BB" w14:textId="77777777" w:rsidTr="00BA4A66">
        <w:trPr>
          <w:jc w:val="center"/>
        </w:trPr>
        <w:tc>
          <w:tcPr>
            <w:tcW w:w="3100" w:type="dxa"/>
            <w:hideMark/>
          </w:tcPr>
          <w:p w14:paraId="1B3669A5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 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Other</w:t>
            </w:r>
          </w:p>
        </w:tc>
        <w:tc>
          <w:tcPr>
            <w:tcW w:w="1782" w:type="dxa"/>
          </w:tcPr>
          <w:p w14:paraId="117FA9B9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 (4.6%)</w:t>
            </w:r>
          </w:p>
        </w:tc>
        <w:tc>
          <w:tcPr>
            <w:tcW w:w="1518" w:type="dxa"/>
            <w:hideMark/>
          </w:tcPr>
          <w:p w14:paraId="699EDC52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21 (95.4%)</w:t>
            </w:r>
          </w:p>
        </w:tc>
        <w:tc>
          <w:tcPr>
            <w:tcW w:w="0" w:type="auto"/>
            <w:hideMark/>
          </w:tcPr>
          <w:p w14:paraId="0E7725E3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0BF51EC1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4 (18.2%)</w:t>
            </w:r>
          </w:p>
        </w:tc>
        <w:tc>
          <w:tcPr>
            <w:tcW w:w="1301" w:type="dxa"/>
            <w:hideMark/>
          </w:tcPr>
          <w:p w14:paraId="55A988CF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18 (81.8%)</w:t>
            </w:r>
          </w:p>
        </w:tc>
        <w:tc>
          <w:tcPr>
            <w:tcW w:w="828" w:type="dxa"/>
            <w:hideMark/>
          </w:tcPr>
          <w:p w14:paraId="63F25DF7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41415E09" w14:textId="77777777" w:rsidTr="00BA4A66">
        <w:trPr>
          <w:jc w:val="center"/>
        </w:trPr>
        <w:tc>
          <w:tcPr>
            <w:tcW w:w="3100" w:type="dxa"/>
            <w:hideMark/>
          </w:tcPr>
          <w:p w14:paraId="30214845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Education level</w:t>
            </w:r>
          </w:p>
        </w:tc>
        <w:tc>
          <w:tcPr>
            <w:tcW w:w="1782" w:type="dxa"/>
          </w:tcPr>
          <w:p w14:paraId="07DE4CD9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  <w:hideMark/>
          </w:tcPr>
          <w:p w14:paraId="7636C2C6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2DDB0AA2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0.75</w:t>
            </w:r>
          </w:p>
        </w:tc>
        <w:tc>
          <w:tcPr>
            <w:tcW w:w="1561" w:type="dxa"/>
          </w:tcPr>
          <w:p w14:paraId="4733C77C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01" w:type="dxa"/>
            <w:hideMark/>
          </w:tcPr>
          <w:p w14:paraId="2878C9B3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28" w:type="dxa"/>
            <w:hideMark/>
          </w:tcPr>
          <w:p w14:paraId="3CDE8FD9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0.51</w:t>
            </w:r>
          </w:p>
        </w:tc>
      </w:tr>
      <w:tr w:rsidR="00486806" w:rsidRPr="00FA10AD" w14:paraId="01B45E51" w14:textId="77777777" w:rsidTr="00BA4A66">
        <w:trPr>
          <w:jc w:val="center"/>
        </w:trPr>
        <w:tc>
          <w:tcPr>
            <w:tcW w:w="3100" w:type="dxa"/>
            <w:hideMark/>
          </w:tcPr>
          <w:p w14:paraId="03C14FD2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 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Secondary</w:t>
            </w:r>
          </w:p>
        </w:tc>
        <w:tc>
          <w:tcPr>
            <w:tcW w:w="1782" w:type="dxa"/>
          </w:tcPr>
          <w:p w14:paraId="2A1FE8E2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17 (17.5%)</w:t>
            </w:r>
          </w:p>
        </w:tc>
        <w:tc>
          <w:tcPr>
            <w:tcW w:w="1518" w:type="dxa"/>
            <w:hideMark/>
          </w:tcPr>
          <w:p w14:paraId="2535E56B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80 (82.5%)</w:t>
            </w:r>
          </w:p>
        </w:tc>
        <w:tc>
          <w:tcPr>
            <w:tcW w:w="0" w:type="auto"/>
            <w:hideMark/>
          </w:tcPr>
          <w:p w14:paraId="1FAF0002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17A000CE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30 (32.6%)</w:t>
            </w:r>
          </w:p>
        </w:tc>
        <w:tc>
          <w:tcPr>
            <w:tcW w:w="1301" w:type="dxa"/>
            <w:hideMark/>
          </w:tcPr>
          <w:p w14:paraId="704B9B86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62 (67.4%)</w:t>
            </w:r>
          </w:p>
        </w:tc>
        <w:tc>
          <w:tcPr>
            <w:tcW w:w="828" w:type="dxa"/>
            <w:hideMark/>
          </w:tcPr>
          <w:p w14:paraId="1F9A68D4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65F86D3E" w14:textId="77777777" w:rsidTr="00BA4A66">
        <w:trPr>
          <w:jc w:val="center"/>
        </w:trPr>
        <w:tc>
          <w:tcPr>
            <w:tcW w:w="3100" w:type="dxa"/>
            <w:hideMark/>
          </w:tcPr>
          <w:p w14:paraId="7F92FFF8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 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College</w:t>
            </w:r>
          </w:p>
        </w:tc>
        <w:tc>
          <w:tcPr>
            <w:tcW w:w="1782" w:type="dxa"/>
          </w:tcPr>
          <w:p w14:paraId="4572D64A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21 (15.9%)</w:t>
            </w:r>
          </w:p>
        </w:tc>
        <w:tc>
          <w:tcPr>
            <w:tcW w:w="1518" w:type="dxa"/>
            <w:hideMark/>
          </w:tcPr>
          <w:p w14:paraId="6193B5C3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111 (84.1%)</w:t>
            </w:r>
          </w:p>
        </w:tc>
        <w:tc>
          <w:tcPr>
            <w:tcW w:w="0" w:type="auto"/>
            <w:hideMark/>
          </w:tcPr>
          <w:p w14:paraId="7AB0F4B8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71A932D9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31 (23.8%)</w:t>
            </w:r>
          </w:p>
        </w:tc>
        <w:tc>
          <w:tcPr>
            <w:tcW w:w="1301" w:type="dxa"/>
            <w:hideMark/>
          </w:tcPr>
          <w:p w14:paraId="0310A05A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99 (76.2%)</w:t>
            </w:r>
          </w:p>
        </w:tc>
        <w:tc>
          <w:tcPr>
            <w:tcW w:w="828" w:type="dxa"/>
            <w:hideMark/>
          </w:tcPr>
          <w:p w14:paraId="2FE4575E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7550A730" w14:textId="77777777" w:rsidTr="00BA4A66">
        <w:trPr>
          <w:jc w:val="center"/>
        </w:trPr>
        <w:tc>
          <w:tcPr>
            <w:tcW w:w="3100" w:type="dxa"/>
            <w:hideMark/>
          </w:tcPr>
          <w:p w14:paraId="0683C7EE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 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Illiterate</w:t>
            </w:r>
          </w:p>
        </w:tc>
        <w:tc>
          <w:tcPr>
            <w:tcW w:w="1782" w:type="dxa"/>
          </w:tcPr>
          <w:p w14:paraId="0899B83A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11 (20.4%)</w:t>
            </w:r>
          </w:p>
        </w:tc>
        <w:tc>
          <w:tcPr>
            <w:tcW w:w="1518" w:type="dxa"/>
            <w:hideMark/>
          </w:tcPr>
          <w:p w14:paraId="0C3D367B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43 (79.6%)</w:t>
            </w:r>
          </w:p>
        </w:tc>
        <w:tc>
          <w:tcPr>
            <w:tcW w:w="0" w:type="auto"/>
            <w:hideMark/>
          </w:tcPr>
          <w:p w14:paraId="235FC302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2BC8F1A7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16 (29.1%)</w:t>
            </w:r>
          </w:p>
        </w:tc>
        <w:tc>
          <w:tcPr>
            <w:tcW w:w="1301" w:type="dxa"/>
            <w:hideMark/>
          </w:tcPr>
          <w:p w14:paraId="56EB69E9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39 (70.9%)</w:t>
            </w:r>
          </w:p>
        </w:tc>
        <w:tc>
          <w:tcPr>
            <w:tcW w:w="828" w:type="dxa"/>
            <w:hideMark/>
          </w:tcPr>
          <w:p w14:paraId="204AEC1C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15B4EB04" w14:textId="77777777" w:rsidTr="00BA4A66">
        <w:trPr>
          <w:jc w:val="center"/>
        </w:trPr>
        <w:tc>
          <w:tcPr>
            <w:tcW w:w="3100" w:type="dxa"/>
            <w:hideMark/>
          </w:tcPr>
          <w:p w14:paraId="322AE568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 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Primary</w:t>
            </w:r>
          </w:p>
        </w:tc>
        <w:tc>
          <w:tcPr>
            <w:tcW w:w="1782" w:type="dxa"/>
          </w:tcPr>
          <w:p w14:paraId="32AFA21F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32 (18.2%)</w:t>
            </w:r>
          </w:p>
        </w:tc>
        <w:tc>
          <w:tcPr>
            <w:tcW w:w="1518" w:type="dxa"/>
            <w:hideMark/>
          </w:tcPr>
          <w:p w14:paraId="16EB42DA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144 (81.8%)</w:t>
            </w:r>
          </w:p>
        </w:tc>
        <w:tc>
          <w:tcPr>
            <w:tcW w:w="0" w:type="auto"/>
            <w:hideMark/>
          </w:tcPr>
          <w:p w14:paraId="5A705287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221ADAC3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46 (27.7%)</w:t>
            </w:r>
          </w:p>
        </w:tc>
        <w:tc>
          <w:tcPr>
            <w:tcW w:w="1301" w:type="dxa"/>
            <w:hideMark/>
          </w:tcPr>
          <w:p w14:paraId="7B473CE2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120 (72.3%)</w:t>
            </w:r>
          </w:p>
        </w:tc>
        <w:tc>
          <w:tcPr>
            <w:tcW w:w="828" w:type="dxa"/>
            <w:hideMark/>
          </w:tcPr>
          <w:p w14:paraId="76F7A654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4B4CF015" w14:textId="77777777" w:rsidTr="00BA4A66">
        <w:trPr>
          <w:jc w:val="center"/>
        </w:trPr>
        <w:tc>
          <w:tcPr>
            <w:tcW w:w="3100" w:type="dxa"/>
            <w:hideMark/>
          </w:tcPr>
          <w:p w14:paraId="58A8ADBA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 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University</w:t>
            </w:r>
          </w:p>
        </w:tc>
        <w:tc>
          <w:tcPr>
            <w:tcW w:w="1782" w:type="dxa"/>
          </w:tcPr>
          <w:p w14:paraId="5A1D9807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16 (23.5%)</w:t>
            </w:r>
          </w:p>
        </w:tc>
        <w:tc>
          <w:tcPr>
            <w:tcW w:w="1518" w:type="dxa"/>
            <w:hideMark/>
          </w:tcPr>
          <w:p w14:paraId="3C5E2E1E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52 (76.5%)</w:t>
            </w:r>
          </w:p>
        </w:tc>
        <w:tc>
          <w:tcPr>
            <w:tcW w:w="0" w:type="auto"/>
            <w:hideMark/>
          </w:tcPr>
          <w:p w14:paraId="041C0C1E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43099EDC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23 (34.3%)</w:t>
            </w:r>
          </w:p>
        </w:tc>
        <w:tc>
          <w:tcPr>
            <w:tcW w:w="1301" w:type="dxa"/>
            <w:hideMark/>
          </w:tcPr>
          <w:p w14:paraId="63202E18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44 (65.7%)</w:t>
            </w:r>
          </w:p>
        </w:tc>
        <w:tc>
          <w:tcPr>
            <w:tcW w:w="828" w:type="dxa"/>
            <w:hideMark/>
          </w:tcPr>
          <w:p w14:paraId="64953631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59B06906" w14:textId="77777777" w:rsidTr="00BA4A66">
        <w:trPr>
          <w:jc w:val="center"/>
        </w:trPr>
        <w:tc>
          <w:tcPr>
            <w:tcW w:w="3100" w:type="dxa"/>
            <w:hideMark/>
          </w:tcPr>
          <w:p w14:paraId="61A34040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Country (Mexican yes/no)</w:t>
            </w:r>
          </w:p>
        </w:tc>
        <w:tc>
          <w:tcPr>
            <w:tcW w:w="1782" w:type="dxa"/>
          </w:tcPr>
          <w:p w14:paraId="4EE4C34C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  <w:hideMark/>
          </w:tcPr>
          <w:p w14:paraId="3925119A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5E21165D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0.94</w:t>
            </w:r>
          </w:p>
        </w:tc>
        <w:tc>
          <w:tcPr>
            <w:tcW w:w="1561" w:type="dxa"/>
          </w:tcPr>
          <w:p w14:paraId="3663CA53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01" w:type="dxa"/>
            <w:hideMark/>
          </w:tcPr>
          <w:p w14:paraId="2D559224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28" w:type="dxa"/>
            <w:hideMark/>
          </w:tcPr>
          <w:p w14:paraId="46D44D90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0.09</w:t>
            </w:r>
          </w:p>
        </w:tc>
      </w:tr>
      <w:tr w:rsidR="00486806" w:rsidRPr="00FA10AD" w14:paraId="2A46D445" w14:textId="77777777" w:rsidTr="00BA4A66">
        <w:trPr>
          <w:jc w:val="center"/>
        </w:trPr>
        <w:tc>
          <w:tcPr>
            <w:tcW w:w="3100" w:type="dxa"/>
            <w:hideMark/>
          </w:tcPr>
          <w:p w14:paraId="5FB9F19B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 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Mexican</w:t>
            </w:r>
          </w:p>
        </w:tc>
        <w:tc>
          <w:tcPr>
            <w:tcW w:w="1782" w:type="dxa"/>
          </w:tcPr>
          <w:p w14:paraId="7B76ACC2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5 (17.9%)</w:t>
            </w:r>
          </w:p>
        </w:tc>
        <w:tc>
          <w:tcPr>
            <w:tcW w:w="1518" w:type="dxa"/>
            <w:hideMark/>
          </w:tcPr>
          <w:p w14:paraId="12CE8C6F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23 (82.1%)</w:t>
            </w:r>
          </w:p>
        </w:tc>
        <w:tc>
          <w:tcPr>
            <w:tcW w:w="0" w:type="auto"/>
            <w:hideMark/>
          </w:tcPr>
          <w:p w14:paraId="18EE3ED7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06ED80A5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12 (42.9%)</w:t>
            </w:r>
          </w:p>
        </w:tc>
        <w:tc>
          <w:tcPr>
            <w:tcW w:w="1301" w:type="dxa"/>
            <w:hideMark/>
          </w:tcPr>
          <w:p w14:paraId="606CF8CE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16 (57.1%)</w:t>
            </w:r>
          </w:p>
        </w:tc>
        <w:tc>
          <w:tcPr>
            <w:tcW w:w="828" w:type="dxa"/>
            <w:hideMark/>
          </w:tcPr>
          <w:p w14:paraId="4F91DFE3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521858A3" w14:textId="77777777" w:rsidTr="00BA4A66">
        <w:trPr>
          <w:jc w:val="center"/>
        </w:trPr>
        <w:tc>
          <w:tcPr>
            <w:tcW w:w="3100" w:type="dxa"/>
          </w:tcPr>
          <w:p w14:paraId="7A4A1582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 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Not Mexican</w:t>
            </w:r>
          </w:p>
        </w:tc>
        <w:tc>
          <w:tcPr>
            <w:tcW w:w="1782" w:type="dxa"/>
          </w:tcPr>
          <w:p w14:paraId="07281025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93 (18.4%)</w:t>
            </w:r>
          </w:p>
        </w:tc>
        <w:tc>
          <w:tcPr>
            <w:tcW w:w="1518" w:type="dxa"/>
          </w:tcPr>
          <w:p w14:paraId="27000EEB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411 (81.6%)</w:t>
            </w:r>
          </w:p>
        </w:tc>
        <w:tc>
          <w:tcPr>
            <w:tcW w:w="0" w:type="auto"/>
          </w:tcPr>
          <w:p w14:paraId="48491F0B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3838C263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136 (27.9%)</w:t>
            </w:r>
          </w:p>
        </w:tc>
        <w:tc>
          <w:tcPr>
            <w:tcW w:w="1301" w:type="dxa"/>
          </w:tcPr>
          <w:p w14:paraId="74861E30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351 (72.1%)</w:t>
            </w:r>
          </w:p>
        </w:tc>
        <w:tc>
          <w:tcPr>
            <w:tcW w:w="828" w:type="dxa"/>
          </w:tcPr>
          <w:p w14:paraId="5841098D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4E7BCFF5" w14:textId="77777777" w:rsidTr="00BA4A66">
        <w:trPr>
          <w:jc w:val="center"/>
        </w:trPr>
        <w:tc>
          <w:tcPr>
            <w:tcW w:w="3100" w:type="dxa"/>
            <w:hideMark/>
          </w:tcPr>
          <w:p w14:paraId="0B0D4D12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Clinical diagnosis</w:t>
            </w:r>
          </w:p>
        </w:tc>
        <w:tc>
          <w:tcPr>
            <w:tcW w:w="1782" w:type="dxa"/>
          </w:tcPr>
          <w:p w14:paraId="18525594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  <w:hideMark/>
          </w:tcPr>
          <w:p w14:paraId="29A9BE6C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6FFAFCCA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0.34</w:t>
            </w:r>
          </w:p>
        </w:tc>
        <w:tc>
          <w:tcPr>
            <w:tcW w:w="1561" w:type="dxa"/>
          </w:tcPr>
          <w:p w14:paraId="0AC0BD22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01" w:type="dxa"/>
            <w:hideMark/>
          </w:tcPr>
          <w:p w14:paraId="1F247C9F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28" w:type="dxa"/>
            <w:hideMark/>
          </w:tcPr>
          <w:p w14:paraId="55CDAD3D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0.006</w:t>
            </w:r>
          </w:p>
        </w:tc>
      </w:tr>
      <w:tr w:rsidR="00486806" w:rsidRPr="00FA10AD" w14:paraId="4AE8272C" w14:textId="77777777" w:rsidTr="00BA4A66">
        <w:trPr>
          <w:jc w:val="center"/>
        </w:trPr>
        <w:tc>
          <w:tcPr>
            <w:tcW w:w="3100" w:type="dxa"/>
            <w:hideMark/>
          </w:tcPr>
          <w:p w14:paraId="7EE5B8D3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 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Post-Traumatic Stress Disorder</w:t>
            </w:r>
          </w:p>
        </w:tc>
        <w:tc>
          <w:tcPr>
            <w:tcW w:w="1782" w:type="dxa"/>
          </w:tcPr>
          <w:p w14:paraId="4DF07A27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57 (16.7%)</w:t>
            </w:r>
          </w:p>
        </w:tc>
        <w:tc>
          <w:tcPr>
            <w:tcW w:w="1518" w:type="dxa"/>
            <w:hideMark/>
          </w:tcPr>
          <w:p w14:paraId="1D8AFB9E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284 (83.3%)</w:t>
            </w:r>
          </w:p>
        </w:tc>
        <w:tc>
          <w:tcPr>
            <w:tcW w:w="0" w:type="auto"/>
            <w:hideMark/>
          </w:tcPr>
          <w:p w14:paraId="77E3A0E1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729FD8B0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80 (23.9%)</w:t>
            </w:r>
          </w:p>
        </w:tc>
        <w:tc>
          <w:tcPr>
            <w:tcW w:w="1301" w:type="dxa"/>
            <w:hideMark/>
          </w:tcPr>
          <w:p w14:paraId="7948C900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255 (76.1%)</w:t>
            </w:r>
          </w:p>
        </w:tc>
        <w:tc>
          <w:tcPr>
            <w:tcW w:w="828" w:type="dxa"/>
            <w:hideMark/>
          </w:tcPr>
          <w:p w14:paraId="785408F2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6AD2418F" w14:textId="77777777" w:rsidTr="00BA4A66">
        <w:trPr>
          <w:jc w:val="center"/>
        </w:trPr>
        <w:tc>
          <w:tcPr>
            <w:tcW w:w="3100" w:type="dxa"/>
            <w:hideMark/>
          </w:tcPr>
          <w:p w14:paraId="4733952E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 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Depression</w:t>
            </w:r>
          </w:p>
        </w:tc>
        <w:tc>
          <w:tcPr>
            <w:tcW w:w="1782" w:type="dxa"/>
          </w:tcPr>
          <w:p w14:paraId="20EEE985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18 (27.3%)</w:t>
            </w:r>
          </w:p>
        </w:tc>
        <w:tc>
          <w:tcPr>
            <w:tcW w:w="1518" w:type="dxa"/>
            <w:hideMark/>
          </w:tcPr>
          <w:p w14:paraId="088144B3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48 (72.7%)</w:t>
            </w:r>
          </w:p>
        </w:tc>
        <w:tc>
          <w:tcPr>
            <w:tcW w:w="0" w:type="auto"/>
            <w:hideMark/>
          </w:tcPr>
          <w:p w14:paraId="62352F0A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2D5A6C53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23 (35.4%)</w:t>
            </w:r>
          </w:p>
        </w:tc>
        <w:tc>
          <w:tcPr>
            <w:tcW w:w="1301" w:type="dxa"/>
            <w:hideMark/>
          </w:tcPr>
          <w:p w14:paraId="00FA6FE4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42 (64.6%)</w:t>
            </w:r>
          </w:p>
        </w:tc>
        <w:tc>
          <w:tcPr>
            <w:tcW w:w="828" w:type="dxa"/>
            <w:hideMark/>
          </w:tcPr>
          <w:p w14:paraId="22A33919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3E2F1591" w14:textId="77777777" w:rsidTr="00BA4A66">
        <w:trPr>
          <w:jc w:val="center"/>
        </w:trPr>
        <w:tc>
          <w:tcPr>
            <w:tcW w:w="3100" w:type="dxa"/>
            <w:hideMark/>
          </w:tcPr>
          <w:p w14:paraId="1F29E940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 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Anxiety disorder</w:t>
            </w:r>
          </w:p>
        </w:tc>
        <w:tc>
          <w:tcPr>
            <w:tcW w:w="1782" w:type="dxa"/>
          </w:tcPr>
          <w:p w14:paraId="25E5F379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5 (15.6%)</w:t>
            </w:r>
          </w:p>
        </w:tc>
        <w:tc>
          <w:tcPr>
            <w:tcW w:w="1518" w:type="dxa"/>
            <w:hideMark/>
          </w:tcPr>
          <w:p w14:paraId="01BA3DC8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27 (84.4%)</w:t>
            </w:r>
          </w:p>
        </w:tc>
        <w:tc>
          <w:tcPr>
            <w:tcW w:w="0" w:type="auto"/>
            <w:hideMark/>
          </w:tcPr>
          <w:p w14:paraId="60E0C672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2A29E460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9 (29.0%)</w:t>
            </w:r>
          </w:p>
        </w:tc>
        <w:tc>
          <w:tcPr>
            <w:tcW w:w="1301" w:type="dxa"/>
            <w:hideMark/>
          </w:tcPr>
          <w:p w14:paraId="242B0301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22 (71.0%)</w:t>
            </w:r>
          </w:p>
        </w:tc>
        <w:tc>
          <w:tcPr>
            <w:tcW w:w="828" w:type="dxa"/>
            <w:hideMark/>
          </w:tcPr>
          <w:p w14:paraId="211F05D2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4B1E3AC5" w14:textId="77777777" w:rsidTr="00BA4A66">
        <w:trPr>
          <w:jc w:val="center"/>
        </w:trPr>
        <w:tc>
          <w:tcPr>
            <w:tcW w:w="3100" w:type="dxa"/>
            <w:hideMark/>
          </w:tcPr>
          <w:p w14:paraId="2F5B3212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 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Psychotic and Bipolar disorder</w:t>
            </w:r>
          </w:p>
        </w:tc>
        <w:tc>
          <w:tcPr>
            <w:tcW w:w="1782" w:type="dxa"/>
          </w:tcPr>
          <w:p w14:paraId="589CA093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 (50.0%)</w:t>
            </w:r>
          </w:p>
        </w:tc>
        <w:tc>
          <w:tcPr>
            <w:tcW w:w="1518" w:type="dxa"/>
            <w:hideMark/>
          </w:tcPr>
          <w:p w14:paraId="0BC8FE8C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 (50.0%)</w:t>
            </w:r>
          </w:p>
        </w:tc>
        <w:tc>
          <w:tcPr>
            <w:tcW w:w="0" w:type="auto"/>
            <w:hideMark/>
          </w:tcPr>
          <w:p w14:paraId="38D9FDDA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1DEC687E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 (50.0%)</w:t>
            </w:r>
          </w:p>
        </w:tc>
        <w:tc>
          <w:tcPr>
            <w:tcW w:w="1301" w:type="dxa"/>
            <w:hideMark/>
          </w:tcPr>
          <w:p w14:paraId="11716A84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 (50.0%)</w:t>
            </w:r>
          </w:p>
        </w:tc>
        <w:tc>
          <w:tcPr>
            <w:tcW w:w="828" w:type="dxa"/>
            <w:hideMark/>
          </w:tcPr>
          <w:p w14:paraId="470FFB08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5EBF7494" w14:textId="77777777" w:rsidTr="00BA4A66">
        <w:trPr>
          <w:jc w:val="center"/>
        </w:trPr>
        <w:tc>
          <w:tcPr>
            <w:tcW w:w="3100" w:type="dxa"/>
            <w:hideMark/>
          </w:tcPr>
          <w:p w14:paraId="61C181BD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 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Adjustment disorder</w:t>
            </w:r>
          </w:p>
        </w:tc>
        <w:tc>
          <w:tcPr>
            <w:tcW w:w="1782" w:type="dxa"/>
          </w:tcPr>
          <w:p w14:paraId="579B1842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9 (18.4%)</w:t>
            </w:r>
          </w:p>
        </w:tc>
        <w:tc>
          <w:tcPr>
            <w:tcW w:w="1518" w:type="dxa"/>
            <w:hideMark/>
          </w:tcPr>
          <w:p w14:paraId="73FE8BB1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40 (81.6%)</w:t>
            </w:r>
          </w:p>
        </w:tc>
        <w:tc>
          <w:tcPr>
            <w:tcW w:w="0" w:type="auto"/>
            <w:hideMark/>
          </w:tcPr>
          <w:p w14:paraId="0741FED7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09DA2333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14 (32.6%)</w:t>
            </w:r>
          </w:p>
        </w:tc>
        <w:tc>
          <w:tcPr>
            <w:tcW w:w="1301" w:type="dxa"/>
            <w:hideMark/>
          </w:tcPr>
          <w:p w14:paraId="10850BA2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29 (67.4%)</w:t>
            </w:r>
          </w:p>
        </w:tc>
        <w:tc>
          <w:tcPr>
            <w:tcW w:w="828" w:type="dxa"/>
            <w:hideMark/>
          </w:tcPr>
          <w:p w14:paraId="5B1C10DA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43731D27" w14:textId="77777777" w:rsidTr="00BA4A66">
        <w:trPr>
          <w:jc w:val="center"/>
        </w:trPr>
        <w:tc>
          <w:tcPr>
            <w:tcW w:w="3100" w:type="dxa"/>
            <w:hideMark/>
          </w:tcPr>
          <w:p w14:paraId="71E8357E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 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Other / Unspecified</w:t>
            </w:r>
          </w:p>
        </w:tc>
        <w:tc>
          <w:tcPr>
            <w:tcW w:w="1782" w:type="dxa"/>
          </w:tcPr>
          <w:p w14:paraId="745919E8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8 (20.5%)</w:t>
            </w:r>
          </w:p>
        </w:tc>
        <w:tc>
          <w:tcPr>
            <w:tcW w:w="1518" w:type="dxa"/>
            <w:hideMark/>
          </w:tcPr>
          <w:p w14:paraId="1943D24B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31 (79.5%)</w:t>
            </w:r>
          </w:p>
        </w:tc>
        <w:tc>
          <w:tcPr>
            <w:tcW w:w="0" w:type="auto"/>
            <w:hideMark/>
          </w:tcPr>
          <w:p w14:paraId="59E74835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18CA059A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19 (52.8%)</w:t>
            </w:r>
          </w:p>
        </w:tc>
        <w:tc>
          <w:tcPr>
            <w:tcW w:w="1301" w:type="dxa"/>
            <w:hideMark/>
          </w:tcPr>
          <w:p w14:paraId="1945B173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17 (47.2%)</w:t>
            </w:r>
          </w:p>
        </w:tc>
        <w:tc>
          <w:tcPr>
            <w:tcW w:w="828" w:type="dxa"/>
            <w:hideMark/>
          </w:tcPr>
          <w:p w14:paraId="21B54DB7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22FB7330" w14:textId="77777777" w:rsidTr="00BA4A66">
        <w:trPr>
          <w:jc w:val="center"/>
        </w:trPr>
        <w:tc>
          <w:tcPr>
            <w:tcW w:w="3100" w:type="dxa"/>
            <w:hideMark/>
          </w:tcPr>
          <w:p w14:paraId="3232396F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Baseline CGI Severity</w:t>
            </w:r>
          </w:p>
        </w:tc>
        <w:tc>
          <w:tcPr>
            <w:tcW w:w="1782" w:type="dxa"/>
          </w:tcPr>
          <w:p w14:paraId="4BD2301D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  <w:hideMark/>
          </w:tcPr>
          <w:p w14:paraId="598CABBD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04A55E63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0.04</w:t>
            </w:r>
          </w:p>
        </w:tc>
        <w:tc>
          <w:tcPr>
            <w:tcW w:w="1561" w:type="dxa"/>
          </w:tcPr>
          <w:p w14:paraId="57229E95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01" w:type="dxa"/>
            <w:hideMark/>
          </w:tcPr>
          <w:p w14:paraId="662A90D2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28" w:type="dxa"/>
            <w:hideMark/>
          </w:tcPr>
          <w:p w14:paraId="0A02A833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&lt;0.001</w:t>
            </w:r>
          </w:p>
        </w:tc>
      </w:tr>
      <w:tr w:rsidR="00486806" w:rsidRPr="00FA10AD" w14:paraId="6361C94C" w14:textId="77777777" w:rsidTr="00BA4A66">
        <w:trPr>
          <w:jc w:val="center"/>
        </w:trPr>
        <w:tc>
          <w:tcPr>
            <w:tcW w:w="3100" w:type="dxa"/>
            <w:hideMark/>
          </w:tcPr>
          <w:p w14:paraId="237EB6EE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 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Mild (1–3 points)</w:t>
            </w:r>
          </w:p>
        </w:tc>
        <w:tc>
          <w:tcPr>
            <w:tcW w:w="1782" w:type="dxa"/>
          </w:tcPr>
          <w:p w14:paraId="4F3C8EAB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21 (26.3%)</w:t>
            </w:r>
          </w:p>
        </w:tc>
        <w:tc>
          <w:tcPr>
            <w:tcW w:w="1518" w:type="dxa"/>
            <w:hideMark/>
          </w:tcPr>
          <w:p w14:paraId="613A1787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59 (73.8%)</w:t>
            </w:r>
          </w:p>
        </w:tc>
        <w:tc>
          <w:tcPr>
            <w:tcW w:w="0" w:type="auto"/>
            <w:hideMark/>
          </w:tcPr>
          <w:p w14:paraId="0CA574FB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428579FB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35 (49.3%)</w:t>
            </w:r>
          </w:p>
        </w:tc>
        <w:tc>
          <w:tcPr>
            <w:tcW w:w="1301" w:type="dxa"/>
            <w:hideMark/>
          </w:tcPr>
          <w:p w14:paraId="15A55FE3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36 (50.7%)</w:t>
            </w:r>
          </w:p>
        </w:tc>
        <w:tc>
          <w:tcPr>
            <w:tcW w:w="828" w:type="dxa"/>
            <w:hideMark/>
          </w:tcPr>
          <w:p w14:paraId="045C48CE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6217F84D" w14:textId="77777777" w:rsidTr="00BA4A66">
        <w:trPr>
          <w:jc w:val="center"/>
        </w:trPr>
        <w:tc>
          <w:tcPr>
            <w:tcW w:w="3100" w:type="dxa"/>
            <w:hideMark/>
          </w:tcPr>
          <w:p w14:paraId="397446DF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 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Moderate (4 points)</w:t>
            </w:r>
          </w:p>
        </w:tc>
        <w:tc>
          <w:tcPr>
            <w:tcW w:w="1782" w:type="dxa"/>
          </w:tcPr>
          <w:p w14:paraId="3CCF9FD2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26 (13.6%)</w:t>
            </w:r>
          </w:p>
        </w:tc>
        <w:tc>
          <w:tcPr>
            <w:tcW w:w="1518" w:type="dxa"/>
            <w:hideMark/>
          </w:tcPr>
          <w:p w14:paraId="043307B8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165 (86.4%)</w:t>
            </w:r>
          </w:p>
        </w:tc>
        <w:tc>
          <w:tcPr>
            <w:tcW w:w="0" w:type="auto"/>
            <w:hideMark/>
          </w:tcPr>
          <w:p w14:paraId="34BBDBCF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25EC765B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61 (32.6%)</w:t>
            </w:r>
          </w:p>
        </w:tc>
        <w:tc>
          <w:tcPr>
            <w:tcW w:w="1301" w:type="dxa"/>
            <w:hideMark/>
          </w:tcPr>
          <w:p w14:paraId="7B8558F2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126 (67.4%)</w:t>
            </w:r>
          </w:p>
        </w:tc>
        <w:tc>
          <w:tcPr>
            <w:tcW w:w="828" w:type="dxa"/>
            <w:hideMark/>
          </w:tcPr>
          <w:p w14:paraId="45B23E97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06432B38" w14:textId="77777777" w:rsidTr="00BA4A66">
        <w:trPr>
          <w:jc w:val="center"/>
        </w:trPr>
        <w:tc>
          <w:tcPr>
            <w:tcW w:w="3100" w:type="dxa"/>
            <w:hideMark/>
          </w:tcPr>
          <w:p w14:paraId="4C9D8CD2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 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Severe (5–7 points)</w:t>
            </w:r>
          </w:p>
        </w:tc>
        <w:tc>
          <w:tcPr>
            <w:tcW w:w="1782" w:type="dxa"/>
          </w:tcPr>
          <w:p w14:paraId="53302EE0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51 (19.8%)</w:t>
            </w:r>
          </w:p>
        </w:tc>
        <w:tc>
          <w:tcPr>
            <w:tcW w:w="1518" w:type="dxa"/>
            <w:hideMark/>
          </w:tcPr>
          <w:p w14:paraId="7A83385D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206 (80.2%)</w:t>
            </w:r>
          </w:p>
        </w:tc>
        <w:tc>
          <w:tcPr>
            <w:tcW w:w="0" w:type="auto"/>
            <w:hideMark/>
          </w:tcPr>
          <w:p w14:paraId="171644B2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4C560C59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52 (20.6%)</w:t>
            </w:r>
          </w:p>
        </w:tc>
        <w:tc>
          <w:tcPr>
            <w:tcW w:w="1301" w:type="dxa"/>
            <w:hideMark/>
          </w:tcPr>
          <w:p w14:paraId="1C248834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201 (79.4%)</w:t>
            </w:r>
          </w:p>
        </w:tc>
        <w:tc>
          <w:tcPr>
            <w:tcW w:w="828" w:type="dxa"/>
            <w:hideMark/>
          </w:tcPr>
          <w:p w14:paraId="4089EC83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292D1FA2" w14:textId="77777777" w:rsidTr="00BA4A66">
        <w:trPr>
          <w:jc w:val="center"/>
        </w:trPr>
        <w:tc>
          <w:tcPr>
            <w:tcW w:w="3100" w:type="dxa"/>
            <w:hideMark/>
          </w:tcPr>
          <w:p w14:paraId="59DDBDB6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Main event group</w:t>
            </w:r>
          </w:p>
        </w:tc>
        <w:tc>
          <w:tcPr>
            <w:tcW w:w="1782" w:type="dxa"/>
          </w:tcPr>
          <w:p w14:paraId="2AC3DC11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  <w:hideMark/>
          </w:tcPr>
          <w:p w14:paraId="36DE2FB3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04D8B05C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0.14</w:t>
            </w:r>
          </w:p>
        </w:tc>
        <w:tc>
          <w:tcPr>
            <w:tcW w:w="1561" w:type="dxa"/>
          </w:tcPr>
          <w:p w14:paraId="07F27418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01" w:type="dxa"/>
            <w:hideMark/>
          </w:tcPr>
          <w:p w14:paraId="7B5C78CF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28" w:type="dxa"/>
            <w:hideMark/>
          </w:tcPr>
          <w:p w14:paraId="259390F7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0.007</w:t>
            </w:r>
          </w:p>
        </w:tc>
      </w:tr>
      <w:tr w:rsidR="00486806" w:rsidRPr="00FA10AD" w14:paraId="4776F720" w14:textId="77777777" w:rsidTr="00BA4A66">
        <w:trPr>
          <w:jc w:val="center"/>
        </w:trPr>
        <w:tc>
          <w:tcPr>
            <w:tcW w:w="3100" w:type="dxa"/>
            <w:hideMark/>
          </w:tcPr>
          <w:p w14:paraId="432363C4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 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Sexual violence</w:t>
            </w:r>
          </w:p>
        </w:tc>
        <w:tc>
          <w:tcPr>
            <w:tcW w:w="1782" w:type="dxa"/>
          </w:tcPr>
          <w:p w14:paraId="3FB72ED8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16 (12.7%)</w:t>
            </w:r>
          </w:p>
        </w:tc>
        <w:tc>
          <w:tcPr>
            <w:tcW w:w="1518" w:type="dxa"/>
            <w:hideMark/>
          </w:tcPr>
          <w:p w14:paraId="718CE9BC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110 (87.3%)</w:t>
            </w:r>
          </w:p>
        </w:tc>
        <w:tc>
          <w:tcPr>
            <w:tcW w:w="0" w:type="auto"/>
            <w:hideMark/>
          </w:tcPr>
          <w:p w14:paraId="45EFC643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1A95C0A6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27 (22.0%)</w:t>
            </w:r>
          </w:p>
        </w:tc>
        <w:tc>
          <w:tcPr>
            <w:tcW w:w="1301" w:type="dxa"/>
            <w:hideMark/>
          </w:tcPr>
          <w:p w14:paraId="7E0C5EA4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96 (78.0%)</w:t>
            </w:r>
          </w:p>
        </w:tc>
        <w:tc>
          <w:tcPr>
            <w:tcW w:w="828" w:type="dxa"/>
            <w:hideMark/>
          </w:tcPr>
          <w:p w14:paraId="3B97BE94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466ACF8E" w14:textId="77777777" w:rsidTr="00BA4A66">
        <w:trPr>
          <w:jc w:val="center"/>
        </w:trPr>
        <w:tc>
          <w:tcPr>
            <w:tcW w:w="3100" w:type="dxa"/>
            <w:hideMark/>
          </w:tcPr>
          <w:p w14:paraId="39F36BC7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 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Torture</w:t>
            </w:r>
          </w:p>
        </w:tc>
        <w:tc>
          <w:tcPr>
            <w:tcW w:w="1782" w:type="dxa"/>
          </w:tcPr>
          <w:p w14:paraId="4A7A9360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13 (31.0%)</w:t>
            </w:r>
          </w:p>
        </w:tc>
        <w:tc>
          <w:tcPr>
            <w:tcW w:w="1518" w:type="dxa"/>
            <w:hideMark/>
          </w:tcPr>
          <w:p w14:paraId="5B749ACC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29 (69.0%)</w:t>
            </w:r>
          </w:p>
        </w:tc>
        <w:tc>
          <w:tcPr>
            <w:tcW w:w="0" w:type="auto"/>
            <w:hideMark/>
          </w:tcPr>
          <w:p w14:paraId="2363648B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3714F992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19 (45.2%)</w:t>
            </w:r>
          </w:p>
        </w:tc>
        <w:tc>
          <w:tcPr>
            <w:tcW w:w="1301" w:type="dxa"/>
            <w:hideMark/>
          </w:tcPr>
          <w:p w14:paraId="3AB71E0C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23 (54.8%)</w:t>
            </w:r>
          </w:p>
        </w:tc>
        <w:tc>
          <w:tcPr>
            <w:tcW w:w="828" w:type="dxa"/>
            <w:hideMark/>
          </w:tcPr>
          <w:p w14:paraId="1E087B31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03A09572" w14:textId="77777777" w:rsidTr="00BA4A66">
        <w:trPr>
          <w:jc w:val="center"/>
        </w:trPr>
        <w:tc>
          <w:tcPr>
            <w:tcW w:w="3100" w:type="dxa"/>
            <w:hideMark/>
          </w:tcPr>
          <w:p w14:paraId="0AA962BD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 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Kidnapping</w:t>
            </w:r>
          </w:p>
        </w:tc>
        <w:tc>
          <w:tcPr>
            <w:tcW w:w="1782" w:type="dxa"/>
          </w:tcPr>
          <w:p w14:paraId="1F3DB292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18 (17.5%)</w:t>
            </w:r>
          </w:p>
        </w:tc>
        <w:tc>
          <w:tcPr>
            <w:tcW w:w="1518" w:type="dxa"/>
            <w:hideMark/>
          </w:tcPr>
          <w:p w14:paraId="1CF85093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85 (82.5%)</w:t>
            </w:r>
          </w:p>
        </w:tc>
        <w:tc>
          <w:tcPr>
            <w:tcW w:w="0" w:type="auto"/>
            <w:hideMark/>
          </w:tcPr>
          <w:p w14:paraId="7D37E074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63AAC62A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21 (20.6%)</w:t>
            </w:r>
          </w:p>
        </w:tc>
        <w:tc>
          <w:tcPr>
            <w:tcW w:w="1301" w:type="dxa"/>
            <w:hideMark/>
          </w:tcPr>
          <w:p w14:paraId="29811532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81 (79.4%)</w:t>
            </w:r>
          </w:p>
        </w:tc>
        <w:tc>
          <w:tcPr>
            <w:tcW w:w="828" w:type="dxa"/>
            <w:hideMark/>
          </w:tcPr>
          <w:p w14:paraId="5816F422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746C45FF" w14:textId="77777777" w:rsidTr="00BA4A66">
        <w:trPr>
          <w:jc w:val="center"/>
        </w:trPr>
        <w:tc>
          <w:tcPr>
            <w:tcW w:w="3100" w:type="dxa"/>
            <w:hideMark/>
          </w:tcPr>
          <w:p w14:paraId="4291E8C4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 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Other forms of violence / GBV</w:t>
            </w:r>
          </w:p>
        </w:tc>
        <w:tc>
          <w:tcPr>
            <w:tcW w:w="1782" w:type="dxa"/>
          </w:tcPr>
          <w:p w14:paraId="729B8370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41 (18.1%)</w:t>
            </w:r>
          </w:p>
        </w:tc>
        <w:tc>
          <w:tcPr>
            <w:tcW w:w="1518" w:type="dxa"/>
            <w:hideMark/>
          </w:tcPr>
          <w:p w14:paraId="530E5087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185 (81.9%)</w:t>
            </w:r>
          </w:p>
        </w:tc>
        <w:tc>
          <w:tcPr>
            <w:tcW w:w="0" w:type="auto"/>
            <w:hideMark/>
          </w:tcPr>
          <w:p w14:paraId="67343A29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59A81F0B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67 (30.9%)</w:t>
            </w:r>
          </w:p>
        </w:tc>
        <w:tc>
          <w:tcPr>
            <w:tcW w:w="1301" w:type="dxa"/>
            <w:hideMark/>
          </w:tcPr>
          <w:p w14:paraId="21BBD545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150 (69.1%)</w:t>
            </w:r>
          </w:p>
        </w:tc>
        <w:tc>
          <w:tcPr>
            <w:tcW w:w="828" w:type="dxa"/>
            <w:hideMark/>
          </w:tcPr>
          <w:p w14:paraId="3DF17D9A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7F8EA155" w14:textId="77777777" w:rsidTr="00BA4A66">
        <w:trPr>
          <w:jc w:val="center"/>
        </w:trPr>
        <w:tc>
          <w:tcPr>
            <w:tcW w:w="3100" w:type="dxa"/>
            <w:hideMark/>
          </w:tcPr>
          <w:p w14:paraId="78C64BA8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 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Separation / Loss &amp; family context</w:t>
            </w:r>
          </w:p>
        </w:tc>
        <w:tc>
          <w:tcPr>
            <w:tcW w:w="1782" w:type="dxa"/>
          </w:tcPr>
          <w:p w14:paraId="6A516E54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5 (33.3%)</w:t>
            </w:r>
          </w:p>
        </w:tc>
        <w:tc>
          <w:tcPr>
            <w:tcW w:w="1518" w:type="dxa"/>
            <w:hideMark/>
          </w:tcPr>
          <w:p w14:paraId="510287EC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10 (66.7%)</w:t>
            </w:r>
          </w:p>
        </w:tc>
        <w:tc>
          <w:tcPr>
            <w:tcW w:w="0" w:type="auto"/>
            <w:hideMark/>
          </w:tcPr>
          <w:p w14:paraId="692548CA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56666857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6 (46.1%)</w:t>
            </w:r>
          </w:p>
        </w:tc>
        <w:tc>
          <w:tcPr>
            <w:tcW w:w="1301" w:type="dxa"/>
            <w:hideMark/>
          </w:tcPr>
          <w:p w14:paraId="31BDAE38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7 (53.9%)</w:t>
            </w:r>
          </w:p>
        </w:tc>
        <w:tc>
          <w:tcPr>
            <w:tcW w:w="828" w:type="dxa"/>
            <w:hideMark/>
          </w:tcPr>
          <w:p w14:paraId="54D1614D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3C5C6FFA" w14:textId="77777777" w:rsidTr="00BA4A66">
        <w:trPr>
          <w:jc w:val="center"/>
        </w:trPr>
        <w:tc>
          <w:tcPr>
            <w:tcW w:w="3100" w:type="dxa"/>
            <w:hideMark/>
          </w:tcPr>
          <w:p w14:paraId="1DD03C55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 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Medical / antecedents</w:t>
            </w:r>
          </w:p>
        </w:tc>
        <w:tc>
          <w:tcPr>
            <w:tcW w:w="1782" w:type="dxa"/>
          </w:tcPr>
          <w:p w14:paraId="58A7457F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 (25.0%)</w:t>
            </w:r>
          </w:p>
        </w:tc>
        <w:tc>
          <w:tcPr>
            <w:tcW w:w="1518" w:type="dxa"/>
            <w:hideMark/>
          </w:tcPr>
          <w:p w14:paraId="2421F0F4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6 (75.0%)</w:t>
            </w:r>
          </w:p>
        </w:tc>
        <w:tc>
          <w:tcPr>
            <w:tcW w:w="0" w:type="auto"/>
            <w:hideMark/>
          </w:tcPr>
          <w:p w14:paraId="452595FC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4DF7BA1D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4 (50.0%)</w:t>
            </w:r>
          </w:p>
        </w:tc>
        <w:tc>
          <w:tcPr>
            <w:tcW w:w="1301" w:type="dxa"/>
            <w:hideMark/>
          </w:tcPr>
          <w:p w14:paraId="33ABD502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4 (50.0%)</w:t>
            </w:r>
          </w:p>
        </w:tc>
        <w:tc>
          <w:tcPr>
            <w:tcW w:w="828" w:type="dxa"/>
            <w:hideMark/>
          </w:tcPr>
          <w:p w14:paraId="62178BD6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545175C7" w14:textId="77777777" w:rsidTr="00BA4A66">
        <w:trPr>
          <w:jc w:val="center"/>
        </w:trPr>
        <w:tc>
          <w:tcPr>
            <w:tcW w:w="3100" w:type="dxa"/>
          </w:tcPr>
          <w:p w14:paraId="41409E7D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lastRenderedPageBreak/>
              <w:t> 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Other events</w:t>
            </w:r>
          </w:p>
        </w:tc>
        <w:tc>
          <w:tcPr>
            <w:tcW w:w="1782" w:type="dxa"/>
          </w:tcPr>
          <w:p w14:paraId="670D04FD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 (20.0%)</w:t>
            </w:r>
          </w:p>
        </w:tc>
        <w:tc>
          <w:tcPr>
            <w:tcW w:w="1518" w:type="dxa"/>
          </w:tcPr>
          <w:p w14:paraId="7985471B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8 (80.0%)</w:t>
            </w:r>
          </w:p>
        </w:tc>
        <w:tc>
          <w:tcPr>
            <w:tcW w:w="0" w:type="auto"/>
          </w:tcPr>
          <w:p w14:paraId="0905D7EA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4038DE49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4 (50.0%)</w:t>
            </w:r>
          </w:p>
        </w:tc>
        <w:tc>
          <w:tcPr>
            <w:tcW w:w="1301" w:type="dxa"/>
          </w:tcPr>
          <w:p w14:paraId="60B46BC9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4 (50.0%)</w:t>
            </w:r>
          </w:p>
        </w:tc>
        <w:tc>
          <w:tcPr>
            <w:tcW w:w="828" w:type="dxa"/>
          </w:tcPr>
          <w:p w14:paraId="0497F2FD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7754366F" w14:textId="77777777" w:rsidTr="00BA4A66">
        <w:trPr>
          <w:jc w:val="center"/>
        </w:trPr>
        <w:tc>
          <w:tcPr>
            <w:tcW w:w="3100" w:type="dxa"/>
            <w:hideMark/>
          </w:tcPr>
          <w:p w14:paraId="54203107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Time since event</w:t>
            </w:r>
          </w:p>
        </w:tc>
        <w:tc>
          <w:tcPr>
            <w:tcW w:w="1782" w:type="dxa"/>
          </w:tcPr>
          <w:p w14:paraId="7205BC4C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  <w:hideMark/>
          </w:tcPr>
          <w:p w14:paraId="611598E2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1496F7E3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0.92</w:t>
            </w:r>
          </w:p>
        </w:tc>
        <w:tc>
          <w:tcPr>
            <w:tcW w:w="1561" w:type="dxa"/>
          </w:tcPr>
          <w:p w14:paraId="7EB07483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01" w:type="dxa"/>
            <w:hideMark/>
          </w:tcPr>
          <w:p w14:paraId="5272B682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28" w:type="dxa"/>
            <w:hideMark/>
          </w:tcPr>
          <w:p w14:paraId="15D068E1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0.13</w:t>
            </w:r>
          </w:p>
        </w:tc>
      </w:tr>
      <w:tr w:rsidR="00486806" w:rsidRPr="00FA10AD" w14:paraId="5E0AD5C0" w14:textId="77777777" w:rsidTr="00BA4A66">
        <w:trPr>
          <w:jc w:val="center"/>
        </w:trPr>
        <w:tc>
          <w:tcPr>
            <w:tcW w:w="3100" w:type="dxa"/>
            <w:hideMark/>
          </w:tcPr>
          <w:p w14:paraId="74B93117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≤1 week</w:t>
            </w:r>
          </w:p>
        </w:tc>
        <w:tc>
          <w:tcPr>
            <w:tcW w:w="1782" w:type="dxa"/>
          </w:tcPr>
          <w:p w14:paraId="7F9D276D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 (16.7%)</w:t>
            </w:r>
          </w:p>
        </w:tc>
        <w:tc>
          <w:tcPr>
            <w:tcW w:w="1518" w:type="dxa"/>
            <w:hideMark/>
          </w:tcPr>
          <w:p w14:paraId="4AFE8C57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5 (83.3%)</w:t>
            </w:r>
          </w:p>
        </w:tc>
        <w:tc>
          <w:tcPr>
            <w:tcW w:w="0" w:type="auto"/>
            <w:hideMark/>
          </w:tcPr>
          <w:p w14:paraId="225AB64E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0D1099DE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 (33.3%)</w:t>
            </w:r>
          </w:p>
        </w:tc>
        <w:tc>
          <w:tcPr>
            <w:tcW w:w="1301" w:type="dxa"/>
            <w:hideMark/>
          </w:tcPr>
          <w:p w14:paraId="50EB90B8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4 (66.7%)</w:t>
            </w:r>
          </w:p>
        </w:tc>
        <w:tc>
          <w:tcPr>
            <w:tcW w:w="828" w:type="dxa"/>
            <w:hideMark/>
          </w:tcPr>
          <w:p w14:paraId="781BD016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73E5EA2D" w14:textId="77777777" w:rsidTr="00BA4A66">
        <w:trPr>
          <w:jc w:val="center"/>
        </w:trPr>
        <w:tc>
          <w:tcPr>
            <w:tcW w:w="3100" w:type="dxa"/>
            <w:hideMark/>
          </w:tcPr>
          <w:p w14:paraId="60B70708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1–12 weeks</w:t>
            </w:r>
          </w:p>
        </w:tc>
        <w:tc>
          <w:tcPr>
            <w:tcW w:w="1782" w:type="dxa"/>
          </w:tcPr>
          <w:p w14:paraId="6895A767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28 (17.4%)</w:t>
            </w:r>
          </w:p>
        </w:tc>
        <w:tc>
          <w:tcPr>
            <w:tcW w:w="1518" w:type="dxa"/>
            <w:hideMark/>
          </w:tcPr>
          <w:p w14:paraId="50441107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133 (82.6%)</w:t>
            </w:r>
          </w:p>
        </w:tc>
        <w:tc>
          <w:tcPr>
            <w:tcW w:w="0" w:type="auto"/>
            <w:hideMark/>
          </w:tcPr>
          <w:p w14:paraId="5E4E27FC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7760E4B5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33 (21.0%)</w:t>
            </w:r>
          </w:p>
        </w:tc>
        <w:tc>
          <w:tcPr>
            <w:tcW w:w="1301" w:type="dxa"/>
            <w:hideMark/>
          </w:tcPr>
          <w:p w14:paraId="5B32DEC0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124 (79.0%)</w:t>
            </w:r>
          </w:p>
        </w:tc>
        <w:tc>
          <w:tcPr>
            <w:tcW w:w="828" w:type="dxa"/>
            <w:hideMark/>
          </w:tcPr>
          <w:p w14:paraId="49985446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43E444BE" w14:textId="77777777" w:rsidTr="00BA4A66">
        <w:trPr>
          <w:jc w:val="center"/>
        </w:trPr>
        <w:tc>
          <w:tcPr>
            <w:tcW w:w="3100" w:type="dxa"/>
            <w:hideMark/>
          </w:tcPr>
          <w:p w14:paraId="5655BE00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4-12 months</w:t>
            </w:r>
          </w:p>
        </w:tc>
        <w:tc>
          <w:tcPr>
            <w:tcW w:w="1782" w:type="dxa"/>
          </w:tcPr>
          <w:p w14:paraId="3266F75E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32 (19.7%)</w:t>
            </w:r>
          </w:p>
        </w:tc>
        <w:tc>
          <w:tcPr>
            <w:tcW w:w="1518" w:type="dxa"/>
            <w:hideMark/>
          </w:tcPr>
          <w:p w14:paraId="332CA42C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130 (80.3%)</w:t>
            </w:r>
          </w:p>
        </w:tc>
        <w:tc>
          <w:tcPr>
            <w:tcW w:w="0" w:type="auto"/>
            <w:hideMark/>
          </w:tcPr>
          <w:p w14:paraId="52A2E95A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4EDEF278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51 (32.1%)</w:t>
            </w:r>
          </w:p>
        </w:tc>
        <w:tc>
          <w:tcPr>
            <w:tcW w:w="1301" w:type="dxa"/>
            <w:hideMark/>
          </w:tcPr>
          <w:p w14:paraId="5A08B817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108 (67.9%)</w:t>
            </w:r>
          </w:p>
        </w:tc>
        <w:tc>
          <w:tcPr>
            <w:tcW w:w="828" w:type="dxa"/>
            <w:hideMark/>
          </w:tcPr>
          <w:p w14:paraId="1B8B23AC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193019C4" w14:textId="77777777" w:rsidTr="00BA4A66">
        <w:trPr>
          <w:jc w:val="center"/>
        </w:trPr>
        <w:tc>
          <w:tcPr>
            <w:tcW w:w="3100" w:type="dxa"/>
          </w:tcPr>
          <w:p w14:paraId="272DFCE6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&gt; 1 year</w:t>
            </w:r>
          </w:p>
        </w:tc>
        <w:tc>
          <w:tcPr>
            <w:tcW w:w="1782" w:type="dxa"/>
          </w:tcPr>
          <w:p w14:paraId="2A4BCF29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33 (17.1%)</w:t>
            </w:r>
          </w:p>
        </w:tc>
        <w:tc>
          <w:tcPr>
            <w:tcW w:w="1518" w:type="dxa"/>
          </w:tcPr>
          <w:p w14:paraId="395715F0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160 (82.9%)</w:t>
            </w:r>
          </w:p>
        </w:tc>
        <w:tc>
          <w:tcPr>
            <w:tcW w:w="0" w:type="auto"/>
          </w:tcPr>
          <w:p w14:paraId="5CF15AF2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323AF00C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56 (30.3%)</w:t>
            </w:r>
          </w:p>
        </w:tc>
        <w:tc>
          <w:tcPr>
            <w:tcW w:w="1301" w:type="dxa"/>
          </w:tcPr>
          <w:p w14:paraId="1A17D90C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129 (69.7%)</w:t>
            </w:r>
          </w:p>
        </w:tc>
        <w:tc>
          <w:tcPr>
            <w:tcW w:w="828" w:type="dxa"/>
          </w:tcPr>
          <w:p w14:paraId="1FEE6F49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25A3C4FD" w14:textId="77777777" w:rsidTr="00BA4A66">
        <w:trPr>
          <w:jc w:val="center"/>
        </w:trPr>
        <w:tc>
          <w:tcPr>
            <w:tcW w:w="3100" w:type="dxa"/>
            <w:hideMark/>
          </w:tcPr>
          <w:p w14:paraId="65592A4D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Pre-existing psychotropics (yes/no)</w:t>
            </w:r>
          </w:p>
        </w:tc>
        <w:tc>
          <w:tcPr>
            <w:tcW w:w="1782" w:type="dxa"/>
          </w:tcPr>
          <w:p w14:paraId="28B8AB5C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  <w:hideMark/>
          </w:tcPr>
          <w:p w14:paraId="4F92A4AA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47C3E918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0.13</w:t>
            </w:r>
          </w:p>
        </w:tc>
        <w:tc>
          <w:tcPr>
            <w:tcW w:w="1561" w:type="dxa"/>
          </w:tcPr>
          <w:p w14:paraId="41D227AB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01" w:type="dxa"/>
            <w:hideMark/>
          </w:tcPr>
          <w:p w14:paraId="36489ED1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28" w:type="dxa"/>
            <w:hideMark/>
          </w:tcPr>
          <w:p w14:paraId="1B018DA5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0.04</w:t>
            </w:r>
          </w:p>
        </w:tc>
      </w:tr>
      <w:tr w:rsidR="00486806" w:rsidRPr="00FA10AD" w14:paraId="52A1F33B" w14:textId="77777777" w:rsidTr="00BA4A66">
        <w:trPr>
          <w:jc w:val="center"/>
        </w:trPr>
        <w:tc>
          <w:tcPr>
            <w:tcW w:w="3100" w:type="dxa"/>
            <w:hideMark/>
          </w:tcPr>
          <w:p w14:paraId="16C8F3C8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 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Yes</w:t>
            </w:r>
          </w:p>
        </w:tc>
        <w:tc>
          <w:tcPr>
            <w:tcW w:w="1782" w:type="dxa"/>
          </w:tcPr>
          <w:p w14:paraId="363CF947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17 (13.8%)</w:t>
            </w:r>
          </w:p>
        </w:tc>
        <w:tc>
          <w:tcPr>
            <w:tcW w:w="1518" w:type="dxa"/>
            <w:hideMark/>
          </w:tcPr>
          <w:p w14:paraId="5C33E66B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106 (86.2%)</w:t>
            </w:r>
          </w:p>
        </w:tc>
        <w:tc>
          <w:tcPr>
            <w:tcW w:w="0" w:type="auto"/>
            <w:hideMark/>
          </w:tcPr>
          <w:p w14:paraId="4E1B779A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0EC83BE5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26 (21.5%)</w:t>
            </w:r>
          </w:p>
        </w:tc>
        <w:tc>
          <w:tcPr>
            <w:tcW w:w="1301" w:type="dxa"/>
            <w:hideMark/>
          </w:tcPr>
          <w:p w14:paraId="32AE77B7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95 (78.5%)</w:t>
            </w:r>
          </w:p>
        </w:tc>
        <w:tc>
          <w:tcPr>
            <w:tcW w:w="828" w:type="dxa"/>
            <w:hideMark/>
          </w:tcPr>
          <w:p w14:paraId="6A3371CF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6D58D34D" w14:textId="77777777" w:rsidTr="00BA4A66">
        <w:trPr>
          <w:jc w:val="center"/>
        </w:trPr>
        <w:tc>
          <w:tcPr>
            <w:tcW w:w="3100" w:type="dxa"/>
          </w:tcPr>
          <w:p w14:paraId="29FD00E4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 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No</w:t>
            </w:r>
          </w:p>
        </w:tc>
        <w:tc>
          <w:tcPr>
            <w:tcW w:w="1782" w:type="dxa"/>
          </w:tcPr>
          <w:p w14:paraId="6A17F83A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81 (19.8%)</w:t>
            </w:r>
          </w:p>
        </w:tc>
        <w:tc>
          <w:tcPr>
            <w:tcW w:w="1518" w:type="dxa"/>
          </w:tcPr>
          <w:p w14:paraId="349ABB43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328 (80.2%)</w:t>
            </w:r>
          </w:p>
        </w:tc>
        <w:tc>
          <w:tcPr>
            <w:tcW w:w="0" w:type="auto"/>
          </w:tcPr>
          <w:p w14:paraId="2F0ECC49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65BFE947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122 (31.0%)</w:t>
            </w:r>
          </w:p>
        </w:tc>
        <w:tc>
          <w:tcPr>
            <w:tcW w:w="1301" w:type="dxa"/>
          </w:tcPr>
          <w:p w14:paraId="0E65440E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272 (69.0%)</w:t>
            </w:r>
          </w:p>
        </w:tc>
        <w:tc>
          <w:tcPr>
            <w:tcW w:w="828" w:type="dxa"/>
          </w:tcPr>
          <w:p w14:paraId="5DF078D8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710E8511" w14:textId="77777777" w:rsidTr="00BA4A66">
        <w:trPr>
          <w:jc w:val="center"/>
        </w:trPr>
        <w:tc>
          <w:tcPr>
            <w:tcW w:w="3100" w:type="dxa"/>
            <w:hideMark/>
          </w:tcPr>
          <w:p w14:paraId="03AF3334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Psychotropics during MH care (yes/no)</w:t>
            </w:r>
          </w:p>
        </w:tc>
        <w:tc>
          <w:tcPr>
            <w:tcW w:w="1782" w:type="dxa"/>
          </w:tcPr>
          <w:p w14:paraId="734BF9AD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  <w:hideMark/>
          </w:tcPr>
          <w:p w14:paraId="44B64CFF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20B4A2E3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0.03</w:t>
            </w:r>
          </w:p>
        </w:tc>
        <w:tc>
          <w:tcPr>
            <w:tcW w:w="1561" w:type="dxa"/>
          </w:tcPr>
          <w:p w14:paraId="4CD9A68C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01" w:type="dxa"/>
            <w:hideMark/>
          </w:tcPr>
          <w:p w14:paraId="54D718A8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28" w:type="dxa"/>
            <w:hideMark/>
          </w:tcPr>
          <w:p w14:paraId="5AD9D007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&lt;0.001</w:t>
            </w:r>
          </w:p>
        </w:tc>
      </w:tr>
      <w:tr w:rsidR="00486806" w:rsidRPr="00FA10AD" w14:paraId="6CA5E759" w14:textId="77777777" w:rsidTr="00BA4A66">
        <w:trPr>
          <w:jc w:val="center"/>
        </w:trPr>
        <w:tc>
          <w:tcPr>
            <w:tcW w:w="3100" w:type="dxa"/>
            <w:hideMark/>
          </w:tcPr>
          <w:p w14:paraId="5513C5ED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 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Yes</w:t>
            </w:r>
          </w:p>
        </w:tc>
        <w:tc>
          <w:tcPr>
            <w:tcW w:w="1782" w:type="dxa"/>
          </w:tcPr>
          <w:p w14:paraId="729CEC89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62 (16.1%)</w:t>
            </w:r>
          </w:p>
        </w:tc>
        <w:tc>
          <w:tcPr>
            <w:tcW w:w="1518" w:type="dxa"/>
            <w:hideMark/>
          </w:tcPr>
          <w:p w14:paraId="092B4300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322 (83.9%)</w:t>
            </w:r>
          </w:p>
        </w:tc>
        <w:tc>
          <w:tcPr>
            <w:tcW w:w="0" w:type="auto"/>
            <w:hideMark/>
          </w:tcPr>
          <w:p w14:paraId="5BB61AF5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74351F8A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89 (23.5%)</w:t>
            </w:r>
          </w:p>
        </w:tc>
        <w:tc>
          <w:tcPr>
            <w:tcW w:w="1301" w:type="dxa"/>
            <w:hideMark/>
          </w:tcPr>
          <w:p w14:paraId="3507D89C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289 (76.5%)</w:t>
            </w:r>
          </w:p>
        </w:tc>
        <w:tc>
          <w:tcPr>
            <w:tcW w:w="828" w:type="dxa"/>
            <w:hideMark/>
          </w:tcPr>
          <w:p w14:paraId="090DACAC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100B6874" w14:textId="77777777" w:rsidTr="00BA4A66">
        <w:trPr>
          <w:jc w:val="center"/>
        </w:trPr>
        <w:tc>
          <w:tcPr>
            <w:tcW w:w="3100" w:type="dxa"/>
          </w:tcPr>
          <w:p w14:paraId="33A92942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 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No</w:t>
            </w:r>
          </w:p>
        </w:tc>
        <w:tc>
          <w:tcPr>
            <w:tcW w:w="1782" w:type="dxa"/>
          </w:tcPr>
          <w:p w14:paraId="7BA0A06A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36 (24.3%)</w:t>
            </w:r>
          </w:p>
        </w:tc>
        <w:tc>
          <w:tcPr>
            <w:tcW w:w="1518" w:type="dxa"/>
          </w:tcPr>
          <w:p w14:paraId="5C3701BC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112 (75.7%)</w:t>
            </w:r>
          </w:p>
        </w:tc>
        <w:tc>
          <w:tcPr>
            <w:tcW w:w="0" w:type="auto"/>
          </w:tcPr>
          <w:p w14:paraId="454A739F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54426AEF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59 (43.1%)</w:t>
            </w:r>
          </w:p>
        </w:tc>
        <w:tc>
          <w:tcPr>
            <w:tcW w:w="1301" w:type="dxa"/>
          </w:tcPr>
          <w:p w14:paraId="130D3A4E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78 (56.9%)</w:t>
            </w:r>
          </w:p>
        </w:tc>
        <w:tc>
          <w:tcPr>
            <w:tcW w:w="828" w:type="dxa"/>
          </w:tcPr>
          <w:p w14:paraId="7D826FE4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513A385D" w14:textId="77777777" w:rsidTr="00BA4A66">
        <w:trPr>
          <w:jc w:val="center"/>
        </w:trPr>
        <w:tc>
          <w:tcPr>
            <w:tcW w:w="3100" w:type="dxa"/>
            <w:hideMark/>
          </w:tcPr>
          <w:p w14:paraId="20B2EFE7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Patient referred (yes/no)</w:t>
            </w:r>
          </w:p>
        </w:tc>
        <w:tc>
          <w:tcPr>
            <w:tcW w:w="1782" w:type="dxa"/>
          </w:tcPr>
          <w:p w14:paraId="0BAA2885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  <w:hideMark/>
          </w:tcPr>
          <w:p w14:paraId="19E12141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6CC57129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0.08</w:t>
            </w:r>
          </w:p>
        </w:tc>
        <w:tc>
          <w:tcPr>
            <w:tcW w:w="1561" w:type="dxa"/>
          </w:tcPr>
          <w:p w14:paraId="6D9314B9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01" w:type="dxa"/>
            <w:hideMark/>
          </w:tcPr>
          <w:p w14:paraId="3E8EED86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28" w:type="dxa"/>
            <w:hideMark/>
          </w:tcPr>
          <w:p w14:paraId="0C3B1250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0.02</w:t>
            </w:r>
          </w:p>
        </w:tc>
      </w:tr>
      <w:tr w:rsidR="00486806" w:rsidRPr="00FA10AD" w14:paraId="7925B450" w14:textId="77777777" w:rsidTr="00BA4A66">
        <w:trPr>
          <w:jc w:val="center"/>
        </w:trPr>
        <w:tc>
          <w:tcPr>
            <w:tcW w:w="3100" w:type="dxa"/>
            <w:hideMark/>
          </w:tcPr>
          <w:p w14:paraId="4191358E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 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Yes</w:t>
            </w:r>
          </w:p>
        </w:tc>
        <w:tc>
          <w:tcPr>
            <w:tcW w:w="1782" w:type="dxa"/>
          </w:tcPr>
          <w:p w14:paraId="7AC06665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49 (15.9%)</w:t>
            </w:r>
          </w:p>
        </w:tc>
        <w:tc>
          <w:tcPr>
            <w:tcW w:w="1518" w:type="dxa"/>
            <w:hideMark/>
          </w:tcPr>
          <w:p w14:paraId="42251A6A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259 (84.1%)</w:t>
            </w:r>
          </w:p>
        </w:tc>
        <w:tc>
          <w:tcPr>
            <w:tcW w:w="0" w:type="auto"/>
            <w:hideMark/>
          </w:tcPr>
          <w:p w14:paraId="247339BD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737ACA58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71 (23.6%)</w:t>
            </w:r>
          </w:p>
        </w:tc>
        <w:tc>
          <w:tcPr>
            <w:tcW w:w="1301" w:type="dxa"/>
            <w:hideMark/>
          </w:tcPr>
          <w:p w14:paraId="48B18522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230 (76.4%)</w:t>
            </w:r>
          </w:p>
        </w:tc>
        <w:tc>
          <w:tcPr>
            <w:tcW w:w="828" w:type="dxa"/>
            <w:hideMark/>
          </w:tcPr>
          <w:p w14:paraId="5D4D4A3B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73621071" w14:textId="77777777" w:rsidTr="00BA4A66">
        <w:trPr>
          <w:jc w:val="center"/>
        </w:trPr>
        <w:tc>
          <w:tcPr>
            <w:tcW w:w="3100" w:type="dxa"/>
          </w:tcPr>
          <w:p w14:paraId="36835D12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 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No</w:t>
            </w:r>
          </w:p>
        </w:tc>
        <w:tc>
          <w:tcPr>
            <w:tcW w:w="1782" w:type="dxa"/>
          </w:tcPr>
          <w:p w14:paraId="689646B1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49 (21.9%)</w:t>
            </w:r>
          </w:p>
        </w:tc>
        <w:tc>
          <w:tcPr>
            <w:tcW w:w="1518" w:type="dxa"/>
          </w:tcPr>
          <w:p w14:paraId="6822D542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175 (78.1%)</w:t>
            </w:r>
          </w:p>
        </w:tc>
        <w:tc>
          <w:tcPr>
            <w:tcW w:w="0" w:type="auto"/>
          </w:tcPr>
          <w:p w14:paraId="1B5C2077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385646C1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77 (36.0%)</w:t>
            </w:r>
          </w:p>
        </w:tc>
        <w:tc>
          <w:tcPr>
            <w:tcW w:w="1301" w:type="dxa"/>
          </w:tcPr>
          <w:p w14:paraId="60E52590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137 (64.0%)</w:t>
            </w:r>
          </w:p>
        </w:tc>
        <w:tc>
          <w:tcPr>
            <w:tcW w:w="828" w:type="dxa"/>
          </w:tcPr>
          <w:p w14:paraId="51DF0224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095374BD" w14:textId="77777777" w:rsidTr="00BA4A66">
        <w:trPr>
          <w:jc w:val="center"/>
        </w:trPr>
        <w:tc>
          <w:tcPr>
            <w:tcW w:w="3100" w:type="dxa"/>
            <w:hideMark/>
          </w:tcPr>
          <w:p w14:paraId="141DB870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Type of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session</w:t>
            </w:r>
          </w:p>
        </w:tc>
        <w:tc>
          <w:tcPr>
            <w:tcW w:w="1782" w:type="dxa"/>
          </w:tcPr>
          <w:p w14:paraId="53395E0E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  <w:hideMark/>
          </w:tcPr>
          <w:p w14:paraId="5ADA0FDB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7A9F3D6A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0.90</w:t>
            </w:r>
          </w:p>
        </w:tc>
        <w:tc>
          <w:tcPr>
            <w:tcW w:w="1561" w:type="dxa"/>
          </w:tcPr>
          <w:p w14:paraId="4A040B2F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01" w:type="dxa"/>
            <w:hideMark/>
          </w:tcPr>
          <w:p w14:paraId="182DF7B2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28" w:type="dxa"/>
            <w:hideMark/>
          </w:tcPr>
          <w:p w14:paraId="3684378A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0.52</w:t>
            </w:r>
          </w:p>
        </w:tc>
      </w:tr>
      <w:tr w:rsidR="00486806" w:rsidRPr="00FA10AD" w14:paraId="5FFCFDA3" w14:textId="77777777" w:rsidTr="00BA4A66">
        <w:trPr>
          <w:jc w:val="center"/>
        </w:trPr>
        <w:tc>
          <w:tcPr>
            <w:tcW w:w="3100" w:type="dxa"/>
            <w:hideMark/>
          </w:tcPr>
          <w:p w14:paraId="61B234B3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 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Family / Couple</w:t>
            </w:r>
          </w:p>
        </w:tc>
        <w:tc>
          <w:tcPr>
            <w:tcW w:w="1782" w:type="dxa"/>
          </w:tcPr>
          <w:p w14:paraId="0C9CA028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4 (17.4%)</w:t>
            </w:r>
          </w:p>
        </w:tc>
        <w:tc>
          <w:tcPr>
            <w:tcW w:w="1518" w:type="dxa"/>
            <w:hideMark/>
          </w:tcPr>
          <w:p w14:paraId="6FB8CBEF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19 (82.6%)</w:t>
            </w:r>
          </w:p>
        </w:tc>
        <w:tc>
          <w:tcPr>
            <w:tcW w:w="0" w:type="auto"/>
            <w:hideMark/>
          </w:tcPr>
          <w:p w14:paraId="1F7492E0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56336960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5 (22.7%)</w:t>
            </w:r>
          </w:p>
        </w:tc>
        <w:tc>
          <w:tcPr>
            <w:tcW w:w="1301" w:type="dxa"/>
            <w:hideMark/>
          </w:tcPr>
          <w:p w14:paraId="0D5E6517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17 (77.3%)</w:t>
            </w:r>
          </w:p>
        </w:tc>
        <w:tc>
          <w:tcPr>
            <w:tcW w:w="828" w:type="dxa"/>
            <w:hideMark/>
          </w:tcPr>
          <w:p w14:paraId="7958D554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3EEDD2D6" w14:textId="77777777" w:rsidTr="00BA4A66">
        <w:trPr>
          <w:jc w:val="center"/>
        </w:trPr>
        <w:tc>
          <w:tcPr>
            <w:tcW w:w="3100" w:type="dxa"/>
            <w:hideMark/>
          </w:tcPr>
          <w:p w14:paraId="079B3574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 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Individual</w:t>
            </w:r>
          </w:p>
        </w:tc>
        <w:tc>
          <w:tcPr>
            <w:tcW w:w="1782" w:type="dxa"/>
          </w:tcPr>
          <w:p w14:paraId="685E5172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94 (18.5%)</w:t>
            </w:r>
          </w:p>
        </w:tc>
        <w:tc>
          <w:tcPr>
            <w:tcW w:w="1518" w:type="dxa"/>
            <w:hideMark/>
          </w:tcPr>
          <w:p w14:paraId="056765FF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415 (81.5%)</w:t>
            </w:r>
          </w:p>
        </w:tc>
        <w:tc>
          <w:tcPr>
            <w:tcW w:w="0" w:type="auto"/>
            <w:hideMark/>
          </w:tcPr>
          <w:p w14:paraId="6AC0AA78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7C58BEB1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143 (29.0%)</w:t>
            </w:r>
          </w:p>
        </w:tc>
        <w:tc>
          <w:tcPr>
            <w:tcW w:w="1301" w:type="dxa"/>
            <w:hideMark/>
          </w:tcPr>
          <w:p w14:paraId="73988B3A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350 (71.0%)</w:t>
            </w:r>
          </w:p>
        </w:tc>
        <w:tc>
          <w:tcPr>
            <w:tcW w:w="828" w:type="dxa"/>
            <w:hideMark/>
          </w:tcPr>
          <w:p w14:paraId="3E2224E2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00234499" w14:textId="77777777" w:rsidTr="00BA4A66">
        <w:trPr>
          <w:jc w:val="center"/>
        </w:trPr>
        <w:tc>
          <w:tcPr>
            <w:tcW w:w="3100" w:type="dxa"/>
            <w:hideMark/>
          </w:tcPr>
          <w:p w14:paraId="44BE2253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Intervention</w:t>
            </w:r>
          </w:p>
        </w:tc>
        <w:tc>
          <w:tcPr>
            <w:tcW w:w="1782" w:type="dxa"/>
          </w:tcPr>
          <w:p w14:paraId="4D37A809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  <w:hideMark/>
          </w:tcPr>
          <w:p w14:paraId="6B3651F6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1DF32B67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0.21</w:t>
            </w:r>
          </w:p>
        </w:tc>
        <w:tc>
          <w:tcPr>
            <w:tcW w:w="1561" w:type="dxa"/>
          </w:tcPr>
          <w:p w14:paraId="14D4CA97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01" w:type="dxa"/>
            <w:hideMark/>
          </w:tcPr>
          <w:p w14:paraId="426CB0DD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28" w:type="dxa"/>
            <w:hideMark/>
          </w:tcPr>
          <w:p w14:paraId="5EC9D5FD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&lt;0.001</w:t>
            </w:r>
          </w:p>
        </w:tc>
      </w:tr>
      <w:tr w:rsidR="00486806" w:rsidRPr="00FA10AD" w14:paraId="70D84F07" w14:textId="77777777" w:rsidTr="00BA4A66">
        <w:trPr>
          <w:jc w:val="center"/>
        </w:trPr>
        <w:tc>
          <w:tcPr>
            <w:tcW w:w="3100" w:type="dxa"/>
            <w:hideMark/>
          </w:tcPr>
          <w:p w14:paraId="640B5475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SOIT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 Family</w:t>
            </w:r>
          </w:p>
        </w:tc>
        <w:tc>
          <w:tcPr>
            <w:tcW w:w="1782" w:type="dxa"/>
          </w:tcPr>
          <w:p w14:paraId="21B3F329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24 (22.6%)</w:t>
            </w:r>
          </w:p>
        </w:tc>
        <w:tc>
          <w:tcPr>
            <w:tcW w:w="1518" w:type="dxa"/>
            <w:hideMark/>
          </w:tcPr>
          <w:p w14:paraId="0F8427EA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82 (77.4%)</w:t>
            </w:r>
          </w:p>
        </w:tc>
        <w:tc>
          <w:tcPr>
            <w:tcW w:w="0" w:type="auto"/>
            <w:hideMark/>
          </w:tcPr>
          <w:p w14:paraId="5BFC0270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6DF678FF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43 (44.8%)</w:t>
            </w:r>
          </w:p>
        </w:tc>
        <w:tc>
          <w:tcPr>
            <w:tcW w:w="1301" w:type="dxa"/>
            <w:hideMark/>
          </w:tcPr>
          <w:p w14:paraId="238CC793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53 (55.2%)</w:t>
            </w:r>
          </w:p>
        </w:tc>
        <w:tc>
          <w:tcPr>
            <w:tcW w:w="828" w:type="dxa"/>
            <w:hideMark/>
          </w:tcPr>
          <w:p w14:paraId="6AD10C78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18D92F87" w14:textId="77777777" w:rsidTr="00BA4A66">
        <w:trPr>
          <w:jc w:val="center"/>
        </w:trPr>
        <w:tc>
          <w:tcPr>
            <w:tcW w:w="3100" w:type="dxa"/>
            <w:hideMark/>
          </w:tcPr>
          <w:p w14:paraId="355CAE10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SOIT 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Patient</w:t>
            </w:r>
          </w:p>
        </w:tc>
        <w:tc>
          <w:tcPr>
            <w:tcW w:w="1782" w:type="dxa"/>
          </w:tcPr>
          <w:p w14:paraId="3F8E72A8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74 (17.4%)</w:t>
            </w:r>
          </w:p>
        </w:tc>
        <w:tc>
          <w:tcPr>
            <w:tcW w:w="1518" w:type="dxa"/>
            <w:hideMark/>
          </w:tcPr>
          <w:p w14:paraId="56D15E83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352 (82.6%)</w:t>
            </w:r>
          </w:p>
        </w:tc>
        <w:tc>
          <w:tcPr>
            <w:tcW w:w="0" w:type="auto"/>
            <w:hideMark/>
          </w:tcPr>
          <w:p w14:paraId="3923AC5E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289877C1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105 (25.0%)</w:t>
            </w:r>
          </w:p>
        </w:tc>
        <w:tc>
          <w:tcPr>
            <w:tcW w:w="1301" w:type="dxa"/>
            <w:hideMark/>
          </w:tcPr>
          <w:p w14:paraId="7C36E646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314 (75.0%)</w:t>
            </w:r>
          </w:p>
        </w:tc>
        <w:tc>
          <w:tcPr>
            <w:tcW w:w="828" w:type="dxa"/>
            <w:hideMark/>
          </w:tcPr>
          <w:p w14:paraId="612D105A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2F4C5053" w14:textId="77777777" w:rsidTr="00BA4A66">
        <w:trPr>
          <w:jc w:val="center"/>
        </w:trPr>
        <w:tc>
          <w:tcPr>
            <w:tcW w:w="3100" w:type="dxa"/>
          </w:tcPr>
          <w:p w14:paraId="5F0117EC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Number of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session</w:t>
            </w:r>
            <w:r w:rsidRPr="00FA10A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s (Mean, IQR)</w:t>
            </w:r>
          </w:p>
        </w:tc>
        <w:tc>
          <w:tcPr>
            <w:tcW w:w="1782" w:type="dxa"/>
          </w:tcPr>
          <w:p w14:paraId="47FF9652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6.2 (2–8)</w:t>
            </w:r>
          </w:p>
        </w:tc>
        <w:tc>
          <w:tcPr>
            <w:tcW w:w="1518" w:type="dxa"/>
          </w:tcPr>
          <w:p w14:paraId="33369C9C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17.6 (8–22)</w:t>
            </w:r>
          </w:p>
        </w:tc>
        <w:tc>
          <w:tcPr>
            <w:tcW w:w="0" w:type="auto"/>
          </w:tcPr>
          <w:p w14:paraId="5122D7D3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561" w:type="dxa"/>
          </w:tcPr>
          <w:p w14:paraId="40BE9A9C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11.1 (4–13)</w:t>
            </w:r>
          </w:p>
        </w:tc>
        <w:tc>
          <w:tcPr>
            <w:tcW w:w="1301" w:type="dxa"/>
          </w:tcPr>
          <w:p w14:paraId="6B3E2E28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17.7 (7–22)</w:t>
            </w:r>
          </w:p>
        </w:tc>
        <w:tc>
          <w:tcPr>
            <w:tcW w:w="828" w:type="dxa"/>
          </w:tcPr>
          <w:p w14:paraId="4B7DAC6B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&lt;0.001</w:t>
            </w:r>
          </w:p>
        </w:tc>
      </w:tr>
      <w:tr w:rsidR="00486806" w:rsidRPr="00FA10AD" w14:paraId="4E958BB4" w14:textId="77777777" w:rsidTr="00BA4A66">
        <w:trPr>
          <w:jc w:val="center"/>
        </w:trPr>
        <w:tc>
          <w:tcPr>
            <w:tcW w:w="3100" w:type="dxa"/>
            <w:hideMark/>
          </w:tcPr>
          <w:p w14:paraId="1DB2569F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Number of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session</w:t>
            </w:r>
            <w:r w:rsidRPr="00FA10A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s</w:t>
            </w:r>
          </w:p>
        </w:tc>
        <w:tc>
          <w:tcPr>
            <w:tcW w:w="1782" w:type="dxa"/>
          </w:tcPr>
          <w:p w14:paraId="5DB1DCC3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  <w:hideMark/>
          </w:tcPr>
          <w:p w14:paraId="0B6F1E3A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40E75470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561" w:type="dxa"/>
          </w:tcPr>
          <w:p w14:paraId="059F1D77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01" w:type="dxa"/>
            <w:hideMark/>
          </w:tcPr>
          <w:p w14:paraId="443A0A5D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28" w:type="dxa"/>
            <w:hideMark/>
          </w:tcPr>
          <w:p w14:paraId="01AC6B1B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&lt;0.001</w:t>
            </w:r>
          </w:p>
        </w:tc>
      </w:tr>
      <w:tr w:rsidR="00486806" w:rsidRPr="00FA10AD" w14:paraId="7C941A09" w14:textId="77777777" w:rsidTr="00BA4A66">
        <w:trPr>
          <w:jc w:val="center"/>
        </w:trPr>
        <w:tc>
          <w:tcPr>
            <w:tcW w:w="3100" w:type="dxa"/>
            <w:hideMark/>
          </w:tcPr>
          <w:p w14:paraId="5A1D4844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 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≤3 sessions</w:t>
            </w:r>
          </w:p>
        </w:tc>
        <w:tc>
          <w:tcPr>
            <w:tcW w:w="1782" w:type="dxa"/>
          </w:tcPr>
          <w:p w14:paraId="306A3B4F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46 (63.9%)</w:t>
            </w:r>
          </w:p>
        </w:tc>
        <w:tc>
          <w:tcPr>
            <w:tcW w:w="1518" w:type="dxa"/>
            <w:hideMark/>
          </w:tcPr>
          <w:p w14:paraId="76722109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26 (36.1%)</w:t>
            </w:r>
          </w:p>
        </w:tc>
        <w:tc>
          <w:tcPr>
            <w:tcW w:w="0" w:type="auto"/>
            <w:hideMark/>
          </w:tcPr>
          <w:p w14:paraId="136A4039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6E2E7830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35 (56.5%)</w:t>
            </w:r>
          </w:p>
        </w:tc>
        <w:tc>
          <w:tcPr>
            <w:tcW w:w="1301" w:type="dxa"/>
            <w:hideMark/>
          </w:tcPr>
          <w:p w14:paraId="07C5AD19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27 (43.5%)</w:t>
            </w:r>
          </w:p>
        </w:tc>
        <w:tc>
          <w:tcPr>
            <w:tcW w:w="828" w:type="dxa"/>
            <w:hideMark/>
          </w:tcPr>
          <w:p w14:paraId="458E3BAC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2BEA8CDE" w14:textId="77777777" w:rsidTr="00BA4A66">
        <w:trPr>
          <w:jc w:val="center"/>
        </w:trPr>
        <w:tc>
          <w:tcPr>
            <w:tcW w:w="3100" w:type="dxa"/>
            <w:hideMark/>
          </w:tcPr>
          <w:p w14:paraId="58B7C254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 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4–6 sessions</w:t>
            </w:r>
          </w:p>
        </w:tc>
        <w:tc>
          <w:tcPr>
            <w:tcW w:w="1782" w:type="dxa"/>
          </w:tcPr>
          <w:p w14:paraId="1CA7027C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22 (29.3%)</w:t>
            </w:r>
          </w:p>
        </w:tc>
        <w:tc>
          <w:tcPr>
            <w:tcW w:w="1518" w:type="dxa"/>
            <w:hideMark/>
          </w:tcPr>
          <w:p w14:paraId="4E170D16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53 (70.7%)</w:t>
            </w:r>
          </w:p>
        </w:tc>
        <w:tc>
          <w:tcPr>
            <w:tcW w:w="0" w:type="auto"/>
            <w:hideMark/>
          </w:tcPr>
          <w:p w14:paraId="655DEE1D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5F84C8AB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28 (38.9%)</w:t>
            </w:r>
          </w:p>
        </w:tc>
        <w:tc>
          <w:tcPr>
            <w:tcW w:w="1301" w:type="dxa"/>
            <w:hideMark/>
          </w:tcPr>
          <w:p w14:paraId="041324D0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44 (61.1%)</w:t>
            </w:r>
          </w:p>
        </w:tc>
        <w:tc>
          <w:tcPr>
            <w:tcW w:w="828" w:type="dxa"/>
            <w:hideMark/>
          </w:tcPr>
          <w:p w14:paraId="6D77E71F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59187542" w14:textId="77777777" w:rsidTr="00BA4A66">
        <w:trPr>
          <w:jc w:val="center"/>
        </w:trPr>
        <w:tc>
          <w:tcPr>
            <w:tcW w:w="3100" w:type="dxa"/>
            <w:hideMark/>
          </w:tcPr>
          <w:p w14:paraId="602AFD2F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 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7–10 sessions</w:t>
            </w:r>
          </w:p>
        </w:tc>
        <w:tc>
          <w:tcPr>
            <w:tcW w:w="1782" w:type="dxa"/>
          </w:tcPr>
          <w:p w14:paraId="6C3FDA6D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12 (12.5%)</w:t>
            </w:r>
          </w:p>
        </w:tc>
        <w:tc>
          <w:tcPr>
            <w:tcW w:w="1518" w:type="dxa"/>
            <w:hideMark/>
          </w:tcPr>
          <w:p w14:paraId="68AB6615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84 (87.5%)</w:t>
            </w:r>
          </w:p>
        </w:tc>
        <w:tc>
          <w:tcPr>
            <w:tcW w:w="0" w:type="auto"/>
            <w:hideMark/>
          </w:tcPr>
          <w:p w14:paraId="12780F6B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22F442E8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30 (31.6%)</w:t>
            </w:r>
          </w:p>
        </w:tc>
        <w:tc>
          <w:tcPr>
            <w:tcW w:w="1301" w:type="dxa"/>
            <w:hideMark/>
          </w:tcPr>
          <w:p w14:paraId="0FB77941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65 (68.4%)</w:t>
            </w:r>
          </w:p>
        </w:tc>
        <w:tc>
          <w:tcPr>
            <w:tcW w:w="828" w:type="dxa"/>
            <w:hideMark/>
          </w:tcPr>
          <w:p w14:paraId="0CB36438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7C672E38" w14:textId="77777777" w:rsidTr="00BA4A66">
        <w:trPr>
          <w:jc w:val="center"/>
        </w:trPr>
        <w:tc>
          <w:tcPr>
            <w:tcW w:w="3100" w:type="dxa"/>
            <w:hideMark/>
          </w:tcPr>
          <w:p w14:paraId="1A5758AB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 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11–20 sessions</w:t>
            </w:r>
          </w:p>
        </w:tc>
        <w:tc>
          <w:tcPr>
            <w:tcW w:w="1782" w:type="dxa"/>
          </w:tcPr>
          <w:p w14:paraId="23F15CFB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16 (9.9%)</w:t>
            </w:r>
          </w:p>
        </w:tc>
        <w:tc>
          <w:tcPr>
            <w:tcW w:w="1518" w:type="dxa"/>
            <w:hideMark/>
          </w:tcPr>
          <w:p w14:paraId="7D88E03F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145 (90.1%)</w:t>
            </w:r>
          </w:p>
        </w:tc>
        <w:tc>
          <w:tcPr>
            <w:tcW w:w="0" w:type="auto"/>
            <w:hideMark/>
          </w:tcPr>
          <w:p w14:paraId="070FD3A4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0536ECB6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37 (23.4%)</w:t>
            </w:r>
          </w:p>
        </w:tc>
        <w:tc>
          <w:tcPr>
            <w:tcW w:w="1301" w:type="dxa"/>
            <w:hideMark/>
          </w:tcPr>
          <w:p w14:paraId="2723A316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121 (76.6%)</w:t>
            </w:r>
          </w:p>
        </w:tc>
        <w:tc>
          <w:tcPr>
            <w:tcW w:w="828" w:type="dxa"/>
            <w:hideMark/>
          </w:tcPr>
          <w:p w14:paraId="1D3459D6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FA10AD" w14:paraId="75BE3E04" w14:textId="77777777" w:rsidTr="00BA4A66">
        <w:trPr>
          <w:jc w:val="center"/>
        </w:trPr>
        <w:tc>
          <w:tcPr>
            <w:tcW w:w="3100" w:type="dxa"/>
          </w:tcPr>
          <w:p w14:paraId="1D65257D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 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&gt;20 sessions</w:t>
            </w:r>
          </w:p>
        </w:tc>
        <w:tc>
          <w:tcPr>
            <w:tcW w:w="1782" w:type="dxa"/>
          </w:tcPr>
          <w:p w14:paraId="4C5BEBB9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2 (1.6%)</w:t>
            </w:r>
          </w:p>
        </w:tc>
        <w:tc>
          <w:tcPr>
            <w:tcW w:w="1518" w:type="dxa"/>
          </w:tcPr>
          <w:p w14:paraId="7D6F04B3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126 (98.4%)</w:t>
            </w:r>
          </w:p>
        </w:tc>
        <w:tc>
          <w:tcPr>
            <w:tcW w:w="0" w:type="auto"/>
          </w:tcPr>
          <w:p w14:paraId="271447D5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</w:tcPr>
          <w:p w14:paraId="50147325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18 (14.1%)</w:t>
            </w:r>
          </w:p>
        </w:tc>
        <w:tc>
          <w:tcPr>
            <w:tcW w:w="1301" w:type="dxa"/>
          </w:tcPr>
          <w:p w14:paraId="3B923832" w14:textId="77777777" w:rsidR="00486806" w:rsidRPr="00FA10AD" w:rsidRDefault="00486806" w:rsidP="00BA4A66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110 (85.9%)</w:t>
            </w:r>
          </w:p>
        </w:tc>
        <w:tc>
          <w:tcPr>
            <w:tcW w:w="828" w:type="dxa"/>
          </w:tcPr>
          <w:p w14:paraId="7382A343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6806" w:rsidRPr="00302BA4" w14:paraId="1D61313A" w14:textId="77777777" w:rsidTr="00BA4A66">
        <w:trPr>
          <w:jc w:val="center"/>
        </w:trPr>
        <w:tc>
          <w:tcPr>
            <w:tcW w:w="10918" w:type="dxa"/>
            <w:gridSpan w:val="7"/>
          </w:tcPr>
          <w:p w14:paraId="1E5E2940" w14:textId="77777777" w:rsidR="00486806" w:rsidRPr="00FA10AD" w:rsidRDefault="00486806" w:rsidP="00BA4A66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Table 2 presents the bivariate associations between demographic characteristics, clinical profiles, exposure to violent events, treatment-related factors, and improvement according to two outcome measures: CGI Improvement and MHGS Improvement. For some variables, the row totals are lower than the overall sample size (CGI n = 532; MHGS n = 515) due to missing data in the corresponding explanatory variable. For each variable, the table shows the distribution of improved versus not improved patients (n, %), together with the corresponding p-values from χ² tests for categorical variables, t-tests for normally distributed continuous variables, and Wilcoxon rank-sum tests for non-normal continuous variables. Percentages reflect row proportions. Age and number of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session</w:t>
            </w:r>
            <w:r w:rsidRPr="00FA10A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s are also summarized with means, standard deviations, medians, and interquartile ranges as appropriate.</w:t>
            </w:r>
          </w:p>
        </w:tc>
      </w:tr>
    </w:tbl>
    <w:p w14:paraId="34AA41A8" w14:textId="77777777" w:rsidR="00486806" w:rsidRPr="00FA10AD" w:rsidRDefault="00486806" w:rsidP="00486806">
      <w:pPr>
        <w:spacing w:after="240" w:line="360" w:lineRule="auto"/>
        <w:jc w:val="both"/>
        <w:rPr>
          <w:rFonts w:ascii="Calibri" w:hAnsi="Calibri" w:cs="Calibri"/>
          <w:b/>
          <w:bCs/>
          <w:lang w:val="en-GB"/>
        </w:rPr>
      </w:pPr>
    </w:p>
    <w:p w14:paraId="02A59DBB" w14:textId="77777777" w:rsidR="00486806" w:rsidRPr="00FA10AD" w:rsidRDefault="00486806" w:rsidP="00486806">
      <w:pPr>
        <w:spacing w:after="240" w:line="276" w:lineRule="auto"/>
        <w:jc w:val="both"/>
        <w:rPr>
          <w:rFonts w:ascii="Calibri" w:hAnsi="Calibri" w:cs="Calibri"/>
          <w:b/>
          <w:bCs/>
          <w:color w:val="000000" w:themeColor="text1"/>
          <w:lang w:val="en-GB"/>
        </w:rPr>
      </w:pPr>
      <w:r w:rsidRPr="00FA10AD">
        <w:rPr>
          <w:rFonts w:ascii="Calibri" w:hAnsi="Calibri" w:cs="Calibri"/>
          <w:b/>
          <w:bCs/>
          <w:color w:val="000000" w:themeColor="text1"/>
          <w:lang w:val="en-GB"/>
        </w:rPr>
        <w:t>Supplementary Table 2. Logistic regression model predicting MHGS improvement (final model)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75"/>
        <w:gridCol w:w="1038"/>
        <w:gridCol w:w="1684"/>
        <w:gridCol w:w="1463"/>
      </w:tblGrid>
      <w:tr w:rsidR="00486806" w:rsidRPr="00FA10AD" w14:paraId="0350DC6F" w14:textId="77777777" w:rsidTr="00BA4A66">
        <w:trPr>
          <w:jc w:val="center"/>
        </w:trPr>
        <w:tc>
          <w:tcPr>
            <w:tcW w:w="0" w:type="auto"/>
            <w:hideMark/>
          </w:tcPr>
          <w:p w14:paraId="26A0BE4A" w14:textId="77777777" w:rsidR="00486806" w:rsidRPr="00FA10AD" w:rsidRDefault="00486806" w:rsidP="00BA4A66">
            <w:pPr>
              <w:pStyle w:val="p1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Predictor</w:t>
            </w:r>
          </w:p>
        </w:tc>
        <w:tc>
          <w:tcPr>
            <w:tcW w:w="0" w:type="auto"/>
            <w:hideMark/>
          </w:tcPr>
          <w:p w14:paraId="7FB0EEEE" w14:textId="77777777" w:rsidR="00486806" w:rsidRPr="00FA10AD" w:rsidRDefault="00486806" w:rsidP="00BA4A66">
            <w:pPr>
              <w:pStyle w:val="p1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OR</w:t>
            </w:r>
          </w:p>
        </w:tc>
        <w:tc>
          <w:tcPr>
            <w:tcW w:w="0" w:type="auto"/>
            <w:hideMark/>
          </w:tcPr>
          <w:p w14:paraId="41CB0D55" w14:textId="77777777" w:rsidR="00486806" w:rsidRPr="00FA10AD" w:rsidRDefault="00486806" w:rsidP="00BA4A66">
            <w:pPr>
              <w:pStyle w:val="p1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95% CI</w:t>
            </w:r>
          </w:p>
        </w:tc>
        <w:tc>
          <w:tcPr>
            <w:tcW w:w="0" w:type="auto"/>
            <w:hideMark/>
          </w:tcPr>
          <w:p w14:paraId="25CB4CDF" w14:textId="77777777" w:rsidR="00486806" w:rsidRPr="00FA10AD" w:rsidRDefault="00486806" w:rsidP="00BA4A66">
            <w:pPr>
              <w:pStyle w:val="p1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p-value</w:t>
            </w:r>
          </w:p>
        </w:tc>
      </w:tr>
      <w:tr w:rsidR="00486806" w:rsidRPr="00FA10AD" w14:paraId="1167C7C8" w14:textId="77777777" w:rsidTr="00BA4A66">
        <w:trPr>
          <w:jc w:val="center"/>
        </w:trPr>
        <w:tc>
          <w:tcPr>
            <w:tcW w:w="0" w:type="auto"/>
            <w:hideMark/>
          </w:tcPr>
          <w:p w14:paraId="5025447F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Gender (ref: Female)</w:t>
            </w:r>
          </w:p>
        </w:tc>
        <w:tc>
          <w:tcPr>
            <w:tcW w:w="0" w:type="auto"/>
            <w:hideMark/>
          </w:tcPr>
          <w:p w14:paraId="40C1A27E" w14:textId="77777777" w:rsidR="00486806" w:rsidRPr="00FA10AD" w:rsidRDefault="00486806" w:rsidP="00BA4A6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5F838AE5" w14:textId="77777777" w:rsidR="00486806" w:rsidRPr="00FA10AD" w:rsidRDefault="00486806" w:rsidP="00BA4A6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54746C33" w14:textId="77777777" w:rsidR="00486806" w:rsidRPr="00FA10AD" w:rsidRDefault="00486806" w:rsidP="00BA4A6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86806" w:rsidRPr="00FA10AD" w14:paraId="50A54E48" w14:textId="77777777" w:rsidTr="00BA4A66">
        <w:trPr>
          <w:jc w:val="center"/>
        </w:trPr>
        <w:tc>
          <w:tcPr>
            <w:tcW w:w="0" w:type="auto"/>
            <w:hideMark/>
          </w:tcPr>
          <w:p w14:paraId="556802AC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Male</w:t>
            </w:r>
          </w:p>
        </w:tc>
        <w:tc>
          <w:tcPr>
            <w:tcW w:w="0" w:type="auto"/>
            <w:hideMark/>
          </w:tcPr>
          <w:p w14:paraId="123B511C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1.15</w:t>
            </w:r>
          </w:p>
        </w:tc>
        <w:tc>
          <w:tcPr>
            <w:tcW w:w="0" w:type="auto"/>
            <w:hideMark/>
          </w:tcPr>
          <w:p w14:paraId="08A363BC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0.73–1.79</w:t>
            </w:r>
          </w:p>
        </w:tc>
        <w:tc>
          <w:tcPr>
            <w:tcW w:w="0" w:type="auto"/>
            <w:hideMark/>
          </w:tcPr>
          <w:p w14:paraId="7F35DE7D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0.548</w:t>
            </w:r>
          </w:p>
        </w:tc>
      </w:tr>
      <w:tr w:rsidR="00486806" w:rsidRPr="00FA10AD" w14:paraId="3F6E1FDB" w14:textId="77777777" w:rsidTr="00BA4A66">
        <w:trPr>
          <w:jc w:val="center"/>
        </w:trPr>
        <w:tc>
          <w:tcPr>
            <w:tcW w:w="0" w:type="auto"/>
            <w:hideMark/>
          </w:tcPr>
          <w:p w14:paraId="70B8F725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Other</w:t>
            </w:r>
          </w:p>
        </w:tc>
        <w:tc>
          <w:tcPr>
            <w:tcW w:w="0" w:type="auto"/>
            <w:hideMark/>
          </w:tcPr>
          <w:p w14:paraId="02EE423A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0.98</w:t>
            </w:r>
          </w:p>
        </w:tc>
        <w:tc>
          <w:tcPr>
            <w:tcW w:w="0" w:type="auto"/>
            <w:hideMark/>
          </w:tcPr>
          <w:p w14:paraId="096F613F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0.30–3.15</w:t>
            </w:r>
          </w:p>
        </w:tc>
        <w:tc>
          <w:tcPr>
            <w:tcW w:w="0" w:type="auto"/>
            <w:hideMark/>
          </w:tcPr>
          <w:p w14:paraId="10F26DE2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0.968</w:t>
            </w:r>
          </w:p>
        </w:tc>
      </w:tr>
      <w:tr w:rsidR="00486806" w:rsidRPr="00FA10AD" w14:paraId="073ABABB" w14:textId="77777777" w:rsidTr="00BA4A66">
        <w:trPr>
          <w:jc w:val="center"/>
        </w:trPr>
        <w:tc>
          <w:tcPr>
            <w:tcW w:w="0" w:type="auto"/>
            <w:hideMark/>
          </w:tcPr>
          <w:p w14:paraId="7EC8D7F4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Age group (ref: ≥25 years)</w:t>
            </w:r>
          </w:p>
        </w:tc>
        <w:tc>
          <w:tcPr>
            <w:tcW w:w="0" w:type="auto"/>
            <w:hideMark/>
          </w:tcPr>
          <w:p w14:paraId="7A11A76B" w14:textId="77777777" w:rsidR="00486806" w:rsidRPr="00FA10AD" w:rsidRDefault="00486806" w:rsidP="00BA4A6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1250B6C6" w14:textId="77777777" w:rsidR="00486806" w:rsidRPr="00FA10AD" w:rsidRDefault="00486806" w:rsidP="00BA4A6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3D8089FE" w14:textId="77777777" w:rsidR="00486806" w:rsidRPr="00FA10AD" w:rsidRDefault="00486806" w:rsidP="00BA4A6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86806" w:rsidRPr="00FA10AD" w14:paraId="5FE9E15A" w14:textId="77777777" w:rsidTr="00BA4A66">
        <w:trPr>
          <w:jc w:val="center"/>
        </w:trPr>
        <w:tc>
          <w:tcPr>
            <w:tcW w:w="0" w:type="auto"/>
            <w:hideMark/>
          </w:tcPr>
          <w:p w14:paraId="731A4929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≤15 years (Children)</w:t>
            </w:r>
          </w:p>
        </w:tc>
        <w:tc>
          <w:tcPr>
            <w:tcW w:w="0" w:type="auto"/>
            <w:hideMark/>
          </w:tcPr>
          <w:p w14:paraId="527590B2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0.78</w:t>
            </w:r>
          </w:p>
        </w:tc>
        <w:tc>
          <w:tcPr>
            <w:tcW w:w="0" w:type="auto"/>
            <w:hideMark/>
          </w:tcPr>
          <w:p w14:paraId="033CDE99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0.43–1.41</w:t>
            </w:r>
          </w:p>
        </w:tc>
        <w:tc>
          <w:tcPr>
            <w:tcW w:w="0" w:type="auto"/>
            <w:hideMark/>
          </w:tcPr>
          <w:p w14:paraId="51345691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0.409</w:t>
            </w:r>
          </w:p>
        </w:tc>
      </w:tr>
      <w:tr w:rsidR="00486806" w:rsidRPr="00FA10AD" w14:paraId="6B1ECEF6" w14:textId="77777777" w:rsidTr="00BA4A66">
        <w:trPr>
          <w:jc w:val="center"/>
        </w:trPr>
        <w:tc>
          <w:tcPr>
            <w:tcW w:w="0" w:type="auto"/>
            <w:hideMark/>
          </w:tcPr>
          <w:p w14:paraId="2A772106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lastRenderedPageBreak/>
              <w:t>16–19 years (Adolescents)</w:t>
            </w:r>
          </w:p>
        </w:tc>
        <w:tc>
          <w:tcPr>
            <w:tcW w:w="0" w:type="auto"/>
            <w:hideMark/>
          </w:tcPr>
          <w:p w14:paraId="373AA92A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0.90</w:t>
            </w:r>
          </w:p>
        </w:tc>
        <w:tc>
          <w:tcPr>
            <w:tcW w:w="0" w:type="auto"/>
            <w:hideMark/>
          </w:tcPr>
          <w:p w14:paraId="60787CC2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0.35–2.32</w:t>
            </w:r>
          </w:p>
        </w:tc>
        <w:tc>
          <w:tcPr>
            <w:tcW w:w="0" w:type="auto"/>
            <w:hideMark/>
          </w:tcPr>
          <w:p w14:paraId="095709C7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0.822</w:t>
            </w:r>
          </w:p>
        </w:tc>
      </w:tr>
      <w:tr w:rsidR="00486806" w:rsidRPr="00FA10AD" w14:paraId="59A95C4A" w14:textId="77777777" w:rsidTr="00BA4A66">
        <w:trPr>
          <w:jc w:val="center"/>
        </w:trPr>
        <w:tc>
          <w:tcPr>
            <w:tcW w:w="0" w:type="auto"/>
            <w:hideMark/>
          </w:tcPr>
          <w:p w14:paraId="17F6B200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20–24 years (Young adults)</w:t>
            </w:r>
          </w:p>
        </w:tc>
        <w:tc>
          <w:tcPr>
            <w:tcW w:w="0" w:type="auto"/>
            <w:hideMark/>
          </w:tcPr>
          <w:p w14:paraId="6E175C93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0.74</w:t>
            </w:r>
          </w:p>
        </w:tc>
        <w:tc>
          <w:tcPr>
            <w:tcW w:w="0" w:type="auto"/>
            <w:hideMark/>
          </w:tcPr>
          <w:p w14:paraId="1147648C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0.39–1.42</w:t>
            </w:r>
          </w:p>
        </w:tc>
        <w:tc>
          <w:tcPr>
            <w:tcW w:w="0" w:type="auto"/>
            <w:hideMark/>
          </w:tcPr>
          <w:p w14:paraId="7AE90D1F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0.361</w:t>
            </w:r>
          </w:p>
        </w:tc>
      </w:tr>
      <w:tr w:rsidR="00486806" w:rsidRPr="00302BA4" w14:paraId="0615E7A1" w14:textId="77777777" w:rsidTr="00BA4A66">
        <w:trPr>
          <w:jc w:val="center"/>
        </w:trPr>
        <w:tc>
          <w:tcPr>
            <w:tcW w:w="0" w:type="auto"/>
            <w:hideMark/>
          </w:tcPr>
          <w:p w14:paraId="514670CD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Clinical diagnosis (ref: Anxiety disorder)</w:t>
            </w:r>
          </w:p>
        </w:tc>
        <w:tc>
          <w:tcPr>
            <w:tcW w:w="0" w:type="auto"/>
            <w:hideMark/>
          </w:tcPr>
          <w:p w14:paraId="16625439" w14:textId="77777777" w:rsidR="00486806" w:rsidRPr="00FA10AD" w:rsidRDefault="00486806" w:rsidP="00BA4A6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5545C9D3" w14:textId="77777777" w:rsidR="00486806" w:rsidRPr="00FA10AD" w:rsidRDefault="00486806" w:rsidP="00BA4A6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715C898D" w14:textId="77777777" w:rsidR="00486806" w:rsidRPr="00FA10AD" w:rsidRDefault="00486806" w:rsidP="00BA4A6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86806" w:rsidRPr="00FA10AD" w14:paraId="6CF559C9" w14:textId="77777777" w:rsidTr="00BA4A66">
        <w:trPr>
          <w:jc w:val="center"/>
        </w:trPr>
        <w:tc>
          <w:tcPr>
            <w:tcW w:w="0" w:type="auto"/>
            <w:hideMark/>
          </w:tcPr>
          <w:p w14:paraId="1163B347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PTSD</w:t>
            </w:r>
          </w:p>
        </w:tc>
        <w:tc>
          <w:tcPr>
            <w:tcW w:w="0" w:type="auto"/>
            <w:hideMark/>
          </w:tcPr>
          <w:p w14:paraId="38E16F94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0.94</w:t>
            </w:r>
          </w:p>
        </w:tc>
        <w:tc>
          <w:tcPr>
            <w:tcW w:w="0" w:type="auto"/>
            <w:hideMark/>
          </w:tcPr>
          <w:p w14:paraId="3B8250DD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0.50–1.77</w:t>
            </w:r>
          </w:p>
        </w:tc>
        <w:tc>
          <w:tcPr>
            <w:tcW w:w="0" w:type="auto"/>
            <w:hideMark/>
          </w:tcPr>
          <w:p w14:paraId="11650ECC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0.852</w:t>
            </w:r>
          </w:p>
        </w:tc>
      </w:tr>
      <w:tr w:rsidR="00486806" w:rsidRPr="00FA10AD" w14:paraId="7EC00143" w14:textId="77777777" w:rsidTr="00BA4A66">
        <w:trPr>
          <w:jc w:val="center"/>
        </w:trPr>
        <w:tc>
          <w:tcPr>
            <w:tcW w:w="0" w:type="auto"/>
            <w:hideMark/>
          </w:tcPr>
          <w:p w14:paraId="1B825E45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Depression</w:t>
            </w:r>
          </w:p>
        </w:tc>
        <w:tc>
          <w:tcPr>
            <w:tcW w:w="0" w:type="auto"/>
            <w:hideMark/>
          </w:tcPr>
          <w:p w14:paraId="7367466B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1.05</w:t>
            </w:r>
          </w:p>
        </w:tc>
        <w:tc>
          <w:tcPr>
            <w:tcW w:w="0" w:type="auto"/>
            <w:hideMark/>
          </w:tcPr>
          <w:p w14:paraId="5C057067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0.43–2.56</w:t>
            </w:r>
          </w:p>
        </w:tc>
        <w:tc>
          <w:tcPr>
            <w:tcW w:w="0" w:type="auto"/>
            <w:hideMark/>
          </w:tcPr>
          <w:p w14:paraId="57B6113C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0.908</w:t>
            </w:r>
          </w:p>
        </w:tc>
      </w:tr>
      <w:tr w:rsidR="00486806" w:rsidRPr="00FA10AD" w14:paraId="0BA48153" w14:textId="77777777" w:rsidTr="00BA4A66">
        <w:trPr>
          <w:jc w:val="center"/>
        </w:trPr>
        <w:tc>
          <w:tcPr>
            <w:tcW w:w="0" w:type="auto"/>
            <w:hideMark/>
          </w:tcPr>
          <w:p w14:paraId="26FD58B5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Other disorders</w:t>
            </w:r>
          </w:p>
        </w:tc>
        <w:tc>
          <w:tcPr>
            <w:tcW w:w="0" w:type="auto"/>
            <w:hideMark/>
          </w:tcPr>
          <w:p w14:paraId="6040EAD9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0.71</w:t>
            </w:r>
          </w:p>
        </w:tc>
        <w:tc>
          <w:tcPr>
            <w:tcW w:w="0" w:type="auto"/>
            <w:hideMark/>
          </w:tcPr>
          <w:p w14:paraId="357E7188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0.37–1.38</w:t>
            </w:r>
          </w:p>
        </w:tc>
        <w:tc>
          <w:tcPr>
            <w:tcW w:w="0" w:type="auto"/>
            <w:hideMark/>
          </w:tcPr>
          <w:p w14:paraId="4ED63B0F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0.313</w:t>
            </w:r>
          </w:p>
        </w:tc>
      </w:tr>
      <w:tr w:rsidR="00486806" w:rsidRPr="00302BA4" w14:paraId="17EA2B37" w14:textId="77777777" w:rsidTr="00BA4A66">
        <w:trPr>
          <w:jc w:val="center"/>
        </w:trPr>
        <w:tc>
          <w:tcPr>
            <w:tcW w:w="0" w:type="auto"/>
            <w:hideMark/>
          </w:tcPr>
          <w:p w14:paraId="4101FC95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Baseline CGI Severity (ref: Mild–Moderate)</w:t>
            </w:r>
          </w:p>
        </w:tc>
        <w:tc>
          <w:tcPr>
            <w:tcW w:w="0" w:type="auto"/>
            <w:hideMark/>
          </w:tcPr>
          <w:p w14:paraId="0443B926" w14:textId="77777777" w:rsidR="00486806" w:rsidRPr="00FA10AD" w:rsidRDefault="00486806" w:rsidP="00BA4A6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35229230" w14:textId="77777777" w:rsidR="00486806" w:rsidRPr="00FA10AD" w:rsidRDefault="00486806" w:rsidP="00BA4A6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0A4F1BCD" w14:textId="77777777" w:rsidR="00486806" w:rsidRPr="00FA10AD" w:rsidRDefault="00486806" w:rsidP="00BA4A6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86806" w:rsidRPr="00FA10AD" w14:paraId="64C6199D" w14:textId="77777777" w:rsidTr="00BA4A66">
        <w:trPr>
          <w:jc w:val="center"/>
        </w:trPr>
        <w:tc>
          <w:tcPr>
            <w:tcW w:w="0" w:type="auto"/>
            <w:hideMark/>
          </w:tcPr>
          <w:p w14:paraId="0D88A91C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Severe</w:t>
            </w:r>
          </w:p>
        </w:tc>
        <w:tc>
          <w:tcPr>
            <w:tcW w:w="0" w:type="auto"/>
            <w:hideMark/>
          </w:tcPr>
          <w:p w14:paraId="4ECC5FA1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1.75</w:t>
            </w:r>
          </w:p>
        </w:tc>
        <w:tc>
          <w:tcPr>
            <w:tcW w:w="0" w:type="auto"/>
            <w:hideMark/>
          </w:tcPr>
          <w:p w14:paraId="117D6FC5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1.11–2.75</w:t>
            </w:r>
          </w:p>
        </w:tc>
        <w:tc>
          <w:tcPr>
            <w:tcW w:w="0" w:type="auto"/>
            <w:hideMark/>
          </w:tcPr>
          <w:p w14:paraId="14358899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0.016</w:t>
            </w:r>
          </w:p>
        </w:tc>
      </w:tr>
      <w:tr w:rsidR="00486806" w:rsidRPr="00302BA4" w14:paraId="0ED31E38" w14:textId="77777777" w:rsidTr="00BA4A66">
        <w:trPr>
          <w:jc w:val="center"/>
        </w:trPr>
        <w:tc>
          <w:tcPr>
            <w:tcW w:w="0" w:type="auto"/>
            <w:hideMark/>
          </w:tcPr>
          <w:p w14:paraId="1ED1998B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Main event group (ref: Sexual violence)</w:t>
            </w:r>
          </w:p>
        </w:tc>
        <w:tc>
          <w:tcPr>
            <w:tcW w:w="0" w:type="auto"/>
            <w:hideMark/>
          </w:tcPr>
          <w:p w14:paraId="69FC267C" w14:textId="77777777" w:rsidR="00486806" w:rsidRPr="00FA10AD" w:rsidRDefault="00486806" w:rsidP="00BA4A6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095D5DB5" w14:textId="77777777" w:rsidR="00486806" w:rsidRPr="00FA10AD" w:rsidRDefault="00486806" w:rsidP="00BA4A6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5DE0A97E" w14:textId="77777777" w:rsidR="00486806" w:rsidRPr="00FA10AD" w:rsidRDefault="00486806" w:rsidP="00BA4A6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86806" w:rsidRPr="00FA10AD" w14:paraId="1DB21559" w14:textId="77777777" w:rsidTr="00BA4A66">
        <w:trPr>
          <w:jc w:val="center"/>
        </w:trPr>
        <w:tc>
          <w:tcPr>
            <w:tcW w:w="0" w:type="auto"/>
            <w:hideMark/>
          </w:tcPr>
          <w:p w14:paraId="543AFCD8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Torture</w:t>
            </w:r>
          </w:p>
        </w:tc>
        <w:tc>
          <w:tcPr>
            <w:tcW w:w="0" w:type="auto"/>
            <w:hideMark/>
          </w:tcPr>
          <w:p w14:paraId="7602D4A4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0.37</w:t>
            </w:r>
          </w:p>
        </w:tc>
        <w:tc>
          <w:tcPr>
            <w:tcW w:w="0" w:type="auto"/>
            <w:hideMark/>
          </w:tcPr>
          <w:p w14:paraId="65A4802D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0.16–0.84</w:t>
            </w:r>
          </w:p>
        </w:tc>
        <w:tc>
          <w:tcPr>
            <w:tcW w:w="0" w:type="auto"/>
            <w:hideMark/>
          </w:tcPr>
          <w:p w14:paraId="72D62E10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0.018</w:t>
            </w:r>
          </w:p>
        </w:tc>
      </w:tr>
      <w:tr w:rsidR="00486806" w:rsidRPr="00FA10AD" w14:paraId="183F40C6" w14:textId="77777777" w:rsidTr="00BA4A66">
        <w:trPr>
          <w:jc w:val="center"/>
        </w:trPr>
        <w:tc>
          <w:tcPr>
            <w:tcW w:w="0" w:type="auto"/>
            <w:hideMark/>
          </w:tcPr>
          <w:p w14:paraId="53E9C2C9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Kidnapping</w:t>
            </w:r>
          </w:p>
        </w:tc>
        <w:tc>
          <w:tcPr>
            <w:tcW w:w="0" w:type="auto"/>
            <w:hideMark/>
          </w:tcPr>
          <w:p w14:paraId="49E26F7D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1.26</w:t>
            </w:r>
          </w:p>
        </w:tc>
        <w:tc>
          <w:tcPr>
            <w:tcW w:w="0" w:type="auto"/>
            <w:hideMark/>
          </w:tcPr>
          <w:p w14:paraId="0EDBD96B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0.63–2.53</w:t>
            </w:r>
          </w:p>
        </w:tc>
        <w:tc>
          <w:tcPr>
            <w:tcW w:w="0" w:type="auto"/>
            <w:hideMark/>
          </w:tcPr>
          <w:p w14:paraId="23308A88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0.509</w:t>
            </w:r>
          </w:p>
        </w:tc>
      </w:tr>
      <w:tr w:rsidR="00486806" w:rsidRPr="00FA10AD" w14:paraId="40863BE2" w14:textId="77777777" w:rsidTr="00BA4A66">
        <w:trPr>
          <w:jc w:val="center"/>
        </w:trPr>
        <w:tc>
          <w:tcPr>
            <w:tcW w:w="0" w:type="auto"/>
            <w:hideMark/>
          </w:tcPr>
          <w:p w14:paraId="4DA4BCB4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Other forms of violence</w:t>
            </w:r>
          </w:p>
        </w:tc>
        <w:tc>
          <w:tcPr>
            <w:tcW w:w="0" w:type="auto"/>
            <w:hideMark/>
          </w:tcPr>
          <w:p w14:paraId="43E817E3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0.88</w:t>
            </w:r>
          </w:p>
        </w:tc>
        <w:tc>
          <w:tcPr>
            <w:tcW w:w="0" w:type="auto"/>
            <w:hideMark/>
          </w:tcPr>
          <w:p w14:paraId="39E938C8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0.49–1.57</w:t>
            </w:r>
          </w:p>
        </w:tc>
        <w:tc>
          <w:tcPr>
            <w:tcW w:w="0" w:type="auto"/>
            <w:hideMark/>
          </w:tcPr>
          <w:p w14:paraId="433417EA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0.666</w:t>
            </w:r>
          </w:p>
        </w:tc>
      </w:tr>
      <w:tr w:rsidR="00486806" w:rsidRPr="00FA10AD" w14:paraId="2A533858" w14:textId="77777777" w:rsidTr="00BA4A66">
        <w:trPr>
          <w:jc w:val="center"/>
        </w:trPr>
        <w:tc>
          <w:tcPr>
            <w:tcW w:w="0" w:type="auto"/>
            <w:hideMark/>
          </w:tcPr>
          <w:p w14:paraId="78B418B3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Other events</w:t>
            </w:r>
          </w:p>
        </w:tc>
        <w:tc>
          <w:tcPr>
            <w:tcW w:w="0" w:type="auto"/>
            <w:hideMark/>
          </w:tcPr>
          <w:p w14:paraId="302495CC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0.47</w:t>
            </w:r>
          </w:p>
        </w:tc>
        <w:tc>
          <w:tcPr>
            <w:tcW w:w="0" w:type="auto"/>
            <w:hideMark/>
          </w:tcPr>
          <w:p w14:paraId="069375E0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0.18–1.24</w:t>
            </w:r>
          </w:p>
        </w:tc>
        <w:tc>
          <w:tcPr>
            <w:tcW w:w="0" w:type="auto"/>
            <w:hideMark/>
          </w:tcPr>
          <w:p w14:paraId="621DBFC8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0.126</w:t>
            </w:r>
          </w:p>
        </w:tc>
      </w:tr>
      <w:tr w:rsidR="00486806" w:rsidRPr="00302BA4" w14:paraId="022DAE07" w14:textId="77777777" w:rsidTr="00BA4A66">
        <w:trPr>
          <w:jc w:val="center"/>
        </w:trPr>
        <w:tc>
          <w:tcPr>
            <w:tcW w:w="0" w:type="auto"/>
            <w:hideMark/>
          </w:tcPr>
          <w:p w14:paraId="55A555E5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Number of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session</w:t>
            </w:r>
            <w:r w:rsidRPr="00FA10A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s</w:t>
            </w: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(ref: ≤3 sessions)</w:t>
            </w:r>
          </w:p>
        </w:tc>
        <w:tc>
          <w:tcPr>
            <w:tcW w:w="0" w:type="auto"/>
            <w:hideMark/>
          </w:tcPr>
          <w:p w14:paraId="42DD086F" w14:textId="77777777" w:rsidR="00486806" w:rsidRPr="00FA10AD" w:rsidRDefault="00486806" w:rsidP="00BA4A6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349966C9" w14:textId="77777777" w:rsidR="00486806" w:rsidRPr="00FA10AD" w:rsidRDefault="00486806" w:rsidP="00BA4A6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7C090C66" w14:textId="77777777" w:rsidR="00486806" w:rsidRPr="00FA10AD" w:rsidRDefault="00486806" w:rsidP="00BA4A6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86806" w:rsidRPr="00FA10AD" w14:paraId="5103FB98" w14:textId="77777777" w:rsidTr="00BA4A66">
        <w:trPr>
          <w:jc w:val="center"/>
        </w:trPr>
        <w:tc>
          <w:tcPr>
            <w:tcW w:w="0" w:type="auto"/>
            <w:hideMark/>
          </w:tcPr>
          <w:p w14:paraId="2D79F785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4–6 sessions</w:t>
            </w:r>
          </w:p>
        </w:tc>
        <w:tc>
          <w:tcPr>
            <w:tcW w:w="0" w:type="auto"/>
            <w:hideMark/>
          </w:tcPr>
          <w:p w14:paraId="3B196CE8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2.30</w:t>
            </w:r>
          </w:p>
        </w:tc>
        <w:tc>
          <w:tcPr>
            <w:tcW w:w="0" w:type="auto"/>
            <w:hideMark/>
          </w:tcPr>
          <w:p w14:paraId="5973C49D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1.10–4.77</w:t>
            </w:r>
          </w:p>
        </w:tc>
        <w:tc>
          <w:tcPr>
            <w:tcW w:w="0" w:type="auto"/>
            <w:hideMark/>
          </w:tcPr>
          <w:p w14:paraId="494AAE0D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0.026</w:t>
            </w:r>
          </w:p>
        </w:tc>
      </w:tr>
      <w:tr w:rsidR="00486806" w:rsidRPr="00FA10AD" w14:paraId="50ADC604" w14:textId="77777777" w:rsidTr="00BA4A66">
        <w:trPr>
          <w:jc w:val="center"/>
        </w:trPr>
        <w:tc>
          <w:tcPr>
            <w:tcW w:w="0" w:type="auto"/>
            <w:hideMark/>
          </w:tcPr>
          <w:p w14:paraId="20D7CC04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7–10 sessions</w:t>
            </w:r>
          </w:p>
        </w:tc>
        <w:tc>
          <w:tcPr>
            <w:tcW w:w="0" w:type="auto"/>
            <w:hideMark/>
          </w:tcPr>
          <w:p w14:paraId="11BA681C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2.97</w:t>
            </w:r>
          </w:p>
        </w:tc>
        <w:tc>
          <w:tcPr>
            <w:tcW w:w="0" w:type="auto"/>
            <w:hideMark/>
          </w:tcPr>
          <w:p w14:paraId="3738A58E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1.48–5.96</w:t>
            </w:r>
          </w:p>
        </w:tc>
        <w:tc>
          <w:tcPr>
            <w:tcW w:w="0" w:type="auto"/>
            <w:hideMark/>
          </w:tcPr>
          <w:p w14:paraId="133418F2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0.002</w:t>
            </w:r>
          </w:p>
        </w:tc>
      </w:tr>
      <w:tr w:rsidR="00486806" w:rsidRPr="00FA10AD" w14:paraId="1D8FB255" w14:textId="77777777" w:rsidTr="00BA4A66">
        <w:trPr>
          <w:jc w:val="center"/>
        </w:trPr>
        <w:tc>
          <w:tcPr>
            <w:tcW w:w="0" w:type="auto"/>
            <w:hideMark/>
          </w:tcPr>
          <w:p w14:paraId="359279F2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11–20 sessions</w:t>
            </w:r>
          </w:p>
        </w:tc>
        <w:tc>
          <w:tcPr>
            <w:tcW w:w="0" w:type="auto"/>
            <w:hideMark/>
          </w:tcPr>
          <w:p w14:paraId="4F5D015E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4.20</w:t>
            </w:r>
          </w:p>
        </w:tc>
        <w:tc>
          <w:tcPr>
            <w:tcW w:w="0" w:type="auto"/>
            <w:hideMark/>
          </w:tcPr>
          <w:p w14:paraId="3E0A65CA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2.17–8.11</w:t>
            </w:r>
          </w:p>
        </w:tc>
        <w:tc>
          <w:tcPr>
            <w:tcW w:w="0" w:type="auto"/>
            <w:hideMark/>
          </w:tcPr>
          <w:p w14:paraId="2FEFCCC7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&lt;0.001</w:t>
            </w:r>
          </w:p>
        </w:tc>
      </w:tr>
      <w:tr w:rsidR="00486806" w:rsidRPr="00FA10AD" w14:paraId="2F4F26B5" w14:textId="77777777" w:rsidTr="00BA4A66">
        <w:trPr>
          <w:jc w:val="center"/>
        </w:trPr>
        <w:tc>
          <w:tcPr>
            <w:tcW w:w="0" w:type="auto"/>
            <w:hideMark/>
          </w:tcPr>
          <w:p w14:paraId="2CB917A9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&gt;20 sessions</w:t>
            </w:r>
          </w:p>
        </w:tc>
        <w:tc>
          <w:tcPr>
            <w:tcW w:w="0" w:type="auto"/>
            <w:hideMark/>
          </w:tcPr>
          <w:p w14:paraId="53CD6B63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6.81</w:t>
            </w:r>
          </w:p>
        </w:tc>
        <w:tc>
          <w:tcPr>
            <w:tcW w:w="0" w:type="auto"/>
            <w:hideMark/>
          </w:tcPr>
          <w:p w14:paraId="0A9D8943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3.23–14.38</w:t>
            </w:r>
          </w:p>
        </w:tc>
        <w:tc>
          <w:tcPr>
            <w:tcW w:w="0" w:type="auto"/>
            <w:hideMark/>
          </w:tcPr>
          <w:p w14:paraId="58A79014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&lt;0.001</w:t>
            </w:r>
          </w:p>
        </w:tc>
      </w:tr>
      <w:tr w:rsidR="00486806" w:rsidRPr="00FA10AD" w14:paraId="0A667A00" w14:textId="77777777" w:rsidTr="00BA4A66">
        <w:trPr>
          <w:jc w:val="center"/>
        </w:trPr>
        <w:tc>
          <w:tcPr>
            <w:tcW w:w="0" w:type="auto"/>
            <w:hideMark/>
          </w:tcPr>
          <w:p w14:paraId="0A8CC69F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Constant</w:t>
            </w:r>
          </w:p>
        </w:tc>
        <w:tc>
          <w:tcPr>
            <w:tcW w:w="0" w:type="auto"/>
            <w:hideMark/>
          </w:tcPr>
          <w:p w14:paraId="55AC8592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0.77</w:t>
            </w:r>
          </w:p>
        </w:tc>
        <w:tc>
          <w:tcPr>
            <w:tcW w:w="0" w:type="auto"/>
            <w:hideMark/>
          </w:tcPr>
          <w:p w14:paraId="568D1AA3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0.35–1.68</w:t>
            </w:r>
          </w:p>
        </w:tc>
        <w:tc>
          <w:tcPr>
            <w:tcW w:w="0" w:type="auto"/>
            <w:hideMark/>
          </w:tcPr>
          <w:p w14:paraId="7E43CEEE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0.510</w:t>
            </w:r>
          </w:p>
        </w:tc>
      </w:tr>
      <w:tr w:rsidR="00486806" w:rsidRPr="00302BA4" w14:paraId="27AE03D3" w14:textId="77777777" w:rsidTr="00BA4A66">
        <w:trPr>
          <w:jc w:val="center"/>
        </w:trPr>
        <w:tc>
          <w:tcPr>
            <w:tcW w:w="0" w:type="auto"/>
            <w:gridSpan w:val="4"/>
          </w:tcPr>
          <w:p w14:paraId="1862F718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Outcome: MHGS Improvement (1 = improved, 0 = not improved). Final adjusted multivariable logistic regression model evaluating independent predictors of clinical improvement. Odds ratios (OR) with 95% confidence intervals (CI) are shown. The model adjusted for gender, age group, clinical diagnosis, baseline CGI severity, type of traumatic event, and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session</w:t>
            </w: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category. Model calibration was adequate (Hosmer–</w:t>
            </w:r>
            <w:proofErr w:type="spellStart"/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Lemeshow</w:t>
            </w:r>
            <w:proofErr w:type="spellEnd"/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p = 0.32), and discrimination was acceptable (AUC = 0.72).</w:t>
            </w:r>
          </w:p>
        </w:tc>
      </w:tr>
    </w:tbl>
    <w:p w14:paraId="59D580A8" w14:textId="77777777" w:rsidR="00486806" w:rsidRPr="00FA10AD" w:rsidRDefault="00486806" w:rsidP="00486806">
      <w:pPr>
        <w:spacing w:after="240" w:line="360" w:lineRule="auto"/>
        <w:jc w:val="both"/>
        <w:rPr>
          <w:rFonts w:ascii="Calibri" w:hAnsi="Calibri" w:cs="Calibri"/>
          <w:b/>
          <w:bCs/>
          <w:lang w:val="en-GB"/>
        </w:rPr>
      </w:pPr>
    </w:p>
    <w:p w14:paraId="6EB5800D" w14:textId="77777777" w:rsidR="00486806" w:rsidRPr="00FA10AD" w:rsidRDefault="00486806" w:rsidP="00486806">
      <w:pPr>
        <w:spacing w:after="240" w:line="276" w:lineRule="auto"/>
        <w:jc w:val="both"/>
        <w:rPr>
          <w:rFonts w:ascii="Calibri" w:hAnsi="Calibri" w:cs="Calibri"/>
          <w:b/>
          <w:bCs/>
          <w:color w:val="000000" w:themeColor="text1"/>
          <w:lang w:val="en-GB"/>
        </w:rPr>
      </w:pPr>
      <w:r w:rsidRPr="00FA10AD">
        <w:rPr>
          <w:rFonts w:ascii="Calibri" w:hAnsi="Calibri" w:cs="Calibri"/>
          <w:b/>
          <w:bCs/>
          <w:color w:val="000000" w:themeColor="text1"/>
          <w:lang w:val="en-GB"/>
        </w:rPr>
        <w:t>Supplementary Table 3. Cox proportional hazards model for time to clinical improvement (CGI)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95"/>
        <w:gridCol w:w="1645"/>
        <w:gridCol w:w="1073"/>
        <w:gridCol w:w="870"/>
        <w:gridCol w:w="1048"/>
        <w:gridCol w:w="1129"/>
      </w:tblGrid>
      <w:tr w:rsidR="00486806" w:rsidRPr="00FA10AD" w14:paraId="33C6D99B" w14:textId="77777777" w:rsidTr="00BA4A66">
        <w:trPr>
          <w:jc w:val="center"/>
        </w:trPr>
        <w:tc>
          <w:tcPr>
            <w:tcW w:w="0" w:type="auto"/>
            <w:hideMark/>
          </w:tcPr>
          <w:p w14:paraId="43FE5674" w14:textId="77777777" w:rsidR="00486806" w:rsidRPr="00FA10AD" w:rsidRDefault="00486806" w:rsidP="00BA4A66">
            <w:pPr>
              <w:pStyle w:val="p1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Predictor</w:t>
            </w:r>
          </w:p>
        </w:tc>
        <w:tc>
          <w:tcPr>
            <w:tcW w:w="0" w:type="auto"/>
            <w:hideMark/>
          </w:tcPr>
          <w:p w14:paraId="0F4770FE" w14:textId="77777777" w:rsidR="00486806" w:rsidRPr="00FA10AD" w:rsidRDefault="00486806" w:rsidP="00BA4A66">
            <w:pPr>
              <w:pStyle w:val="p1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Hazard Ratio (HR)</w:t>
            </w:r>
          </w:p>
        </w:tc>
        <w:tc>
          <w:tcPr>
            <w:tcW w:w="0" w:type="auto"/>
            <w:hideMark/>
          </w:tcPr>
          <w:p w14:paraId="42C67360" w14:textId="77777777" w:rsidR="00486806" w:rsidRPr="00FA10AD" w:rsidRDefault="00486806" w:rsidP="00BA4A66">
            <w:pPr>
              <w:pStyle w:val="p1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Std. Err.</w:t>
            </w:r>
          </w:p>
        </w:tc>
        <w:tc>
          <w:tcPr>
            <w:tcW w:w="0" w:type="auto"/>
            <w:hideMark/>
          </w:tcPr>
          <w:p w14:paraId="5244FF11" w14:textId="77777777" w:rsidR="00486806" w:rsidRPr="00FA10AD" w:rsidRDefault="00486806" w:rsidP="00BA4A66">
            <w:pPr>
              <w:pStyle w:val="p1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z</w:t>
            </w:r>
          </w:p>
        </w:tc>
        <w:tc>
          <w:tcPr>
            <w:tcW w:w="0" w:type="auto"/>
            <w:hideMark/>
          </w:tcPr>
          <w:p w14:paraId="3BFA1D2C" w14:textId="77777777" w:rsidR="00486806" w:rsidRPr="00FA10AD" w:rsidRDefault="00486806" w:rsidP="00BA4A66">
            <w:pPr>
              <w:pStyle w:val="p1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p-value</w:t>
            </w:r>
          </w:p>
        </w:tc>
        <w:tc>
          <w:tcPr>
            <w:tcW w:w="0" w:type="auto"/>
            <w:hideMark/>
          </w:tcPr>
          <w:p w14:paraId="053DED57" w14:textId="77777777" w:rsidR="00486806" w:rsidRPr="00FA10AD" w:rsidRDefault="00486806" w:rsidP="00BA4A66">
            <w:pPr>
              <w:pStyle w:val="p1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95% CI</w:t>
            </w:r>
          </w:p>
        </w:tc>
      </w:tr>
      <w:tr w:rsidR="00486806" w:rsidRPr="00FA10AD" w14:paraId="24B0F784" w14:textId="77777777" w:rsidTr="00BA4A66">
        <w:trPr>
          <w:jc w:val="center"/>
        </w:trPr>
        <w:tc>
          <w:tcPr>
            <w:tcW w:w="0" w:type="auto"/>
            <w:hideMark/>
          </w:tcPr>
          <w:p w14:paraId="6E96CF38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Age group (ref: ≥25 years)</w:t>
            </w:r>
          </w:p>
        </w:tc>
        <w:tc>
          <w:tcPr>
            <w:tcW w:w="0" w:type="auto"/>
            <w:hideMark/>
          </w:tcPr>
          <w:p w14:paraId="2A98953A" w14:textId="77777777" w:rsidR="00486806" w:rsidRPr="00FA10AD" w:rsidRDefault="00486806" w:rsidP="00BA4A6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3AA18B8A" w14:textId="77777777" w:rsidR="00486806" w:rsidRPr="00FA10AD" w:rsidRDefault="00486806" w:rsidP="00BA4A6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6273132F" w14:textId="77777777" w:rsidR="00486806" w:rsidRPr="00FA10AD" w:rsidRDefault="00486806" w:rsidP="00BA4A6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73B3DB0C" w14:textId="77777777" w:rsidR="00486806" w:rsidRPr="00FA10AD" w:rsidRDefault="00486806" w:rsidP="00BA4A6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55E7478E" w14:textId="77777777" w:rsidR="00486806" w:rsidRPr="00FA10AD" w:rsidRDefault="00486806" w:rsidP="00BA4A6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86806" w:rsidRPr="00FA10AD" w14:paraId="05F92E0C" w14:textId="77777777" w:rsidTr="00BA4A66">
        <w:trPr>
          <w:jc w:val="center"/>
        </w:trPr>
        <w:tc>
          <w:tcPr>
            <w:tcW w:w="0" w:type="auto"/>
            <w:hideMark/>
          </w:tcPr>
          <w:p w14:paraId="34145021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≤15 years (Children)</w:t>
            </w:r>
          </w:p>
        </w:tc>
        <w:tc>
          <w:tcPr>
            <w:tcW w:w="0" w:type="auto"/>
            <w:hideMark/>
          </w:tcPr>
          <w:p w14:paraId="0A52DF47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1.37</w:t>
            </w:r>
          </w:p>
        </w:tc>
        <w:tc>
          <w:tcPr>
            <w:tcW w:w="0" w:type="auto"/>
            <w:hideMark/>
          </w:tcPr>
          <w:p w14:paraId="284C5FBE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0.201</w:t>
            </w:r>
          </w:p>
        </w:tc>
        <w:tc>
          <w:tcPr>
            <w:tcW w:w="0" w:type="auto"/>
            <w:hideMark/>
          </w:tcPr>
          <w:p w14:paraId="1501B14D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2.14</w:t>
            </w:r>
          </w:p>
        </w:tc>
        <w:tc>
          <w:tcPr>
            <w:tcW w:w="0" w:type="auto"/>
            <w:hideMark/>
          </w:tcPr>
          <w:p w14:paraId="7CFB9011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0.033</w:t>
            </w:r>
          </w:p>
        </w:tc>
        <w:tc>
          <w:tcPr>
            <w:tcW w:w="0" w:type="auto"/>
            <w:hideMark/>
          </w:tcPr>
          <w:p w14:paraId="59D2C5C0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1.03 – 1.82</w:t>
            </w:r>
          </w:p>
        </w:tc>
      </w:tr>
      <w:tr w:rsidR="00486806" w:rsidRPr="00FA10AD" w14:paraId="3FCACB68" w14:textId="77777777" w:rsidTr="00BA4A66">
        <w:trPr>
          <w:jc w:val="center"/>
        </w:trPr>
        <w:tc>
          <w:tcPr>
            <w:tcW w:w="0" w:type="auto"/>
            <w:hideMark/>
          </w:tcPr>
          <w:p w14:paraId="436826ED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16–19 years (Adolescents)</w:t>
            </w:r>
          </w:p>
        </w:tc>
        <w:tc>
          <w:tcPr>
            <w:tcW w:w="0" w:type="auto"/>
            <w:hideMark/>
          </w:tcPr>
          <w:p w14:paraId="0DAA1E27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0.94</w:t>
            </w:r>
          </w:p>
        </w:tc>
        <w:tc>
          <w:tcPr>
            <w:tcW w:w="0" w:type="auto"/>
            <w:hideMark/>
          </w:tcPr>
          <w:p w14:paraId="52537FA8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0.209</w:t>
            </w:r>
          </w:p>
        </w:tc>
        <w:tc>
          <w:tcPr>
            <w:tcW w:w="0" w:type="auto"/>
            <w:hideMark/>
          </w:tcPr>
          <w:p w14:paraId="6855206D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–0.29</w:t>
            </w:r>
          </w:p>
        </w:tc>
        <w:tc>
          <w:tcPr>
            <w:tcW w:w="0" w:type="auto"/>
            <w:hideMark/>
          </w:tcPr>
          <w:p w14:paraId="24C9F1FB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0.774</w:t>
            </w:r>
          </w:p>
        </w:tc>
        <w:tc>
          <w:tcPr>
            <w:tcW w:w="0" w:type="auto"/>
            <w:hideMark/>
          </w:tcPr>
          <w:p w14:paraId="7254F1BD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0.61 – 1.45</w:t>
            </w:r>
          </w:p>
        </w:tc>
      </w:tr>
      <w:tr w:rsidR="00486806" w:rsidRPr="00FA10AD" w14:paraId="71E82609" w14:textId="77777777" w:rsidTr="00BA4A66">
        <w:trPr>
          <w:jc w:val="center"/>
        </w:trPr>
        <w:tc>
          <w:tcPr>
            <w:tcW w:w="0" w:type="auto"/>
            <w:hideMark/>
          </w:tcPr>
          <w:p w14:paraId="61EA3669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20–24 years (Young adults)</w:t>
            </w:r>
          </w:p>
        </w:tc>
        <w:tc>
          <w:tcPr>
            <w:tcW w:w="0" w:type="auto"/>
            <w:hideMark/>
          </w:tcPr>
          <w:p w14:paraId="71364DFB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1.10</w:t>
            </w:r>
          </w:p>
        </w:tc>
        <w:tc>
          <w:tcPr>
            <w:tcW w:w="0" w:type="auto"/>
            <w:hideMark/>
          </w:tcPr>
          <w:p w14:paraId="4B5A8F58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0.183</w:t>
            </w:r>
          </w:p>
        </w:tc>
        <w:tc>
          <w:tcPr>
            <w:tcW w:w="0" w:type="auto"/>
            <w:hideMark/>
          </w:tcPr>
          <w:p w14:paraId="6C39F1DE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0.56</w:t>
            </w:r>
          </w:p>
        </w:tc>
        <w:tc>
          <w:tcPr>
            <w:tcW w:w="0" w:type="auto"/>
            <w:hideMark/>
          </w:tcPr>
          <w:p w14:paraId="0600B5C2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0.573</w:t>
            </w:r>
          </w:p>
        </w:tc>
        <w:tc>
          <w:tcPr>
            <w:tcW w:w="0" w:type="auto"/>
            <w:hideMark/>
          </w:tcPr>
          <w:p w14:paraId="64497A5D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0.79 – 1.52</w:t>
            </w:r>
          </w:p>
        </w:tc>
      </w:tr>
      <w:tr w:rsidR="00486806" w:rsidRPr="00302BA4" w14:paraId="530AD044" w14:textId="77777777" w:rsidTr="00BA4A66">
        <w:trPr>
          <w:jc w:val="center"/>
        </w:trPr>
        <w:tc>
          <w:tcPr>
            <w:tcW w:w="0" w:type="auto"/>
            <w:hideMark/>
          </w:tcPr>
          <w:p w14:paraId="720828D1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Clinical diagnosis (ref: Anxiety disorder)</w:t>
            </w:r>
          </w:p>
        </w:tc>
        <w:tc>
          <w:tcPr>
            <w:tcW w:w="0" w:type="auto"/>
            <w:hideMark/>
          </w:tcPr>
          <w:p w14:paraId="3E12DC60" w14:textId="77777777" w:rsidR="00486806" w:rsidRPr="00FA10AD" w:rsidRDefault="00486806" w:rsidP="00BA4A6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749D31DA" w14:textId="77777777" w:rsidR="00486806" w:rsidRPr="00FA10AD" w:rsidRDefault="00486806" w:rsidP="00BA4A6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4D8E7660" w14:textId="77777777" w:rsidR="00486806" w:rsidRPr="00FA10AD" w:rsidRDefault="00486806" w:rsidP="00BA4A6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6D601637" w14:textId="77777777" w:rsidR="00486806" w:rsidRPr="00FA10AD" w:rsidRDefault="00486806" w:rsidP="00BA4A6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1A4137EA" w14:textId="77777777" w:rsidR="00486806" w:rsidRPr="00FA10AD" w:rsidRDefault="00486806" w:rsidP="00BA4A6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86806" w:rsidRPr="00FA10AD" w14:paraId="42A0755A" w14:textId="77777777" w:rsidTr="00BA4A66">
        <w:trPr>
          <w:jc w:val="center"/>
        </w:trPr>
        <w:tc>
          <w:tcPr>
            <w:tcW w:w="0" w:type="auto"/>
            <w:hideMark/>
          </w:tcPr>
          <w:p w14:paraId="60E4ACBF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PTSD</w:t>
            </w:r>
          </w:p>
        </w:tc>
        <w:tc>
          <w:tcPr>
            <w:tcW w:w="0" w:type="auto"/>
            <w:hideMark/>
          </w:tcPr>
          <w:p w14:paraId="3FC418BE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0.54</w:t>
            </w:r>
          </w:p>
        </w:tc>
        <w:tc>
          <w:tcPr>
            <w:tcW w:w="0" w:type="auto"/>
            <w:hideMark/>
          </w:tcPr>
          <w:p w14:paraId="60F60671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0.114</w:t>
            </w:r>
          </w:p>
        </w:tc>
        <w:tc>
          <w:tcPr>
            <w:tcW w:w="0" w:type="auto"/>
            <w:hideMark/>
          </w:tcPr>
          <w:p w14:paraId="5961F996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–2.91</w:t>
            </w:r>
          </w:p>
        </w:tc>
        <w:tc>
          <w:tcPr>
            <w:tcW w:w="0" w:type="auto"/>
            <w:hideMark/>
          </w:tcPr>
          <w:p w14:paraId="1EB0D5D9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0.004</w:t>
            </w:r>
          </w:p>
        </w:tc>
        <w:tc>
          <w:tcPr>
            <w:tcW w:w="0" w:type="auto"/>
            <w:hideMark/>
          </w:tcPr>
          <w:p w14:paraId="01089DF5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0.36 – 0.82</w:t>
            </w:r>
          </w:p>
        </w:tc>
      </w:tr>
      <w:tr w:rsidR="00486806" w:rsidRPr="00FA10AD" w14:paraId="657B1BAA" w14:textId="77777777" w:rsidTr="00BA4A66">
        <w:trPr>
          <w:jc w:val="center"/>
        </w:trPr>
        <w:tc>
          <w:tcPr>
            <w:tcW w:w="0" w:type="auto"/>
            <w:hideMark/>
          </w:tcPr>
          <w:p w14:paraId="20C2E420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Depression</w:t>
            </w:r>
          </w:p>
        </w:tc>
        <w:tc>
          <w:tcPr>
            <w:tcW w:w="0" w:type="auto"/>
            <w:hideMark/>
          </w:tcPr>
          <w:p w14:paraId="6FB66A2D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0.73</w:t>
            </w:r>
          </w:p>
        </w:tc>
        <w:tc>
          <w:tcPr>
            <w:tcW w:w="0" w:type="auto"/>
            <w:hideMark/>
          </w:tcPr>
          <w:p w14:paraId="44143649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0.182</w:t>
            </w:r>
          </w:p>
        </w:tc>
        <w:tc>
          <w:tcPr>
            <w:tcW w:w="0" w:type="auto"/>
            <w:hideMark/>
          </w:tcPr>
          <w:p w14:paraId="567364C3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–1.25</w:t>
            </w:r>
          </w:p>
        </w:tc>
        <w:tc>
          <w:tcPr>
            <w:tcW w:w="0" w:type="auto"/>
            <w:hideMark/>
          </w:tcPr>
          <w:p w14:paraId="23ED694E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0.211</w:t>
            </w:r>
          </w:p>
        </w:tc>
        <w:tc>
          <w:tcPr>
            <w:tcW w:w="0" w:type="auto"/>
            <w:hideMark/>
          </w:tcPr>
          <w:p w14:paraId="65ED8E5B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0.45 – 1.19</w:t>
            </w:r>
          </w:p>
        </w:tc>
      </w:tr>
      <w:tr w:rsidR="00486806" w:rsidRPr="00FA10AD" w14:paraId="3F07BC47" w14:textId="77777777" w:rsidTr="00BA4A66">
        <w:trPr>
          <w:jc w:val="center"/>
        </w:trPr>
        <w:tc>
          <w:tcPr>
            <w:tcW w:w="0" w:type="auto"/>
            <w:hideMark/>
          </w:tcPr>
          <w:p w14:paraId="3EE12419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Other disorders</w:t>
            </w:r>
          </w:p>
        </w:tc>
        <w:tc>
          <w:tcPr>
            <w:tcW w:w="0" w:type="auto"/>
            <w:hideMark/>
          </w:tcPr>
          <w:p w14:paraId="5E3296AA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0.73</w:t>
            </w:r>
          </w:p>
        </w:tc>
        <w:tc>
          <w:tcPr>
            <w:tcW w:w="0" w:type="auto"/>
            <w:hideMark/>
          </w:tcPr>
          <w:p w14:paraId="55CAF1D1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0.176</w:t>
            </w:r>
          </w:p>
        </w:tc>
        <w:tc>
          <w:tcPr>
            <w:tcW w:w="0" w:type="auto"/>
            <w:hideMark/>
          </w:tcPr>
          <w:p w14:paraId="65ABB4A4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–1.31</w:t>
            </w:r>
          </w:p>
        </w:tc>
        <w:tc>
          <w:tcPr>
            <w:tcW w:w="0" w:type="auto"/>
            <w:hideMark/>
          </w:tcPr>
          <w:p w14:paraId="073DEFFE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0.191</w:t>
            </w:r>
          </w:p>
        </w:tc>
        <w:tc>
          <w:tcPr>
            <w:tcW w:w="0" w:type="auto"/>
            <w:hideMark/>
          </w:tcPr>
          <w:p w14:paraId="6E2C92C7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0.45 – 1.17</w:t>
            </w:r>
          </w:p>
        </w:tc>
      </w:tr>
      <w:tr w:rsidR="00486806" w:rsidRPr="00302BA4" w14:paraId="6FE0C00B" w14:textId="77777777" w:rsidTr="00BA4A66">
        <w:trPr>
          <w:jc w:val="center"/>
        </w:trPr>
        <w:tc>
          <w:tcPr>
            <w:tcW w:w="0" w:type="auto"/>
            <w:hideMark/>
          </w:tcPr>
          <w:p w14:paraId="26CEBD7F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Baseline CGI Severity (ref: Mild–Moderate)</w:t>
            </w:r>
          </w:p>
        </w:tc>
        <w:tc>
          <w:tcPr>
            <w:tcW w:w="0" w:type="auto"/>
            <w:hideMark/>
          </w:tcPr>
          <w:p w14:paraId="64487279" w14:textId="77777777" w:rsidR="00486806" w:rsidRPr="00FA10AD" w:rsidRDefault="00486806" w:rsidP="00BA4A6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4A5C74C8" w14:textId="77777777" w:rsidR="00486806" w:rsidRPr="00FA10AD" w:rsidRDefault="00486806" w:rsidP="00BA4A6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57F8FAEA" w14:textId="77777777" w:rsidR="00486806" w:rsidRPr="00FA10AD" w:rsidRDefault="00486806" w:rsidP="00BA4A6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05BED02F" w14:textId="77777777" w:rsidR="00486806" w:rsidRPr="00FA10AD" w:rsidRDefault="00486806" w:rsidP="00BA4A6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04454124" w14:textId="77777777" w:rsidR="00486806" w:rsidRPr="00FA10AD" w:rsidRDefault="00486806" w:rsidP="00BA4A6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86806" w:rsidRPr="00FA10AD" w14:paraId="01C4FB1B" w14:textId="77777777" w:rsidTr="00BA4A66">
        <w:trPr>
          <w:jc w:val="center"/>
        </w:trPr>
        <w:tc>
          <w:tcPr>
            <w:tcW w:w="0" w:type="auto"/>
            <w:hideMark/>
          </w:tcPr>
          <w:p w14:paraId="1C344828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Severe</w:t>
            </w:r>
          </w:p>
        </w:tc>
        <w:tc>
          <w:tcPr>
            <w:tcW w:w="0" w:type="auto"/>
            <w:hideMark/>
          </w:tcPr>
          <w:p w14:paraId="1CC0D836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0.80</w:t>
            </w:r>
          </w:p>
        </w:tc>
        <w:tc>
          <w:tcPr>
            <w:tcW w:w="0" w:type="auto"/>
            <w:hideMark/>
          </w:tcPr>
          <w:p w14:paraId="2D335381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0.085</w:t>
            </w:r>
          </w:p>
        </w:tc>
        <w:tc>
          <w:tcPr>
            <w:tcW w:w="0" w:type="auto"/>
            <w:hideMark/>
          </w:tcPr>
          <w:p w14:paraId="25174512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–2.14</w:t>
            </w:r>
          </w:p>
        </w:tc>
        <w:tc>
          <w:tcPr>
            <w:tcW w:w="0" w:type="auto"/>
            <w:hideMark/>
          </w:tcPr>
          <w:p w14:paraId="08C188C7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0.033</w:t>
            </w:r>
          </w:p>
        </w:tc>
        <w:tc>
          <w:tcPr>
            <w:tcW w:w="0" w:type="auto"/>
            <w:hideMark/>
          </w:tcPr>
          <w:p w14:paraId="03A8E77B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0.64 – 0.98</w:t>
            </w:r>
          </w:p>
        </w:tc>
      </w:tr>
      <w:tr w:rsidR="00486806" w:rsidRPr="00302BA4" w14:paraId="0290776C" w14:textId="77777777" w:rsidTr="00BA4A66">
        <w:trPr>
          <w:jc w:val="center"/>
        </w:trPr>
        <w:tc>
          <w:tcPr>
            <w:tcW w:w="0" w:type="auto"/>
            <w:gridSpan w:val="6"/>
          </w:tcPr>
          <w:p w14:paraId="7CE1EEBB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Cox proportional hazards regression model evaluating baseline predictors of time to first documented clinical improvement according to the CGI-I scale. Time was defined as the cumulative number of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session</w:t>
            </w: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s until improvement. The model included age group, clinical diagnosis, and baseline CGI severity. Proportional hazards assumptions were assessed using Schoenfeld residuals and were satisfied for all covariates (global test p = 0.67). Overall model fit was assessed using the likelihood ratio test (LR χ²(7) = 36.24, p &lt; 0.001). HR = hazard ratio; CGI-I = Clinical Global Impression of Improvement.</w:t>
            </w:r>
          </w:p>
        </w:tc>
      </w:tr>
    </w:tbl>
    <w:p w14:paraId="7B421B9C" w14:textId="77777777" w:rsidR="00486806" w:rsidRPr="00FA10AD" w:rsidRDefault="00486806" w:rsidP="00486806">
      <w:pPr>
        <w:spacing w:after="240" w:line="276" w:lineRule="auto"/>
        <w:jc w:val="both"/>
        <w:rPr>
          <w:rFonts w:ascii="Calibri" w:hAnsi="Calibri" w:cs="Calibri"/>
          <w:color w:val="000000" w:themeColor="text1"/>
          <w:sz w:val="20"/>
          <w:szCs w:val="20"/>
          <w:lang w:val="en-GB"/>
        </w:rPr>
      </w:pPr>
    </w:p>
    <w:p w14:paraId="322A246A" w14:textId="77777777" w:rsidR="00486806" w:rsidRPr="00FA10AD" w:rsidRDefault="00486806" w:rsidP="00486806">
      <w:pPr>
        <w:spacing w:after="240" w:line="276" w:lineRule="auto"/>
        <w:jc w:val="both"/>
        <w:rPr>
          <w:rFonts w:ascii="Calibri" w:hAnsi="Calibri" w:cs="Calibri"/>
          <w:noProof/>
          <w:color w:val="000000" w:themeColor="text1"/>
          <w:lang w:val="en-GB"/>
        </w:rPr>
      </w:pPr>
      <w:r w:rsidRPr="00FA10AD">
        <w:rPr>
          <w:rFonts w:ascii="Calibri" w:hAnsi="Calibri" w:cs="Calibri"/>
          <w:b/>
          <w:bCs/>
          <w:noProof/>
          <w:color w:val="000000" w:themeColor="text1"/>
          <w:lang w:val="en-GB"/>
        </w:rPr>
        <w:t>Supplementary Figure 2. Kaplan–Meier curves for time to functional improvement according to the MHGS scale</w:t>
      </w:r>
    </w:p>
    <w:p w14:paraId="15C3C0EA" w14:textId="77777777" w:rsidR="00486806" w:rsidRPr="00FA10AD" w:rsidRDefault="00486806" w:rsidP="00486806">
      <w:pPr>
        <w:spacing w:after="240" w:line="276" w:lineRule="auto"/>
        <w:ind w:right="-1136"/>
        <w:jc w:val="both"/>
        <w:rPr>
          <w:rFonts w:ascii="Calibri" w:hAnsi="Calibri" w:cs="Calibri"/>
          <w:b/>
          <w:bCs/>
          <w:noProof/>
          <w:color w:val="000000" w:themeColor="text1"/>
          <w:sz w:val="20"/>
          <w:szCs w:val="20"/>
          <w:lang w:val="en-GB"/>
        </w:rPr>
      </w:pPr>
      <w:r>
        <w:rPr>
          <w:rFonts w:ascii="Calibri" w:hAnsi="Calibri" w:cs="Calibri"/>
          <w:b/>
          <w:bCs/>
          <w:noProof/>
          <w:color w:val="000000" w:themeColor="text1"/>
          <w:lang w:val="en-GB"/>
        </w:rPr>
        <w:lastRenderedPageBreak/>
        <w:drawing>
          <wp:inline distT="0" distB="0" distL="0" distR="0" wp14:anchorId="2D5BF3F8" wp14:editId="3BAB3774">
            <wp:extent cx="5759450" cy="2053590"/>
            <wp:effectExtent l="12700" t="12700" r="19050" b="16510"/>
            <wp:docPr id="589126615" name="Imagen 3" descr="Gráfico, Gráfico de líneas  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126615" name="Imagen 3" descr="Gráfico, Gráfico de líneas  El contenido generado por IA puede ser incorrec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0535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1CC92A6" w14:textId="77777777" w:rsidR="00486806" w:rsidRPr="00FA10AD" w:rsidRDefault="00486806" w:rsidP="00486806">
      <w:pPr>
        <w:spacing w:after="240" w:line="360" w:lineRule="auto"/>
        <w:jc w:val="both"/>
        <w:rPr>
          <w:rFonts w:ascii="Calibri" w:hAnsi="Calibri" w:cs="Calibri"/>
          <w:noProof/>
          <w:color w:val="000000" w:themeColor="text1"/>
          <w:sz w:val="20"/>
          <w:szCs w:val="20"/>
          <w:lang w:val="en-GB"/>
        </w:rPr>
      </w:pPr>
      <w:r w:rsidRPr="00FA10AD">
        <w:rPr>
          <w:rFonts w:ascii="Calibri" w:hAnsi="Calibri" w:cs="Calibri"/>
          <w:noProof/>
          <w:color w:val="000000" w:themeColor="text1"/>
          <w:sz w:val="20"/>
          <w:szCs w:val="20"/>
          <w:lang w:val="en-GB"/>
        </w:rPr>
        <w:t xml:space="preserve">Kaplan–Meier curves depict the cumulative probability of functional improvement measured by the Mental Health Global State (MHGS) scale as a function of the number of </w:t>
      </w:r>
      <w:r>
        <w:rPr>
          <w:rFonts w:ascii="Calibri" w:hAnsi="Calibri" w:cs="Calibri"/>
          <w:noProof/>
          <w:color w:val="000000" w:themeColor="text1"/>
          <w:sz w:val="20"/>
          <w:szCs w:val="20"/>
          <w:lang w:val="en-GB"/>
        </w:rPr>
        <w:t>session</w:t>
      </w:r>
      <w:r w:rsidRPr="00FA10AD">
        <w:rPr>
          <w:rFonts w:ascii="Calibri" w:hAnsi="Calibri" w:cs="Calibri"/>
          <w:noProof/>
          <w:color w:val="000000" w:themeColor="text1"/>
          <w:sz w:val="20"/>
          <w:szCs w:val="20"/>
          <w:lang w:val="en-GB"/>
        </w:rPr>
        <w:t xml:space="preserve">s. Curves are stratified by age group, clinical diagnosis, and baseline clinical severity at intake. Time was defined as the number of </w:t>
      </w:r>
      <w:r>
        <w:rPr>
          <w:rFonts w:ascii="Calibri" w:hAnsi="Calibri" w:cs="Calibri"/>
          <w:noProof/>
          <w:color w:val="000000" w:themeColor="text1"/>
          <w:sz w:val="20"/>
          <w:szCs w:val="20"/>
          <w:lang w:val="en-GB"/>
        </w:rPr>
        <w:t>session</w:t>
      </w:r>
      <w:r w:rsidRPr="00FA10AD">
        <w:rPr>
          <w:rFonts w:ascii="Calibri" w:hAnsi="Calibri" w:cs="Calibri"/>
          <w:noProof/>
          <w:color w:val="000000" w:themeColor="text1"/>
          <w:sz w:val="20"/>
          <w:szCs w:val="20"/>
          <w:lang w:val="en-GB"/>
        </w:rPr>
        <w:t>s until first documented functional improvement. Hazard ratios (HR) shown were derived from Cox proportional hazards regression models. Between-group differences were assessed using log-rank tests. MHGS = Mental Health Global State.</w:t>
      </w:r>
    </w:p>
    <w:p w14:paraId="7022A246" w14:textId="77777777" w:rsidR="00486806" w:rsidRPr="00FA10AD" w:rsidRDefault="00486806" w:rsidP="00486806">
      <w:pPr>
        <w:spacing w:after="240" w:line="276" w:lineRule="auto"/>
        <w:jc w:val="both"/>
        <w:rPr>
          <w:rFonts w:ascii="Calibri" w:hAnsi="Calibri" w:cs="Calibri"/>
          <w:b/>
          <w:bCs/>
          <w:color w:val="000000" w:themeColor="text1"/>
          <w:lang w:val="en-GB"/>
        </w:rPr>
      </w:pPr>
      <w:r w:rsidRPr="00FA10AD">
        <w:rPr>
          <w:rFonts w:ascii="Calibri" w:hAnsi="Calibri" w:cs="Calibri"/>
          <w:b/>
          <w:bCs/>
          <w:color w:val="000000" w:themeColor="text1"/>
          <w:lang w:val="en-GB"/>
        </w:rPr>
        <w:t>Supplementary Table 4. Cox proportional hazards model for time to MHGS improvement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1052"/>
        <w:gridCol w:w="1622"/>
        <w:gridCol w:w="1405"/>
      </w:tblGrid>
      <w:tr w:rsidR="00486806" w:rsidRPr="00FA10AD" w14:paraId="0C0D9FD9" w14:textId="77777777" w:rsidTr="00BA4A66">
        <w:tc>
          <w:tcPr>
            <w:tcW w:w="0" w:type="auto"/>
            <w:hideMark/>
          </w:tcPr>
          <w:p w14:paraId="7BB84B91" w14:textId="77777777" w:rsidR="00486806" w:rsidRPr="00FA10AD" w:rsidRDefault="00486806" w:rsidP="00BA4A66">
            <w:pPr>
              <w:pStyle w:val="p1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Predictor</w:t>
            </w:r>
          </w:p>
        </w:tc>
        <w:tc>
          <w:tcPr>
            <w:tcW w:w="0" w:type="auto"/>
            <w:hideMark/>
          </w:tcPr>
          <w:p w14:paraId="6837E87E" w14:textId="77777777" w:rsidR="00486806" w:rsidRPr="00FA10AD" w:rsidRDefault="00486806" w:rsidP="00BA4A66">
            <w:pPr>
              <w:pStyle w:val="p1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HR</w:t>
            </w:r>
          </w:p>
        </w:tc>
        <w:tc>
          <w:tcPr>
            <w:tcW w:w="0" w:type="auto"/>
            <w:hideMark/>
          </w:tcPr>
          <w:p w14:paraId="43DF1C7D" w14:textId="77777777" w:rsidR="00486806" w:rsidRPr="00FA10AD" w:rsidRDefault="00486806" w:rsidP="00BA4A66">
            <w:pPr>
              <w:pStyle w:val="p1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95% CI</w:t>
            </w:r>
          </w:p>
        </w:tc>
        <w:tc>
          <w:tcPr>
            <w:tcW w:w="0" w:type="auto"/>
            <w:hideMark/>
          </w:tcPr>
          <w:p w14:paraId="6154C4C5" w14:textId="77777777" w:rsidR="00486806" w:rsidRPr="00FA10AD" w:rsidRDefault="00486806" w:rsidP="00BA4A66">
            <w:pPr>
              <w:pStyle w:val="p1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p-value</w:t>
            </w:r>
          </w:p>
        </w:tc>
      </w:tr>
      <w:tr w:rsidR="00486806" w:rsidRPr="00FA10AD" w14:paraId="0C9FA70E" w14:textId="77777777" w:rsidTr="00BA4A66">
        <w:tc>
          <w:tcPr>
            <w:tcW w:w="0" w:type="auto"/>
            <w:hideMark/>
          </w:tcPr>
          <w:p w14:paraId="01B9F8FD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Age group (ref: ≥25 years)</w:t>
            </w:r>
          </w:p>
        </w:tc>
        <w:tc>
          <w:tcPr>
            <w:tcW w:w="0" w:type="auto"/>
            <w:hideMark/>
          </w:tcPr>
          <w:p w14:paraId="5691BB61" w14:textId="77777777" w:rsidR="00486806" w:rsidRPr="00FA10AD" w:rsidRDefault="00486806" w:rsidP="00BA4A6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2FCE5E4B" w14:textId="77777777" w:rsidR="00486806" w:rsidRPr="00FA10AD" w:rsidRDefault="00486806" w:rsidP="00BA4A6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1B043CDD" w14:textId="77777777" w:rsidR="00486806" w:rsidRPr="00FA10AD" w:rsidRDefault="00486806" w:rsidP="00BA4A6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86806" w:rsidRPr="00FA10AD" w14:paraId="140E9EEF" w14:textId="77777777" w:rsidTr="00BA4A66">
        <w:tc>
          <w:tcPr>
            <w:tcW w:w="0" w:type="auto"/>
            <w:hideMark/>
          </w:tcPr>
          <w:p w14:paraId="63D88379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≤15 years (Children)</w:t>
            </w:r>
          </w:p>
        </w:tc>
        <w:tc>
          <w:tcPr>
            <w:tcW w:w="0" w:type="auto"/>
            <w:hideMark/>
          </w:tcPr>
          <w:p w14:paraId="0438AC6D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1.14</w:t>
            </w:r>
          </w:p>
        </w:tc>
        <w:tc>
          <w:tcPr>
            <w:tcW w:w="0" w:type="auto"/>
            <w:hideMark/>
          </w:tcPr>
          <w:p w14:paraId="0D3B818E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0.81 – 1.59</w:t>
            </w:r>
          </w:p>
        </w:tc>
        <w:tc>
          <w:tcPr>
            <w:tcW w:w="0" w:type="auto"/>
            <w:hideMark/>
          </w:tcPr>
          <w:p w14:paraId="3EE5E1A7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0.441</w:t>
            </w:r>
          </w:p>
        </w:tc>
      </w:tr>
      <w:tr w:rsidR="00486806" w:rsidRPr="00FA10AD" w14:paraId="1A823595" w14:textId="77777777" w:rsidTr="00BA4A66">
        <w:tc>
          <w:tcPr>
            <w:tcW w:w="0" w:type="auto"/>
            <w:hideMark/>
          </w:tcPr>
          <w:p w14:paraId="0FF3F372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16–19 years (Adolescents)</w:t>
            </w:r>
          </w:p>
        </w:tc>
        <w:tc>
          <w:tcPr>
            <w:tcW w:w="0" w:type="auto"/>
            <w:hideMark/>
          </w:tcPr>
          <w:p w14:paraId="1CCF0DDF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0.95</w:t>
            </w:r>
          </w:p>
        </w:tc>
        <w:tc>
          <w:tcPr>
            <w:tcW w:w="0" w:type="auto"/>
            <w:hideMark/>
          </w:tcPr>
          <w:p w14:paraId="4E53D2FE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0.60 – 1.49</w:t>
            </w:r>
          </w:p>
        </w:tc>
        <w:tc>
          <w:tcPr>
            <w:tcW w:w="0" w:type="auto"/>
            <w:hideMark/>
          </w:tcPr>
          <w:p w14:paraId="00D22FD9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0.811</w:t>
            </w:r>
          </w:p>
        </w:tc>
      </w:tr>
      <w:tr w:rsidR="00486806" w:rsidRPr="00FA10AD" w14:paraId="0C65FD67" w14:textId="77777777" w:rsidTr="00BA4A66">
        <w:tc>
          <w:tcPr>
            <w:tcW w:w="0" w:type="auto"/>
            <w:hideMark/>
          </w:tcPr>
          <w:p w14:paraId="104E4CE1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20–24 years (Young adults)</w:t>
            </w:r>
          </w:p>
        </w:tc>
        <w:tc>
          <w:tcPr>
            <w:tcW w:w="0" w:type="auto"/>
            <w:hideMark/>
          </w:tcPr>
          <w:p w14:paraId="26E8181D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1.11</w:t>
            </w:r>
          </w:p>
        </w:tc>
        <w:tc>
          <w:tcPr>
            <w:tcW w:w="0" w:type="auto"/>
            <w:hideMark/>
          </w:tcPr>
          <w:p w14:paraId="30F1CD7E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0.78 – 1.56</w:t>
            </w:r>
          </w:p>
        </w:tc>
        <w:tc>
          <w:tcPr>
            <w:tcW w:w="0" w:type="auto"/>
            <w:hideMark/>
          </w:tcPr>
          <w:p w14:paraId="47651867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0.568</w:t>
            </w:r>
          </w:p>
        </w:tc>
      </w:tr>
      <w:tr w:rsidR="00486806" w:rsidRPr="00302BA4" w14:paraId="49B6757B" w14:textId="77777777" w:rsidTr="00BA4A66">
        <w:tc>
          <w:tcPr>
            <w:tcW w:w="0" w:type="auto"/>
            <w:hideMark/>
          </w:tcPr>
          <w:p w14:paraId="3FB70946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Clinical diagnosis (ref: Anxiety disorder)</w:t>
            </w:r>
          </w:p>
        </w:tc>
        <w:tc>
          <w:tcPr>
            <w:tcW w:w="0" w:type="auto"/>
            <w:hideMark/>
          </w:tcPr>
          <w:p w14:paraId="6BEB8663" w14:textId="77777777" w:rsidR="00486806" w:rsidRPr="00FA10AD" w:rsidRDefault="00486806" w:rsidP="00BA4A6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458F7A80" w14:textId="77777777" w:rsidR="00486806" w:rsidRPr="00FA10AD" w:rsidRDefault="00486806" w:rsidP="00BA4A6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hideMark/>
          </w:tcPr>
          <w:p w14:paraId="2C5B6821" w14:textId="77777777" w:rsidR="00486806" w:rsidRPr="00FA10AD" w:rsidRDefault="00486806" w:rsidP="00BA4A6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86806" w:rsidRPr="00FA10AD" w14:paraId="7445871B" w14:textId="77777777" w:rsidTr="00BA4A66">
        <w:tc>
          <w:tcPr>
            <w:tcW w:w="0" w:type="auto"/>
            <w:hideMark/>
          </w:tcPr>
          <w:p w14:paraId="77C5D210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PTSD</w:t>
            </w:r>
          </w:p>
        </w:tc>
        <w:tc>
          <w:tcPr>
            <w:tcW w:w="0" w:type="auto"/>
            <w:hideMark/>
          </w:tcPr>
          <w:p w14:paraId="7B189C9B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0.53</w:t>
            </w:r>
          </w:p>
        </w:tc>
        <w:tc>
          <w:tcPr>
            <w:tcW w:w="0" w:type="auto"/>
            <w:hideMark/>
          </w:tcPr>
          <w:p w14:paraId="7A3CDC9E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0.33 – 0.84</w:t>
            </w:r>
          </w:p>
        </w:tc>
        <w:tc>
          <w:tcPr>
            <w:tcW w:w="0" w:type="auto"/>
            <w:hideMark/>
          </w:tcPr>
          <w:p w14:paraId="0BE89269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0.007</w:t>
            </w:r>
          </w:p>
        </w:tc>
      </w:tr>
      <w:tr w:rsidR="00486806" w:rsidRPr="00FA10AD" w14:paraId="7E8FFCC4" w14:textId="77777777" w:rsidTr="00BA4A66">
        <w:tc>
          <w:tcPr>
            <w:tcW w:w="0" w:type="auto"/>
            <w:hideMark/>
          </w:tcPr>
          <w:p w14:paraId="2A5D0328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Depression</w:t>
            </w:r>
          </w:p>
        </w:tc>
        <w:tc>
          <w:tcPr>
            <w:tcW w:w="0" w:type="auto"/>
            <w:hideMark/>
          </w:tcPr>
          <w:p w14:paraId="4D4EE22F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0.76</w:t>
            </w:r>
          </w:p>
        </w:tc>
        <w:tc>
          <w:tcPr>
            <w:tcW w:w="0" w:type="auto"/>
            <w:hideMark/>
          </w:tcPr>
          <w:p w14:paraId="6647F7F1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0.45 – 1.29</w:t>
            </w:r>
          </w:p>
        </w:tc>
        <w:tc>
          <w:tcPr>
            <w:tcW w:w="0" w:type="auto"/>
            <w:hideMark/>
          </w:tcPr>
          <w:p w14:paraId="71FFD4B4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0.307</w:t>
            </w:r>
          </w:p>
        </w:tc>
      </w:tr>
      <w:tr w:rsidR="00486806" w:rsidRPr="00FA10AD" w14:paraId="116614B8" w14:textId="77777777" w:rsidTr="00BA4A66">
        <w:tc>
          <w:tcPr>
            <w:tcW w:w="0" w:type="auto"/>
            <w:hideMark/>
          </w:tcPr>
          <w:p w14:paraId="74E0E34F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Other disorders</w:t>
            </w:r>
          </w:p>
        </w:tc>
        <w:tc>
          <w:tcPr>
            <w:tcW w:w="0" w:type="auto"/>
            <w:hideMark/>
          </w:tcPr>
          <w:p w14:paraId="727D547E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0.63</w:t>
            </w:r>
          </w:p>
        </w:tc>
        <w:tc>
          <w:tcPr>
            <w:tcW w:w="0" w:type="auto"/>
            <w:hideMark/>
          </w:tcPr>
          <w:p w14:paraId="4D1F5D49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0.37 – 1.07</w:t>
            </w:r>
          </w:p>
        </w:tc>
        <w:tc>
          <w:tcPr>
            <w:tcW w:w="0" w:type="auto"/>
            <w:hideMark/>
          </w:tcPr>
          <w:p w14:paraId="474A8892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0.089</w:t>
            </w:r>
          </w:p>
        </w:tc>
      </w:tr>
      <w:tr w:rsidR="00486806" w:rsidRPr="00302BA4" w14:paraId="5CF615FD" w14:textId="77777777" w:rsidTr="00BA4A66">
        <w:tc>
          <w:tcPr>
            <w:tcW w:w="0" w:type="auto"/>
          </w:tcPr>
          <w:p w14:paraId="14359BDB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Baseline CGI Severity (ref: Mild–Moderate)</w:t>
            </w:r>
          </w:p>
        </w:tc>
        <w:tc>
          <w:tcPr>
            <w:tcW w:w="0" w:type="auto"/>
          </w:tcPr>
          <w:p w14:paraId="67A8DF32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54877BAC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6CA04EA6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86806" w:rsidRPr="00FA10AD" w14:paraId="14F34D55" w14:textId="77777777" w:rsidTr="00BA4A66">
        <w:tc>
          <w:tcPr>
            <w:tcW w:w="0" w:type="auto"/>
          </w:tcPr>
          <w:p w14:paraId="67B66319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Severe</w:t>
            </w:r>
          </w:p>
        </w:tc>
        <w:tc>
          <w:tcPr>
            <w:tcW w:w="0" w:type="auto"/>
          </w:tcPr>
          <w:p w14:paraId="5B04AE44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1.01</w:t>
            </w:r>
          </w:p>
        </w:tc>
        <w:tc>
          <w:tcPr>
            <w:tcW w:w="0" w:type="auto"/>
          </w:tcPr>
          <w:p w14:paraId="5D9E4E07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0.81 – 1.27</w:t>
            </w:r>
          </w:p>
        </w:tc>
        <w:tc>
          <w:tcPr>
            <w:tcW w:w="0" w:type="auto"/>
          </w:tcPr>
          <w:p w14:paraId="1D244EE4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0.869</w:t>
            </w:r>
          </w:p>
        </w:tc>
      </w:tr>
      <w:tr w:rsidR="00486806" w:rsidRPr="00FA10AD" w14:paraId="42765B99" w14:textId="77777777" w:rsidTr="00BA4A66">
        <w:tc>
          <w:tcPr>
            <w:tcW w:w="0" w:type="auto"/>
            <w:gridSpan w:val="4"/>
          </w:tcPr>
          <w:p w14:paraId="54EA7AD0" w14:textId="77777777" w:rsidR="00486806" w:rsidRPr="00FA10AD" w:rsidRDefault="00486806" w:rsidP="00BA4A66">
            <w:pPr>
              <w:pStyle w:val="p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Cox proportional hazards regression model evaluating baseline predictors of time to first documented functional improvement according to MHGS scores. Time was defined as the cumulative number of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session</w:t>
            </w:r>
            <w:r w:rsidRPr="00FA10AD">
              <w:rPr>
                <w:rFonts w:ascii="Calibri" w:hAnsi="Calibri" w:cs="Calibri"/>
                <w:sz w:val="20"/>
                <w:szCs w:val="20"/>
                <w:lang w:val="en-GB"/>
              </w:rPr>
              <w:t>s until improvement. The model included age group, clinical diagnosis, and baseline CGI severity. Proportional hazards assumptions were assessed using Schoenfeld residuals and were satisfied for all covariates (global test p = 0.69). Overall model fit was evaluated using the likelihood ratio test (LR χ²(7) = 11.02, p = 0.14). HR = hazard ratio; MHGS = Mental Health Global State.</w:t>
            </w:r>
          </w:p>
        </w:tc>
      </w:tr>
    </w:tbl>
    <w:p w14:paraId="51A4D4D9" w14:textId="77777777" w:rsidR="00486806" w:rsidRPr="00FA10AD" w:rsidRDefault="00486806" w:rsidP="00486806">
      <w:pPr>
        <w:spacing w:after="240" w:line="276" w:lineRule="auto"/>
        <w:jc w:val="both"/>
        <w:rPr>
          <w:rFonts w:ascii="Calibri" w:hAnsi="Calibri" w:cs="Calibri"/>
          <w:color w:val="000000" w:themeColor="text1"/>
          <w:sz w:val="20"/>
          <w:szCs w:val="20"/>
          <w:lang w:val="en-GB"/>
        </w:rPr>
      </w:pPr>
    </w:p>
    <w:p w14:paraId="3B86619F" w14:textId="77777777" w:rsidR="00486806" w:rsidRPr="00FA10AD" w:rsidRDefault="00486806" w:rsidP="00486806">
      <w:pPr>
        <w:spacing w:after="240" w:line="360" w:lineRule="auto"/>
        <w:jc w:val="both"/>
        <w:rPr>
          <w:rFonts w:ascii="Calibri" w:hAnsi="Calibri" w:cs="Calibri"/>
          <w:noProof/>
          <w:color w:val="000000" w:themeColor="text1"/>
          <w:sz w:val="20"/>
          <w:szCs w:val="20"/>
          <w:lang w:val="en-GB"/>
        </w:rPr>
      </w:pPr>
    </w:p>
    <w:p w14:paraId="010E8BD5" w14:textId="77777777" w:rsidR="008B07A6" w:rsidRDefault="008B07A6"/>
    <w:sectPr w:rsidR="008B07A6" w:rsidSect="0048680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06"/>
    <w:rsid w:val="00066677"/>
    <w:rsid w:val="000F2FEA"/>
    <w:rsid w:val="003A4E89"/>
    <w:rsid w:val="00486806"/>
    <w:rsid w:val="00556784"/>
    <w:rsid w:val="008B07A6"/>
    <w:rsid w:val="00987B63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036DF"/>
  <w15:chartTrackingRefBased/>
  <w15:docId w15:val="{D047108F-8093-4482-9DFB-E45B2642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806"/>
    <w:pPr>
      <w:spacing w:after="0" w:line="240" w:lineRule="auto"/>
    </w:pPr>
    <w:rPr>
      <w:lang w:val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68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8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8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8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80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80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80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80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80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8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8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8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8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8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8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8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6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80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6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806"/>
    <w:pPr>
      <w:spacing w:before="160" w:after="160" w:line="278" w:lineRule="auto"/>
      <w:jc w:val="center"/>
    </w:pPr>
    <w:rPr>
      <w:i/>
      <w:iCs/>
      <w:color w:val="404040" w:themeColor="text1" w:themeTint="BF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68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806"/>
    <w:pPr>
      <w:spacing w:after="160" w:line="278" w:lineRule="auto"/>
      <w:ind w:left="720"/>
      <w:contextualSpacing/>
    </w:pPr>
    <w:rPr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68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8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80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48680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</w:rPr>
  </w:style>
  <w:style w:type="table" w:styleId="TableGrid">
    <w:name w:val="Table Grid"/>
    <w:basedOn w:val="TableNormal"/>
    <w:uiPriority w:val="39"/>
    <w:rsid w:val="00486806"/>
    <w:pPr>
      <w:spacing w:after="0" w:line="240" w:lineRule="auto"/>
    </w:pPr>
    <w:rPr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1409</Words>
  <Characters>8035</Characters>
  <Application>Microsoft Office Word</Application>
  <DocSecurity>0</DocSecurity>
  <Lines>66</Lines>
  <Paragraphs>18</Paragraphs>
  <ScaleCrop>false</ScaleCrop>
  <Company/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2026-06-03T14:30:00Z</dcterms:created>
  <dcterms:modified xsi:type="dcterms:W3CDTF">2026-06-03T14:31:00Z</dcterms:modified>
</cp:coreProperties>
</file>