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755D" w14:textId="77777777" w:rsidR="0035180B" w:rsidRPr="0035180B" w:rsidRDefault="0035180B" w:rsidP="0035180B">
      <w:pPr>
        <w:widowControl/>
        <w:shd w:val="clear" w:color="auto" w:fill="FFFFFF"/>
        <w:spacing w:before="480" w:after="240" w:line="510" w:lineRule="atLeast"/>
        <w:outlineLvl w:val="0"/>
        <w:rPr>
          <w:rFonts w:ascii="Times New Roman" w:eastAsia="宋体" w:hAnsi="Times New Roman" w:cs="Times New Roman"/>
          <w:b/>
          <w:bCs/>
          <w:color w:val="0F1115"/>
          <w:kern w:val="36"/>
          <w:sz w:val="36"/>
          <w:szCs w:val="36"/>
          <w14:ligatures w14:val="none"/>
        </w:rPr>
      </w:pPr>
      <w:r w:rsidRPr="0035180B">
        <w:rPr>
          <w:rFonts w:ascii="Times New Roman" w:eastAsia="宋体" w:hAnsi="Times New Roman" w:cs="Times New Roman"/>
          <w:b/>
          <w:bCs/>
          <w:color w:val="0F1115"/>
          <w:kern w:val="36"/>
          <w:sz w:val="36"/>
          <w:szCs w:val="36"/>
          <w14:ligatures w14:val="none"/>
        </w:rPr>
        <w:t>Statistical Analysis Plan</w:t>
      </w:r>
    </w:p>
    <w:p w14:paraId="7B3D290E"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b/>
          <w:bCs/>
          <w:color w:val="0F1115"/>
          <w:kern w:val="0"/>
          <w:sz w:val="24"/>
          <w14:ligatures w14:val="none"/>
        </w:rPr>
        <w:t>Study title:</w:t>
      </w:r>
      <w:r w:rsidRPr="0035180B">
        <w:rPr>
          <w:rFonts w:ascii="Times New Roman" w:eastAsia="宋体" w:hAnsi="Times New Roman" w:cs="Times New Roman"/>
          <w:color w:val="0F1115"/>
          <w:kern w:val="0"/>
          <w:sz w:val="24"/>
          <w14:ligatures w14:val="none"/>
        </w:rPr>
        <w:t> Mucosal and serum immune responses to an intranasal live attenuated influenza vaccine in children and adolescents aged 6-17 years: a single-center, randomized, open-label, controlled trial</w:t>
      </w:r>
    </w:p>
    <w:p w14:paraId="745CE7BB" w14:textId="5F50401A" w:rsidR="0035180B" w:rsidRPr="0035180B" w:rsidRDefault="001D5174"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1D5174">
        <w:rPr>
          <w:rFonts w:ascii="Times New Roman" w:eastAsia="宋体" w:hAnsi="Times New Roman" w:cs="Times New Roman" w:hint="eastAsia"/>
          <w:b/>
          <w:bCs/>
          <w:color w:val="0F1115"/>
          <w:kern w:val="0"/>
          <w:sz w:val="24"/>
          <w14:ligatures w14:val="none"/>
        </w:rPr>
        <w:t xml:space="preserve">ClinicalTrials.gov </w:t>
      </w:r>
      <w:r w:rsidR="0035180B" w:rsidRPr="0035180B">
        <w:rPr>
          <w:rFonts w:ascii="Times New Roman" w:eastAsia="宋体" w:hAnsi="Times New Roman" w:cs="Times New Roman"/>
          <w:b/>
          <w:bCs/>
          <w:color w:val="0F1115"/>
          <w:kern w:val="0"/>
          <w:sz w:val="24"/>
          <w14:ligatures w14:val="none"/>
        </w:rPr>
        <w:t>ID:</w:t>
      </w:r>
      <w:r w:rsidR="0035180B" w:rsidRPr="0035180B">
        <w:rPr>
          <w:rFonts w:ascii="Times New Roman" w:eastAsia="宋体" w:hAnsi="Times New Roman" w:cs="Times New Roman"/>
          <w:color w:val="0F1115"/>
          <w:kern w:val="0"/>
          <w:sz w:val="24"/>
          <w14:ligatures w14:val="none"/>
        </w:rPr>
        <w:t> NCT06609811</w:t>
      </w:r>
    </w:p>
    <w:p w14:paraId="2B32F5A2"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b/>
          <w:bCs/>
          <w:color w:val="0F1115"/>
          <w:kern w:val="0"/>
          <w:sz w:val="24"/>
          <w14:ligatures w14:val="none"/>
        </w:rPr>
        <w:t>SAP version:</w:t>
      </w:r>
      <w:r w:rsidRPr="0035180B">
        <w:rPr>
          <w:rFonts w:ascii="Times New Roman" w:eastAsia="宋体" w:hAnsi="Times New Roman" w:cs="Times New Roman"/>
          <w:color w:val="0F1115"/>
          <w:kern w:val="0"/>
          <w:sz w:val="24"/>
          <w14:ligatures w14:val="none"/>
        </w:rPr>
        <w:t> 1.0</w:t>
      </w:r>
    </w:p>
    <w:p w14:paraId="5D0615B3" w14:textId="163CAB34"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b/>
          <w:bCs/>
          <w:color w:val="0F1115"/>
          <w:kern w:val="0"/>
          <w:sz w:val="24"/>
          <w14:ligatures w14:val="none"/>
        </w:rPr>
        <w:t>SAP date:</w:t>
      </w:r>
      <w:r w:rsidRPr="0035180B">
        <w:rPr>
          <w:rFonts w:ascii="Times New Roman" w:eastAsia="宋体" w:hAnsi="Times New Roman" w:cs="Times New Roman"/>
          <w:color w:val="0F1115"/>
          <w:kern w:val="0"/>
          <w:sz w:val="24"/>
          <w14:ligatures w14:val="none"/>
        </w:rPr>
        <w:t> </w:t>
      </w:r>
      <w:r w:rsidR="00BF26D5">
        <w:rPr>
          <w:rFonts w:ascii="Times New Roman" w:eastAsia="宋体" w:hAnsi="Times New Roman" w:cs="Times New Roman" w:hint="eastAsia"/>
          <w:color w:val="0F1115"/>
          <w:kern w:val="0"/>
          <w:sz w:val="24"/>
          <w14:ligatures w14:val="none"/>
        </w:rPr>
        <w:t xml:space="preserve">January 10, </w:t>
      </w:r>
      <w:r w:rsidR="00B30730">
        <w:rPr>
          <w:rFonts w:ascii="Times New Roman" w:eastAsia="宋体" w:hAnsi="Times New Roman" w:cs="Times New Roman" w:hint="eastAsia"/>
          <w:color w:val="0F1115"/>
          <w:kern w:val="0"/>
          <w:sz w:val="24"/>
          <w14:ligatures w14:val="none"/>
        </w:rPr>
        <w:t>2025</w:t>
      </w:r>
    </w:p>
    <w:p w14:paraId="72CF0B9D"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1. Introduction</w:t>
      </w:r>
    </w:p>
    <w:p w14:paraId="0BFD6C2A"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This document describes the statistical analysis plan for the above-named trial. The analysis will be conducted following the completion of data collection and database lock. Any post-hoc analyses or deviations from this plan will be clearly indicated in the final study report and manuscript.</w:t>
      </w:r>
    </w:p>
    <w:p w14:paraId="142B50EA"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2. Study design</w:t>
      </w:r>
    </w:p>
    <w:p w14:paraId="0A18FD4B" w14:textId="1456F064" w:rsidR="0035180B" w:rsidRPr="0035180B" w:rsidRDefault="0035180B" w:rsidP="00BD284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This is a single-center, randomized, open-label, controlled trial. Eligible participants are healthy children and adolescents aged 6-17 years. Participants are stratified by age (6-11 years vs. 12-17 years) and then randomly assigned in a 1:1 ratio to one of two groups</w:t>
      </w:r>
      <w:r w:rsidR="00BD284B">
        <w:rPr>
          <w:rFonts w:ascii="Times New Roman" w:eastAsia="宋体" w:hAnsi="Times New Roman" w:cs="Times New Roman" w:hint="eastAsia"/>
          <w:color w:val="0F1115"/>
          <w:kern w:val="0"/>
          <w:sz w:val="24"/>
          <w14:ligatures w14:val="none"/>
        </w:rPr>
        <w:t xml:space="preserve">. </w:t>
      </w:r>
      <w:r w:rsidRPr="0035180B">
        <w:rPr>
          <w:rFonts w:ascii="Times New Roman" w:eastAsia="宋体" w:hAnsi="Times New Roman" w:cs="Times New Roman"/>
          <w:color w:val="0F1115"/>
          <w:kern w:val="0"/>
          <w:sz w:val="24"/>
          <w14:ligatures w14:val="none"/>
        </w:rPr>
        <w:t>Immediate vaccination group (IV): receives one dose of intranasal live attenuated influenza vaccine (LAIV) at baseline.</w:t>
      </w:r>
      <w:r w:rsidR="00BD284B">
        <w:rPr>
          <w:rFonts w:ascii="Times New Roman" w:eastAsia="宋体" w:hAnsi="Times New Roman" w:cs="Times New Roman" w:hint="eastAsia"/>
          <w:color w:val="0F1115"/>
          <w:kern w:val="0"/>
          <w:sz w:val="24"/>
          <w14:ligatures w14:val="none"/>
        </w:rPr>
        <w:t xml:space="preserve"> </w:t>
      </w:r>
      <w:r w:rsidRPr="0035180B">
        <w:rPr>
          <w:rFonts w:ascii="Times New Roman" w:eastAsia="宋体" w:hAnsi="Times New Roman" w:cs="Times New Roman"/>
          <w:color w:val="0F1115"/>
          <w:kern w:val="0"/>
          <w:sz w:val="24"/>
          <w14:ligatures w14:val="none"/>
        </w:rPr>
        <w:t>Delayed vaccination group (DV): receives one dose of LAIV four weeks after baseline.</w:t>
      </w:r>
    </w:p>
    <w:p w14:paraId="7BB9EB67"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During the first 28 days, the DV group serves as an unvaccinated control. After the day-28 assessments, participants in the DV group receive LAIV. Only data from the first 28 days are used for the primary and secondary efficacy comparisons.</w:t>
      </w:r>
    </w:p>
    <w:p w14:paraId="2688C15C"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3. Objectives and endpoints</w:t>
      </w:r>
    </w:p>
    <w:p w14:paraId="676EB279"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lastRenderedPageBreak/>
        <w:t xml:space="preserve">The primary objective is to evaluate the mucosal </w:t>
      </w:r>
      <w:proofErr w:type="spellStart"/>
      <w:r w:rsidRPr="0035180B">
        <w:rPr>
          <w:rFonts w:ascii="Times New Roman" w:eastAsia="宋体" w:hAnsi="Times New Roman" w:cs="Times New Roman"/>
          <w:color w:val="0F1115"/>
          <w:kern w:val="0"/>
          <w:sz w:val="24"/>
          <w14:ligatures w14:val="none"/>
        </w:rPr>
        <w:t>sIgA</w:t>
      </w:r>
      <w:proofErr w:type="spellEnd"/>
      <w:r w:rsidRPr="0035180B">
        <w:rPr>
          <w:rFonts w:ascii="Times New Roman" w:eastAsia="宋体" w:hAnsi="Times New Roman" w:cs="Times New Roman"/>
          <w:color w:val="0F1115"/>
          <w:kern w:val="0"/>
          <w:sz w:val="24"/>
          <w14:ligatures w14:val="none"/>
        </w:rPr>
        <w:t xml:space="preserve"> response induced by LAIV. The primary endpoint is the nasal mucosal </w:t>
      </w:r>
      <w:proofErr w:type="spellStart"/>
      <w:r w:rsidRPr="0035180B">
        <w:rPr>
          <w:rFonts w:ascii="Times New Roman" w:eastAsia="宋体" w:hAnsi="Times New Roman" w:cs="Times New Roman"/>
          <w:color w:val="0F1115"/>
          <w:kern w:val="0"/>
          <w:sz w:val="24"/>
          <w14:ligatures w14:val="none"/>
        </w:rPr>
        <w:t>sIgA</w:t>
      </w:r>
      <w:proofErr w:type="spellEnd"/>
      <w:r w:rsidRPr="0035180B">
        <w:rPr>
          <w:rFonts w:ascii="Times New Roman" w:eastAsia="宋体" w:hAnsi="Times New Roman" w:cs="Times New Roman"/>
          <w:color w:val="0F1115"/>
          <w:kern w:val="0"/>
          <w:sz w:val="24"/>
          <w14:ligatures w14:val="none"/>
        </w:rPr>
        <w:t xml:space="preserve"> concentration against each of the three vaccine strains (H1N1, H3N2, B/Victoria) measured at day 28 post-vaccination.</w:t>
      </w:r>
    </w:p>
    <w:p w14:paraId="1CC1B3CF"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Secondary objectives include evaluating serum HI antibody responses and safety. The secondary immunogenicity endpoint is the serum HI titer against each vaccine strain at day 28. The safety endpoint is the incidence of adverse reactions within 28 days after vaccination.</w:t>
      </w:r>
    </w:p>
    <w:p w14:paraId="4E1BDC99"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Exploratory objectives focus on mucosal cellular immunity. Exploratory endpoints are the number of IFN-γ secreting cells per 10⁶ nasal epithelial cells in response to influenza peptide pools (ELISpot), and the frequencies of activated CD4⁺ and CD8⁺ T-cell subsets in nasal mucosal epithelial cells measured by flow cytometry, both at day 28.</w:t>
      </w:r>
    </w:p>
    <w:p w14:paraId="1DEAAF9A"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4. Sample size</w:t>
      </w:r>
    </w:p>
    <w:p w14:paraId="4F5F6E80"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 xml:space="preserve">Sample size was calculated using PASS version 16, based on the primary endpoint of mucosal </w:t>
      </w:r>
      <w:proofErr w:type="spellStart"/>
      <w:r w:rsidRPr="0035180B">
        <w:rPr>
          <w:rFonts w:ascii="Times New Roman" w:eastAsia="宋体" w:hAnsi="Times New Roman" w:cs="Times New Roman"/>
          <w:color w:val="0F1115"/>
          <w:kern w:val="0"/>
          <w:sz w:val="24"/>
          <w14:ligatures w14:val="none"/>
        </w:rPr>
        <w:t>sIgA</w:t>
      </w:r>
      <w:proofErr w:type="spellEnd"/>
      <w:r w:rsidRPr="0035180B">
        <w:rPr>
          <w:rFonts w:ascii="Times New Roman" w:eastAsia="宋体" w:hAnsi="Times New Roman" w:cs="Times New Roman"/>
          <w:color w:val="0F1115"/>
          <w:kern w:val="0"/>
          <w:sz w:val="24"/>
          <w14:ligatures w14:val="none"/>
        </w:rPr>
        <w:t>. We assumed a 1.5-fold increase from baseline to day 28 in the IV group, with a coefficient of variation of 1.0. Under the null hypothesis of a fold change of 1.0 (no difference between IV and DV), a two-sided alpha of 0.05, and 90% power, 90 participants per group are required. Accounting for an anticipated 10% dropout rate, the total sample size is set to 200 participants (100 per group). The actual enrollment target is therefore 200.</w:t>
      </w:r>
    </w:p>
    <w:p w14:paraId="1B1F1040"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5. Analysis populations</w:t>
      </w:r>
    </w:p>
    <w:p w14:paraId="11BF225F"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Three analysis populations are defined:</w:t>
      </w:r>
    </w:p>
    <w:p w14:paraId="6C96560C" w14:textId="77777777" w:rsidR="0035180B" w:rsidRPr="0035180B" w:rsidRDefault="0035180B" w:rsidP="001F11AC">
      <w:pPr>
        <w:widowControl/>
        <w:shd w:val="clear" w:color="auto" w:fill="FFFFFF"/>
        <w:spacing w:after="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Full analysis set (FAS): all randomized participants who received LAIV (IV group) or completed the 28-day control period without vaccination (DV group). The FAS will be used for the primary and secondary immunogenicity analyses.</w:t>
      </w:r>
    </w:p>
    <w:p w14:paraId="5E700BC2" w14:textId="77777777" w:rsidR="0035180B" w:rsidRPr="0035180B" w:rsidRDefault="0035180B" w:rsidP="001F11AC">
      <w:pPr>
        <w:widowControl/>
        <w:shd w:val="clear" w:color="auto" w:fill="FFFFFF"/>
        <w:spacing w:after="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lastRenderedPageBreak/>
        <w:t>Per-protocol set (PPS): participants in the FAS who have no major protocol violations (e.g., receipt of prohibited medication, major deviation from the visit window). The PPS will be used for sensitivity analyses of the primary endpoint.</w:t>
      </w:r>
    </w:p>
    <w:p w14:paraId="0B8005FE" w14:textId="77777777" w:rsidR="0035180B" w:rsidRPr="0035180B" w:rsidRDefault="0035180B" w:rsidP="001F11AC">
      <w:pPr>
        <w:widowControl/>
        <w:shd w:val="clear" w:color="auto" w:fill="FFFFFF"/>
        <w:spacing w:after="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Safety set: all participants who receive LAIV (IV group at baseline, plus DV group at week 4). The safety set will be used for all safety analyses.</w:t>
      </w:r>
    </w:p>
    <w:p w14:paraId="4972A60F"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6. Statistical methods</w:t>
      </w:r>
    </w:p>
    <w:p w14:paraId="4E595D8C" w14:textId="072A19DB"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bookmarkStart w:id="0" w:name="OLE_LINK1"/>
      <w:r w:rsidRPr="0035180B">
        <w:rPr>
          <w:rFonts w:ascii="Times New Roman" w:eastAsia="宋体" w:hAnsi="Times New Roman" w:cs="Times New Roman"/>
          <w:color w:val="0F1115"/>
          <w:kern w:val="0"/>
          <w:sz w:val="24"/>
          <w14:ligatures w14:val="none"/>
        </w:rPr>
        <w:t xml:space="preserve">All statistical tests will be two-sided, with a significance level of 0.05. For </w:t>
      </w:r>
      <w:r w:rsidR="00BE7CB2" w:rsidRPr="00E11A44">
        <w:rPr>
          <w:rFonts w:ascii="Times New Roman" w:hAnsi="Times New Roman" w:cs="Times New Roman"/>
          <w:sz w:val="24"/>
        </w:rPr>
        <w:t>multiple comparisons</w:t>
      </w:r>
      <w:r w:rsidRPr="0035180B">
        <w:rPr>
          <w:rFonts w:ascii="Times New Roman" w:eastAsia="宋体" w:hAnsi="Times New Roman" w:cs="Times New Roman"/>
          <w:color w:val="0F1115"/>
          <w:kern w:val="0"/>
          <w:sz w:val="24"/>
          <w14:ligatures w14:val="none"/>
        </w:rPr>
        <w:t xml:space="preserve">, Bonferroni correction will be applied </w:t>
      </w:r>
      <w:r w:rsidR="00BE7CB2" w:rsidRPr="00E11A44">
        <w:rPr>
          <w:rFonts w:ascii="Times New Roman" w:hAnsi="Times New Roman" w:cs="Times New Roman"/>
          <w:sz w:val="24"/>
        </w:rPr>
        <w:t>to control the familywise error rate</w:t>
      </w:r>
      <w:r w:rsidRPr="0035180B">
        <w:rPr>
          <w:rFonts w:ascii="Times New Roman" w:eastAsia="宋体" w:hAnsi="Times New Roman" w:cs="Times New Roman"/>
          <w:color w:val="0F1115"/>
          <w:kern w:val="0"/>
          <w:sz w:val="24"/>
          <w14:ligatures w14:val="none"/>
        </w:rPr>
        <w:t>. No interim analysis is planned.</w:t>
      </w:r>
    </w:p>
    <w:p w14:paraId="5566A45E" w14:textId="3DB69E4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 xml:space="preserve">For the primary endpoint, nasal mucosal </w:t>
      </w:r>
      <w:proofErr w:type="spellStart"/>
      <w:r w:rsidRPr="0035180B">
        <w:rPr>
          <w:rFonts w:ascii="Times New Roman" w:eastAsia="宋体" w:hAnsi="Times New Roman" w:cs="Times New Roman"/>
          <w:color w:val="0F1115"/>
          <w:kern w:val="0"/>
          <w:sz w:val="24"/>
          <w14:ligatures w14:val="none"/>
        </w:rPr>
        <w:t>sIgA</w:t>
      </w:r>
      <w:proofErr w:type="spellEnd"/>
      <w:r w:rsidRPr="0035180B">
        <w:rPr>
          <w:rFonts w:ascii="Times New Roman" w:eastAsia="宋体" w:hAnsi="Times New Roman" w:cs="Times New Roman"/>
          <w:color w:val="0F1115"/>
          <w:kern w:val="0"/>
          <w:sz w:val="24"/>
          <w14:ligatures w14:val="none"/>
        </w:rPr>
        <w:t xml:space="preserve"> geometric mean concentrations against each vaccine strain at day 28 post-vaccination, within-group changes from baseline to day 28 will be analyzed using </w:t>
      </w:r>
      <w:r w:rsidR="00E347A5" w:rsidRPr="00C47AEF">
        <w:rPr>
          <w:rFonts w:ascii="Times New Roman" w:eastAsia="宋体" w:hAnsi="Times New Roman" w:cs="Times New Roman" w:hint="eastAsia"/>
          <w:color w:val="0F1115"/>
          <w:kern w:val="0"/>
          <w:sz w:val="24"/>
          <w14:ligatures w14:val="none"/>
        </w:rPr>
        <w:t>ANOVA</w:t>
      </w:r>
      <w:r w:rsidR="00E347A5" w:rsidRPr="00C47AEF">
        <w:rPr>
          <w:rFonts w:ascii="Times New Roman" w:eastAsia="宋体" w:hAnsi="Times New Roman" w:cs="Times New Roman"/>
          <w:color w:val="0F1115"/>
          <w:kern w:val="0"/>
          <w:sz w:val="24"/>
          <w14:ligatures w14:val="none"/>
        </w:rPr>
        <w:t xml:space="preserve"> </w:t>
      </w:r>
      <w:r w:rsidR="00E347A5">
        <w:rPr>
          <w:rFonts w:ascii="Times New Roman" w:eastAsia="宋体" w:hAnsi="Times New Roman" w:cs="Times New Roman" w:hint="eastAsia"/>
          <w:color w:val="0F1115"/>
          <w:kern w:val="0"/>
          <w:sz w:val="24"/>
          <w14:ligatures w14:val="none"/>
        </w:rPr>
        <w:t>or</w:t>
      </w:r>
      <w:r w:rsidR="00E347A5" w:rsidRPr="0035180B">
        <w:rPr>
          <w:rFonts w:ascii="Times New Roman" w:eastAsia="宋体" w:hAnsi="Times New Roman" w:cs="Times New Roman"/>
          <w:color w:val="0F1115"/>
          <w:kern w:val="0"/>
          <w:sz w:val="24"/>
          <w14:ligatures w14:val="none"/>
        </w:rPr>
        <w:t xml:space="preserve"> </w:t>
      </w:r>
      <w:r w:rsidRPr="0035180B">
        <w:rPr>
          <w:rFonts w:ascii="Times New Roman" w:eastAsia="宋体" w:hAnsi="Times New Roman" w:cs="Times New Roman"/>
          <w:color w:val="0F1115"/>
          <w:kern w:val="0"/>
          <w:sz w:val="24"/>
          <w14:ligatures w14:val="none"/>
        </w:rPr>
        <w:t xml:space="preserve">the Wilcoxon signed-rank test, and between-group comparisons (immediate vaccination group vs. delayed vaccination group at day 28) will be performed using </w:t>
      </w:r>
      <w:r w:rsidR="00C47AEF" w:rsidRPr="00C47AEF">
        <w:rPr>
          <w:rFonts w:ascii="Times New Roman" w:eastAsia="宋体" w:hAnsi="Times New Roman" w:cs="Times New Roman" w:hint="eastAsia"/>
          <w:color w:val="0F1115"/>
          <w:kern w:val="0"/>
          <w:sz w:val="24"/>
          <w14:ligatures w14:val="none"/>
        </w:rPr>
        <w:t>ANOVA</w:t>
      </w:r>
      <w:r w:rsidR="00C47AEF" w:rsidRPr="00C47AEF">
        <w:rPr>
          <w:rFonts w:ascii="Times New Roman" w:eastAsia="宋体" w:hAnsi="Times New Roman" w:cs="Times New Roman"/>
          <w:color w:val="0F1115"/>
          <w:kern w:val="0"/>
          <w:sz w:val="24"/>
          <w14:ligatures w14:val="none"/>
        </w:rPr>
        <w:t xml:space="preserve"> </w:t>
      </w:r>
      <w:r w:rsidR="00C47AEF">
        <w:rPr>
          <w:rFonts w:ascii="Times New Roman" w:eastAsia="宋体" w:hAnsi="Times New Roman" w:cs="Times New Roman" w:hint="eastAsia"/>
          <w:color w:val="0F1115"/>
          <w:kern w:val="0"/>
          <w:sz w:val="24"/>
          <w14:ligatures w14:val="none"/>
        </w:rPr>
        <w:t xml:space="preserve">or </w:t>
      </w:r>
      <w:r w:rsidRPr="0035180B">
        <w:rPr>
          <w:rFonts w:ascii="Times New Roman" w:eastAsia="宋体" w:hAnsi="Times New Roman" w:cs="Times New Roman"/>
          <w:color w:val="0F1115"/>
          <w:kern w:val="0"/>
          <w:sz w:val="24"/>
          <w14:ligatures w14:val="none"/>
        </w:rPr>
        <w:t>the Wilcoxon rank-sum test. The same methods will be applied to the secondary immunogenicity endpoint of serum HI geometric mean titers.</w:t>
      </w:r>
    </w:p>
    <w:p w14:paraId="5DBC8230"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 xml:space="preserve">For the secondary safety endpoint, the incidence of adverse reactions within 28 days post-vaccination will be compared between groups using the χ² test, with Fisher's exact test substituted when any expected cell count is less than five. The standardized </w:t>
      </w:r>
      <w:proofErr w:type="spellStart"/>
      <w:r w:rsidRPr="0035180B">
        <w:rPr>
          <w:rFonts w:ascii="Times New Roman" w:eastAsia="宋体" w:hAnsi="Times New Roman" w:cs="Times New Roman"/>
          <w:color w:val="0F1115"/>
          <w:kern w:val="0"/>
          <w:sz w:val="24"/>
          <w14:ligatures w14:val="none"/>
        </w:rPr>
        <w:t>sIgA</w:t>
      </w:r>
      <w:proofErr w:type="spellEnd"/>
      <w:r w:rsidRPr="0035180B">
        <w:rPr>
          <w:rFonts w:ascii="Times New Roman" w:eastAsia="宋体" w:hAnsi="Times New Roman" w:cs="Times New Roman"/>
          <w:color w:val="0F1115"/>
          <w:kern w:val="0"/>
          <w:sz w:val="24"/>
          <w14:ligatures w14:val="none"/>
        </w:rPr>
        <w:t xml:space="preserve"> response rate (proportion of responders) will be analyzed using the same categorical methods.</w:t>
      </w:r>
    </w:p>
    <w:p w14:paraId="23DB55B0" w14:textId="60ACCFB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 xml:space="preserve">For the exploratory endpoints, the number of IFN-γ secreting cells per 10⁶ nasal epithelial cells (ELISpot) and the frequencies of activated CD4⁺ and CD8⁺ T-cell subsets among nasal lymphocytes (flow cytometry) will be summarized as medians with interquartile ranges. Between-group comparisons will use the Wilcoxon rank-sum test, and within-group changes from baseline to day 28 (if baseline measurements are available) will use the Wilcoxon signed-rank test. </w:t>
      </w:r>
      <w:bookmarkEnd w:id="0"/>
    </w:p>
    <w:p w14:paraId="30730A25"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lastRenderedPageBreak/>
        <w:t>7. Handling of missing data</w:t>
      </w:r>
    </w:p>
    <w:p w14:paraId="4858F2AD" w14:textId="1E23E095" w:rsidR="0035180B" w:rsidRPr="0035180B" w:rsidRDefault="0091309E"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91309E">
        <w:rPr>
          <w:rFonts w:ascii="Times New Roman" w:eastAsia="宋体" w:hAnsi="Times New Roman" w:cs="Times New Roman" w:hint="eastAsia"/>
          <w:color w:val="0F1115"/>
          <w:kern w:val="0"/>
          <w:sz w:val="24"/>
          <w14:ligatures w14:val="none"/>
        </w:rPr>
        <w:t xml:space="preserve">For the primary and secondary immunogenicity endpoints, participants with missing measurements will be excluded from the corresponding analysis. </w:t>
      </w:r>
      <w:r w:rsidR="0035180B" w:rsidRPr="0035180B">
        <w:rPr>
          <w:rFonts w:ascii="Times New Roman" w:eastAsia="宋体" w:hAnsi="Times New Roman" w:cs="Times New Roman"/>
          <w:color w:val="0F1115"/>
          <w:kern w:val="0"/>
          <w:sz w:val="24"/>
          <w14:ligatures w14:val="none"/>
        </w:rPr>
        <w:t>The dropout rate will be reported, and the baseline characteristics of participants who complete versus drop out will be compared descriptively to assess potential bias.</w:t>
      </w:r>
    </w:p>
    <w:p w14:paraId="1762AA65"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For the safety analysis, all participants who receive LAIV and have any follow-up data will be included. Adverse reactions will be summarized without imputation for missing data.</w:t>
      </w:r>
    </w:p>
    <w:p w14:paraId="3F2FAC79"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8. Subgroup analyses</w:t>
      </w:r>
    </w:p>
    <w:p w14:paraId="22F8783F" w14:textId="36714A9D"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The pre-specified subgroup for analysis is age group (6-11 years vs. 12-17 years)</w:t>
      </w:r>
      <w:r w:rsidR="00275CF4">
        <w:rPr>
          <w:rFonts w:ascii="Times New Roman" w:eastAsia="宋体" w:hAnsi="Times New Roman" w:cs="Times New Roman" w:hint="eastAsia"/>
          <w:color w:val="0F1115"/>
          <w:kern w:val="0"/>
          <w:sz w:val="24"/>
          <w14:ligatures w14:val="none"/>
        </w:rPr>
        <w:t xml:space="preserve"> and i</w:t>
      </w:r>
      <w:r w:rsidR="00275CF4" w:rsidRPr="00275CF4">
        <w:rPr>
          <w:rFonts w:ascii="Times New Roman" w:eastAsia="宋体" w:hAnsi="Times New Roman" w:cs="Times New Roman" w:hint="eastAsia"/>
          <w:color w:val="0F1115"/>
          <w:kern w:val="0"/>
          <w:sz w:val="24"/>
          <w14:ligatures w14:val="none"/>
        </w:rPr>
        <w:t>nfluenza vaccination history</w:t>
      </w:r>
      <w:r w:rsidR="00527BFA">
        <w:rPr>
          <w:rFonts w:ascii="Times New Roman" w:eastAsia="宋体" w:hAnsi="Times New Roman" w:cs="Times New Roman" w:hint="eastAsia"/>
          <w:color w:val="0F1115"/>
          <w:kern w:val="0"/>
          <w:sz w:val="24"/>
          <w14:ligatures w14:val="none"/>
        </w:rPr>
        <w:t xml:space="preserve"> (with</w:t>
      </w:r>
      <w:r w:rsidR="00527BFA" w:rsidRPr="0035180B">
        <w:rPr>
          <w:rFonts w:ascii="Times New Roman" w:eastAsia="宋体" w:hAnsi="Times New Roman" w:cs="Times New Roman"/>
          <w:color w:val="0F1115"/>
          <w:kern w:val="0"/>
          <w:sz w:val="24"/>
          <w14:ligatures w14:val="none"/>
        </w:rPr>
        <w:t xml:space="preserve"> vs. </w:t>
      </w:r>
      <w:r w:rsidR="00527BFA">
        <w:rPr>
          <w:rFonts w:ascii="Times New Roman" w:eastAsia="宋体" w:hAnsi="Times New Roman" w:cs="Times New Roman" w:hint="eastAsia"/>
          <w:color w:val="0F1115"/>
          <w:kern w:val="0"/>
          <w:sz w:val="24"/>
          <w14:ligatures w14:val="none"/>
        </w:rPr>
        <w:t>without</w:t>
      </w:r>
      <w:r w:rsidR="00527BFA" w:rsidRPr="0035180B">
        <w:rPr>
          <w:rFonts w:ascii="Times New Roman" w:eastAsia="宋体" w:hAnsi="Times New Roman" w:cs="Times New Roman"/>
          <w:color w:val="0F1115"/>
          <w:kern w:val="0"/>
          <w:sz w:val="24"/>
          <w14:ligatures w14:val="none"/>
        </w:rPr>
        <w:t>)</w:t>
      </w:r>
      <w:r w:rsidRPr="0035180B">
        <w:rPr>
          <w:rFonts w:ascii="Times New Roman" w:eastAsia="宋体" w:hAnsi="Times New Roman" w:cs="Times New Roman"/>
          <w:color w:val="0F1115"/>
          <w:kern w:val="0"/>
          <w:sz w:val="24"/>
          <w14:ligatures w14:val="none"/>
        </w:rPr>
        <w:t xml:space="preserve">. For each endpoint, the treatment effect (IV vs. DV) will be estimated separately within each age subgroup using the same tests as described above. </w:t>
      </w:r>
      <w:r w:rsidR="00151ACE">
        <w:rPr>
          <w:rFonts w:ascii="Times New Roman" w:eastAsia="宋体" w:hAnsi="Times New Roman" w:cs="Times New Roman" w:hint="eastAsia"/>
          <w:color w:val="0F1115"/>
          <w:kern w:val="0"/>
          <w:sz w:val="24"/>
          <w14:ligatures w14:val="none"/>
        </w:rPr>
        <w:t>S</w:t>
      </w:r>
      <w:r w:rsidRPr="0035180B">
        <w:rPr>
          <w:rFonts w:ascii="Times New Roman" w:eastAsia="宋体" w:hAnsi="Times New Roman" w:cs="Times New Roman"/>
          <w:color w:val="0F1115"/>
          <w:kern w:val="0"/>
          <w:sz w:val="24"/>
          <w14:ligatures w14:val="none"/>
        </w:rPr>
        <w:t>ubgroup findings will be interpreted descriptively.</w:t>
      </w:r>
    </w:p>
    <w:p w14:paraId="3129DE02"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9. Software</w:t>
      </w:r>
    </w:p>
    <w:p w14:paraId="2E36B364" w14:textId="77777777" w:rsidR="0035180B" w:rsidRPr="0035180B" w:rsidRDefault="0035180B" w:rsidP="0035180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All statistical analyses will be performed using R version 4.4.3. Selected descriptive figures and tables may be generated using GraphPad Prism version 10.1.2 for presentation purposes.</w:t>
      </w:r>
    </w:p>
    <w:p w14:paraId="038CD3CE" w14:textId="77777777" w:rsidR="0035180B" w:rsidRPr="0035180B" w:rsidRDefault="0035180B" w:rsidP="0035180B">
      <w:pPr>
        <w:widowControl/>
        <w:shd w:val="clear" w:color="auto" w:fill="FFFFFF"/>
        <w:spacing w:before="480" w:after="240" w:line="480" w:lineRule="atLeast"/>
        <w:outlineLvl w:val="1"/>
        <w:rPr>
          <w:rFonts w:ascii="Times New Roman" w:eastAsia="宋体" w:hAnsi="Times New Roman" w:cs="Times New Roman"/>
          <w:b/>
          <w:bCs/>
          <w:color w:val="0F1115"/>
          <w:kern w:val="0"/>
          <w:sz w:val="33"/>
          <w:szCs w:val="33"/>
          <w14:ligatures w14:val="none"/>
        </w:rPr>
      </w:pPr>
      <w:r w:rsidRPr="0035180B">
        <w:rPr>
          <w:rFonts w:ascii="Times New Roman" w:eastAsia="宋体" w:hAnsi="Times New Roman" w:cs="Times New Roman"/>
          <w:b/>
          <w:bCs/>
          <w:color w:val="0F1115"/>
          <w:kern w:val="0"/>
          <w:sz w:val="33"/>
          <w:szCs w:val="33"/>
          <w14:ligatures w14:val="none"/>
        </w:rPr>
        <w:t>10. Amendments to the SAP</w:t>
      </w:r>
    </w:p>
    <w:p w14:paraId="5DF87F38" w14:textId="066B0886" w:rsidR="00694BD5" w:rsidRPr="0050222B" w:rsidRDefault="0035180B" w:rsidP="0050222B">
      <w:pPr>
        <w:widowControl/>
        <w:shd w:val="clear" w:color="auto" w:fill="FFFFFF"/>
        <w:spacing w:before="240" w:after="240" w:line="420" w:lineRule="atLeast"/>
        <w:rPr>
          <w:rFonts w:ascii="Times New Roman" w:eastAsia="宋体" w:hAnsi="Times New Roman" w:cs="Times New Roman"/>
          <w:color w:val="0F1115"/>
          <w:kern w:val="0"/>
          <w:sz w:val="24"/>
          <w14:ligatures w14:val="none"/>
        </w:rPr>
      </w:pPr>
      <w:r w:rsidRPr="0035180B">
        <w:rPr>
          <w:rFonts w:ascii="Times New Roman" w:eastAsia="宋体" w:hAnsi="Times New Roman" w:cs="Times New Roman"/>
          <w:color w:val="0F1115"/>
          <w:kern w:val="0"/>
          <w:sz w:val="24"/>
          <w14:ligatures w14:val="none"/>
        </w:rPr>
        <w:t>Any amendments to this SAP made after the database lock will be documented, including the reason for the change, and will be explicitly noted as post-hoc in the final study report and manuscript.</w:t>
      </w:r>
    </w:p>
    <w:sectPr w:rsidR="00694BD5" w:rsidRPr="005022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A20A4"/>
    <w:multiLevelType w:val="multilevel"/>
    <w:tmpl w:val="B212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005BA"/>
    <w:multiLevelType w:val="multilevel"/>
    <w:tmpl w:val="C326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D860B9"/>
    <w:multiLevelType w:val="multilevel"/>
    <w:tmpl w:val="DF62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E3175D"/>
    <w:multiLevelType w:val="multilevel"/>
    <w:tmpl w:val="FD485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839356">
    <w:abstractNumId w:val="3"/>
  </w:num>
  <w:num w:numId="2" w16cid:durableId="1768114487">
    <w:abstractNumId w:val="1"/>
  </w:num>
  <w:num w:numId="3" w16cid:durableId="1574272500">
    <w:abstractNumId w:val="0"/>
  </w:num>
  <w:num w:numId="4" w16cid:durableId="603658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D5"/>
    <w:rsid w:val="00151ACE"/>
    <w:rsid w:val="00185C79"/>
    <w:rsid w:val="001D5174"/>
    <w:rsid w:val="001F11AC"/>
    <w:rsid w:val="00275CF4"/>
    <w:rsid w:val="0035180B"/>
    <w:rsid w:val="00423205"/>
    <w:rsid w:val="00455BCD"/>
    <w:rsid w:val="004E4121"/>
    <w:rsid w:val="0050222B"/>
    <w:rsid w:val="00527BFA"/>
    <w:rsid w:val="00540607"/>
    <w:rsid w:val="0055273A"/>
    <w:rsid w:val="00606D7C"/>
    <w:rsid w:val="00694BD5"/>
    <w:rsid w:val="006B1AD7"/>
    <w:rsid w:val="007171F6"/>
    <w:rsid w:val="008746FC"/>
    <w:rsid w:val="0091309E"/>
    <w:rsid w:val="00913914"/>
    <w:rsid w:val="009175E2"/>
    <w:rsid w:val="009B39EA"/>
    <w:rsid w:val="00A86536"/>
    <w:rsid w:val="00AA5042"/>
    <w:rsid w:val="00AD389E"/>
    <w:rsid w:val="00B30730"/>
    <w:rsid w:val="00B925CF"/>
    <w:rsid w:val="00BC5CA6"/>
    <w:rsid w:val="00BD284B"/>
    <w:rsid w:val="00BE7CB2"/>
    <w:rsid w:val="00BF26D5"/>
    <w:rsid w:val="00C14745"/>
    <w:rsid w:val="00C47AEF"/>
    <w:rsid w:val="00C616B2"/>
    <w:rsid w:val="00C66055"/>
    <w:rsid w:val="00CF7615"/>
    <w:rsid w:val="00D2161C"/>
    <w:rsid w:val="00E347A5"/>
    <w:rsid w:val="00EE0E78"/>
    <w:rsid w:val="00FE7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BEC4"/>
  <w15:chartTrackingRefBased/>
  <w15:docId w15:val="{EB3232ED-D844-4CCA-82AE-B48DFFB7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94BD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94BD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94BD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94BD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94BD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94BD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94BD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94BD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94BD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94BD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94BD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94BD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94BD5"/>
    <w:rPr>
      <w:rFonts w:cstheme="majorBidi"/>
      <w:color w:val="2F5496" w:themeColor="accent1" w:themeShade="BF"/>
      <w:sz w:val="28"/>
      <w:szCs w:val="28"/>
    </w:rPr>
  </w:style>
  <w:style w:type="character" w:customStyle="1" w:styleId="50">
    <w:name w:val="标题 5 字符"/>
    <w:basedOn w:val="a0"/>
    <w:link w:val="5"/>
    <w:uiPriority w:val="9"/>
    <w:semiHidden/>
    <w:rsid w:val="00694BD5"/>
    <w:rPr>
      <w:rFonts w:cstheme="majorBidi"/>
      <w:color w:val="2F5496" w:themeColor="accent1" w:themeShade="BF"/>
      <w:sz w:val="24"/>
    </w:rPr>
  </w:style>
  <w:style w:type="character" w:customStyle="1" w:styleId="60">
    <w:name w:val="标题 6 字符"/>
    <w:basedOn w:val="a0"/>
    <w:link w:val="6"/>
    <w:uiPriority w:val="9"/>
    <w:semiHidden/>
    <w:rsid w:val="00694BD5"/>
    <w:rPr>
      <w:rFonts w:cstheme="majorBidi"/>
      <w:b/>
      <w:bCs/>
      <w:color w:val="2F5496" w:themeColor="accent1" w:themeShade="BF"/>
    </w:rPr>
  </w:style>
  <w:style w:type="character" w:customStyle="1" w:styleId="70">
    <w:name w:val="标题 7 字符"/>
    <w:basedOn w:val="a0"/>
    <w:link w:val="7"/>
    <w:uiPriority w:val="9"/>
    <w:semiHidden/>
    <w:rsid w:val="00694BD5"/>
    <w:rPr>
      <w:rFonts w:cstheme="majorBidi"/>
      <w:b/>
      <w:bCs/>
      <w:color w:val="595959" w:themeColor="text1" w:themeTint="A6"/>
    </w:rPr>
  </w:style>
  <w:style w:type="character" w:customStyle="1" w:styleId="80">
    <w:name w:val="标题 8 字符"/>
    <w:basedOn w:val="a0"/>
    <w:link w:val="8"/>
    <w:uiPriority w:val="9"/>
    <w:semiHidden/>
    <w:rsid w:val="00694BD5"/>
    <w:rPr>
      <w:rFonts w:cstheme="majorBidi"/>
      <w:color w:val="595959" w:themeColor="text1" w:themeTint="A6"/>
    </w:rPr>
  </w:style>
  <w:style w:type="character" w:customStyle="1" w:styleId="90">
    <w:name w:val="标题 9 字符"/>
    <w:basedOn w:val="a0"/>
    <w:link w:val="9"/>
    <w:uiPriority w:val="9"/>
    <w:semiHidden/>
    <w:rsid w:val="00694BD5"/>
    <w:rPr>
      <w:rFonts w:eastAsiaTheme="majorEastAsia" w:cstheme="majorBidi"/>
      <w:color w:val="595959" w:themeColor="text1" w:themeTint="A6"/>
    </w:rPr>
  </w:style>
  <w:style w:type="paragraph" w:styleId="a3">
    <w:name w:val="Title"/>
    <w:basedOn w:val="a"/>
    <w:next w:val="a"/>
    <w:link w:val="a4"/>
    <w:uiPriority w:val="10"/>
    <w:qFormat/>
    <w:rsid w:val="00694BD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94B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4BD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94B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4BD5"/>
    <w:pPr>
      <w:spacing w:before="160"/>
      <w:jc w:val="center"/>
    </w:pPr>
    <w:rPr>
      <w:i/>
      <w:iCs/>
      <w:color w:val="404040" w:themeColor="text1" w:themeTint="BF"/>
    </w:rPr>
  </w:style>
  <w:style w:type="character" w:customStyle="1" w:styleId="a8">
    <w:name w:val="引用 字符"/>
    <w:basedOn w:val="a0"/>
    <w:link w:val="a7"/>
    <w:uiPriority w:val="29"/>
    <w:rsid w:val="00694BD5"/>
    <w:rPr>
      <w:i/>
      <w:iCs/>
      <w:color w:val="404040" w:themeColor="text1" w:themeTint="BF"/>
    </w:rPr>
  </w:style>
  <w:style w:type="paragraph" w:styleId="a9">
    <w:name w:val="List Paragraph"/>
    <w:basedOn w:val="a"/>
    <w:uiPriority w:val="34"/>
    <w:qFormat/>
    <w:rsid w:val="00694BD5"/>
    <w:pPr>
      <w:ind w:left="720"/>
      <w:contextualSpacing/>
    </w:pPr>
  </w:style>
  <w:style w:type="character" w:styleId="aa">
    <w:name w:val="Intense Emphasis"/>
    <w:basedOn w:val="a0"/>
    <w:uiPriority w:val="21"/>
    <w:qFormat/>
    <w:rsid w:val="00694BD5"/>
    <w:rPr>
      <w:i/>
      <w:iCs/>
      <w:color w:val="2F5496" w:themeColor="accent1" w:themeShade="BF"/>
    </w:rPr>
  </w:style>
  <w:style w:type="paragraph" w:styleId="ab">
    <w:name w:val="Intense Quote"/>
    <w:basedOn w:val="a"/>
    <w:next w:val="a"/>
    <w:link w:val="ac"/>
    <w:uiPriority w:val="30"/>
    <w:qFormat/>
    <w:rsid w:val="00694B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94BD5"/>
    <w:rPr>
      <w:i/>
      <w:iCs/>
      <w:color w:val="2F5496" w:themeColor="accent1" w:themeShade="BF"/>
    </w:rPr>
  </w:style>
  <w:style w:type="character" w:styleId="ad">
    <w:name w:val="Intense Reference"/>
    <w:basedOn w:val="a0"/>
    <w:uiPriority w:val="32"/>
    <w:qFormat/>
    <w:rsid w:val="00694BD5"/>
    <w:rPr>
      <w:b/>
      <w:bCs/>
      <w:smallCaps/>
      <w:color w:val="2F5496" w:themeColor="accent1" w:themeShade="BF"/>
      <w:spacing w:val="5"/>
    </w:rPr>
  </w:style>
  <w:style w:type="character" w:styleId="ae">
    <w:name w:val="Hyperlink"/>
    <w:basedOn w:val="a0"/>
    <w:uiPriority w:val="99"/>
    <w:unhideWhenUsed/>
    <w:rsid w:val="0035180B"/>
    <w:rPr>
      <w:color w:val="0563C1" w:themeColor="hyperlink"/>
      <w:u w:val="single"/>
    </w:rPr>
  </w:style>
  <w:style w:type="character" w:styleId="af">
    <w:name w:val="Unresolved Mention"/>
    <w:basedOn w:val="a0"/>
    <w:uiPriority w:val="99"/>
    <w:semiHidden/>
    <w:unhideWhenUsed/>
    <w:rsid w:val="00351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943</Words>
  <Characters>5381</Characters>
  <Application>Microsoft Office Word</Application>
  <DocSecurity>0</DocSecurity>
  <Lines>44</Lines>
  <Paragraphs>12</Paragraphs>
  <ScaleCrop>false</ScaleCrop>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斯月 贾</dc:creator>
  <cp:keywords/>
  <dc:description/>
  <cp:lastModifiedBy>斯月 贾</cp:lastModifiedBy>
  <cp:revision>44</cp:revision>
  <dcterms:created xsi:type="dcterms:W3CDTF">2026-04-11T15:59:00Z</dcterms:created>
  <dcterms:modified xsi:type="dcterms:W3CDTF">2026-04-14T03:14:00Z</dcterms:modified>
</cp:coreProperties>
</file>