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23EF" w14:textId="3C179654" w:rsidR="00701E53" w:rsidRPr="00DF3FF6" w:rsidRDefault="00701E53" w:rsidP="00701E53">
      <w:pPr>
        <w:pStyle w:val="p1"/>
        <w:rPr>
          <w:rFonts w:ascii="Times New Roman" w:hAnsi="Times New Roman" w:cs="Times New Roman"/>
          <w:b/>
          <w:bCs/>
          <w:sz w:val="28"/>
          <w:szCs w:val="28"/>
          <w:lang w:val="en-US"/>
        </w:rPr>
      </w:pPr>
      <w:r w:rsidRPr="00DF3FF6">
        <w:rPr>
          <w:rFonts w:ascii="Times New Roman" w:hAnsi="Times New Roman" w:cs="Times New Roman"/>
          <w:b/>
          <w:bCs/>
          <w:sz w:val="28"/>
          <w:szCs w:val="28"/>
          <w:lang w:val="en-US"/>
        </w:rPr>
        <w:t>Supplementary Information</w:t>
      </w:r>
    </w:p>
    <w:p w14:paraId="4D4455D6" w14:textId="18E12933" w:rsidR="00E021AD" w:rsidRPr="00DF3FF6" w:rsidRDefault="00E021AD" w:rsidP="00756C21">
      <w:pPr>
        <w:pStyle w:val="p1"/>
        <w:jc w:val="both"/>
        <w:rPr>
          <w:rFonts w:ascii="Times New Roman" w:hAnsi="Times New Roman" w:cs="Times New Roman"/>
          <w:b/>
          <w:bCs/>
          <w:sz w:val="24"/>
          <w:szCs w:val="24"/>
          <w:lang w:val="en-US"/>
        </w:rPr>
      </w:pPr>
    </w:p>
    <w:p w14:paraId="1EC0E81D" w14:textId="77777777" w:rsidR="00DF3FF6" w:rsidRPr="00DF3FF6" w:rsidRDefault="00DF3FF6" w:rsidP="00DF3FF6">
      <w:pPr>
        <w:jc w:val="both"/>
        <w:rPr>
          <w:rFonts w:ascii="Times New Roman" w:hAnsi="Times New Roman" w:cs="Times New Roman"/>
          <w:b/>
          <w:bCs/>
          <w:sz w:val="32"/>
          <w:szCs w:val="32"/>
        </w:rPr>
      </w:pPr>
      <w:r w:rsidRPr="00DF3FF6">
        <w:rPr>
          <w:rFonts w:ascii="Times New Roman" w:hAnsi="Times New Roman" w:cs="Times New Roman"/>
          <w:b/>
          <w:bCs/>
          <w:sz w:val="32"/>
          <w:szCs w:val="32"/>
        </w:rPr>
        <w:t>MED20 biallelic pathogenic variants cause a neurodevelopmental disorder altering both transcription activity and Transcription-Coupled Repair pathway</w:t>
      </w:r>
    </w:p>
    <w:p w14:paraId="1A3FDAFD" w14:textId="77777777" w:rsidR="00DF3FF6" w:rsidRDefault="00DF3FF6" w:rsidP="00756C21">
      <w:pPr>
        <w:pStyle w:val="p1"/>
        <w:jc w:val="both"/>
        <w:rPr>
          <w:rFonts w:ascii="Times New Roman" w:hAnsi="Times New Roman" w:cs="Times New Roman"/>
          <w:b/>
          <w:bCs/>
          <w:sz w:val="24"/>
          <w:szCs w:val="24"/>
          <w:lang w:val="en-US"/>
        </w:rPr>
      </w:pPr>
    </w:p>
    <w:p w14:paraId="37EDE1A3"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5A21A4D"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63184AE"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1D86530C"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DE0C7B7"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14212CFE"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3A12B1B"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CAD9031"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B14A2C4"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02BBF51"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0B92DA4F"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E657FC5"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1A6FA99"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104A287"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628BD1C"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358739A"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3C596F7"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FCCC5CB"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6178CC1"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67E5879"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98B8BBD"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5BC8F53"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A9B7C2B"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5836642"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01693473"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85A42B3"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F29DCC4"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349EFF7"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142638B"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13F33F52"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C26A09E"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75361CC"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87A74A2"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549F630"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096C1B0B"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AB1E342"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B9F1200"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1584DD8C"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F5BCC22" w14:textId="308265B7" w:rsidR="00AC1A7D" w:rsidRDefault="00AC1A7D"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r w:rsidRPr="00AC1A7D">
        <w:rPr>
          <w:rFonts w:ascii="Times New Roman" w:eastAsiaTheme="minorHAnsi" w:hAnsi="Times New Roman" w:cs="Times New Roman"/>
          <w:b/>
          <w:bCs/>
          <w:color w:val="auto"/>
          <w:kern w:val="2"/>
          <w:sz w:val="24"/>
          <w:szCs w:val="24"/>
          <w:u w:val="single"/>
          <w:lang w:val="en-US" w:eastAsia="en-US"/>
          <w14:ligatures w14:val="standardContextual"/>
        </w:rPr>
        <w:lastRenderedPageBreak/>
        <w:t xml:space="preserve">Genetic vignettes of the </w:t>
      </w:r>
      <w:r w:rsidR="00351ADB">
        <w:rPr>
          <w:rFonts w:ascii="Times New Roman" w:eastAsiaTheme="minorHAnsi" w:hAnsi="Times New Roman" w:cs="Times New Roman"/>
          <w:b/>
          <w:bCs/>
          <w:color w:val="auto"/>
          <w:kern w:val="2"/>
          <w:sz w:val="24"/>
          <w:szCs w:val="24"/>
          <w:u w:val="single"/>
          <w:lang w:val="en-US" w:eastAsia="en-US"/>
          <w14:ligatures w14:val="standardContextual"/>
        </w:rPr>
        <w:t>individuals</w:t>
      </w:r>
      <w:r w:rsidRPr="00AC1A7D">
        <w:rPr>
          <w:rFonts w:ascii="Times New Roman" w:eastAsiaTheme="minorHAnsi" w:hAnsi="Times New Roman" w:cs="Times New Roman"/>
          <w:b/>
          <w:bCs/>
          <w:color w:val="auto"/>
          <w:kern w:val="2"/>
          <w:sz w:val="24"/>
          <w:szCs w:val="24"/>
          <w:u w:val="single"/>
          <w:lang w:val="en-US" w:eastAsia="en-US"/>
          <w14:ligatures w14:val="standardContextual"/>
        </w:rPr>
        <w:t xml:space="preserve"> reported herein with biallelic pathogenic </w:t>
      </w:r>
      <w:r w:rsidRPr="00351ADB">
        <w:rPr>
          <w:rFonts w:ascii="Times New Roman" w:eastAsiaTheme="minorHAnsi" w:hAnsi="Times New Roman" w:cs="Times New Roman"/>
          <w:b/>
          <w:bCs/>
          <w:i/>
          <w:iCs/>
          <w:color w:val="auto"/>
          <w:kern w:val="2"/>
          <w:sz w:val="24"/>
          <w:szCs w:val="24"/>
          <w:u w:val="single"/>
          <w:lang w:val="en-US" w:eastAsia="en-US"/>
          <w14:ligatures w14:val="standardContextual"/>
        </w:rPr>
        <w:t xml:space="preserve">MED20 </w:t>
      </w:r>
      <w:r w:rsidRPr="00AC1A7D">
        <w:rPr>
          <w:rFonts w:ascii="Times New Roman" w:eastAsiaTheme="minorHAnsi" w:hAnsi="Times New Roman" w:cs="Times New Roman"/>
          <w:b/>
          <w:bCs/>
          <w:color w:val="auto"/>
          <w:kern w:val="2"/>
          <w:sz w:val="24"/>
          <w:szCs w:val="24"/>
          <w:u w:val="single"/>
          <w:lang w:val="en-US" w:eastAsia="en-US"/>
          <w14:ligatures w14:val="standardContextual"/>
        </w:rPr>
        <w:t>variants</w:t>
      </w:r>
    </w:p>
    <w:p w14:paraId="0450D2D3" w14:textId="77777777" w:rsidR="00AC1A7D" w:rsidRDefault="00AC1A7D"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EF0C966" w14:textId="51084E2C" w:rsidR="00AC1A7D" w:rsidRPr="00E021AD" w:rsidRDefault="00CA0B21" w:rsidP="00AC1A7D">
      <w:pPr>
        <w:jc w:val="both"/>
        <w:rPr>
          <w:rFonts w:ascii="Times New Roman" w:hAnsi="Times New Roman" w:cs="Times New Roman"/>
        </w:rPr>
      </w:pPr>
      <w:r>
        <w:rPr>
          <w:rFonts w:ascii="Times New Roman" w:eastAsia="Times New Roman" w:hAnsi="Times New Roman" w:cs="Times New Roman"/>
          <w:kern w:val="0"/>
        </w:rPr>
        <w:t xml:space="preserve">Family 1, </w:t>
      </w:r>
      <w:r w:rsidR="002D23D1">
        <w:rPr>
          <w:rFonts w:ascii="Times New Roman" w:eastAsia="Times New Roman" w:hAnsi="Times New Roman" w:cs="Times New Roman"/>
          <w:kern w:val="0"/>
        </w:rPr>
        <w:t>Individual</w:t>
      </w:r>
      <w:r>
        <w:rPr>
          <w:rFonts w:ascii="Times New Roman" w:eastAsia="Times New Roman" w:hAnsi="Times New Roman" w:cs="Times New Roman"/>
          <w:kern w:val="0"/>
        </w:rPr>
        <w:t xml:space="preserve"> 1 (France). </w:t>
      </w:r>
      <w:r w:rsidR="00AC1A7D" w:rsidRPr="00E021AD">
        <w:rPr>
          <w:rFonts w:ascii="Times New Roman" w:eastAsia="Calibri" w:hAnsi="Times New Roman" w:cs="Times New Roman"/>
          <w:color w:val="000000"/>
        </w:rPr>
        <w:t xml:space="preserve">The proband (P1) is the first-born child from French family 1 initially addressed </w:t>
      </w:r>
      <w:r w:rsidR="00AC1A7D">
        <w:rPr>
          <w:rFonts w:ascii="Times New Roman" w:eastAsia="Calibri" w:hAnsi="Times New Roman" w:cs="Times New Roman"/>
          <w:color w:val="000000"/>
        </w:rPr>
        <w:t>to</w:t>
      </w:r>
      <w:r w:rsidR="00AC1A7D" w:rsidRPr="00E021AD">
        <w:rPr>
          <w:rFonts w:ascii="Times New Roman" w:eastAsia="Calibri" w:hAnsi="Times New Roman" w:cs="Times New Roman"/>
          <w:color w:val="000000"/>
        </w:rPr>
        <w:t xml:space="preserve"> our center for </w:t>
      </w:r>
      <w:r w:rsidR="00AC1A7D">
        <w:rPr>
          <w:rFonts w:ascii="Times New Roman" w:eastAsia="Calibri" w:hAnsi="Times New Roman" w:cs="Times New Roman"/>
          <w:color w:val="000000"/>
        </w:rPr>
        <w:t>suspected</w:t>
      </w:r>
      <w:r w:rsidR="00AC1A7D" w:rsidRPr="00E021AD">
        <w:rPr>
          <w:rFonts w:ascii="Times New Roman" w:eastAsia="Calibri" w:hAnsi="Times New Roman" w:cs="Times New Roman"/>
          <w:color w:val="000000"/>
        </w:rPr>
        <w:t xml:space="preserve"> Cockayne syndrome</w:t>
      </w:r>
      <w:r w:rsidR="00AC1A7D" w:rsidRPr="00E021AD">
        <w:rPr>
          <w:rFonts w:ascii="Times New Roman" w:hAnsi="Times New Roman" w:cs="Times New Roman"/>
        </w:rPr>
        <w:t xml:space="preserve">. After negative </w:t>
      </w:r>
      <w:r w:rsidR="00AC1A7D" w:rsidRPr="00E021AD">
        <w:rPr>
          <w:rFonts w:ascii="Times New Roman" w:hAnsi="Times New Roman" w:cs="Times New Roman"/>
          <w:i/>
          <w:iCs/>
        </w:rPr>
        <w:t>CSA/ERCC6</w:t>
      </w:r>
      <w:r w:rsidR="00AC1A7D" w:rsidRPr="00E021AD">
        <w:rPr>
          <w:rFonts w:ascii="Times New Roman" w:hAnsi="Times New Roman" w:cs="Times New Roman"/>
        </w:rPr>
        <w:t xml:space="preserve"> and </w:t>
      </w:r>
      <w:r w:rsidR="00AC1A7D" w:rsidRPr="00E021AD">
        <w:rPr>
          <w:rFonts w:ascii="Times New Roman" w:hAnsi="Times New Roman" w:cs="Times New Roman"/>
          <w:i/>
          <w:iCs/>
        </w:rPr>
        <w:t>ERCC8/CSB</w:t>
      </w:r>
      <w:r w:rsidR="00AC1A7D" w:rsidRPr="00E021AD">
        <w:rPr>
          <w:rFonts w:ascii="Times New Roman" w:hAnsi="Times New Roman" w:cs="Times New Roman"/>
        </w:rPr>
        <w:t xml:space="preserve"> as well as gene panel screening</w:t>
      </w:r>
      <w:r w:rsidR="00AC1A7D">
        <w:rPr>
          <w:rFonts w:ascii="Times New Roman" w:hAnsi="Times New Roman" w:cs="Times New Roman"/>
        </w:rPr>
        <w:fldChar w:fldCharType="begin"/>
      </w:r>
      <w:r w:rsidR="00AC1A7D">
        <w:rPr>
          <w:rFonts w:ascii="Times New Roman" w:hAnsi="Times New Roman" w:cs="Times New Roman"/>
        </w:rPr>
        <w:instrText xml:space="preserve"> ADDIN ZOTERO_ITEM CSL_CITATION {"citationID":"W9dd1ZSP","properties":{"formattedCitation":"\\super 1\\nosupersub{}","plainCitation":"1","noteIndex":0},"citationItems":[{"id":181,"uris":["http://zotero.org/users/local/P5hNUgg0/items/R4VVRM6M"],"itemData":{"id":181,"type":"article-journal","abstract":"Deficient nucleotide excision repair (NER) activity causes a variety of autosomal recessive diseases including xeroderma pigmentosum (XP) a disorder which pre-disposes to skin cancer, and the severe multisystem condition known as Cockayne syndrome (CS). In view of the clinical overlap between NER-related disorders, as well as the existence of multiple phenotypes and the numerous genes involved, we developed a new diagnostic approach based on the enrichment of 16 NER-related genes by multiplex amplification coupled with next-generation sequencing (NGS).","container-title":"Orphanet Journal of Rare Diseases","DOI":"10.1186/s13023-016-0408-0","ISSN":"1750-1172","issue":"1","journalAbbreviation":"Orphanet Journal of Rare Diseases","page":"26","source":"BioMed Central","title":"Uncommon nucleotide excision repair phenotypes revealed by targeted high-throughput sequencing","URL":"https://doi.org/10.1186/s13023-016-0408-0","volume":"11","author":[{"family":"Calmels","given":"Nadège"},{"family":"Greff","given":"Géraldine"},{"family":"Obringer","given":"Cathy"},{"family":"Kempf","given":"Nadine"},{"family":"Gasnier","given":"Claire"},{"family":"Tarabeux","given":"Julien"},{"family":"Miguet","given":"Marguerite"},{"family":"Baujat","given":"Geneviève"},{"family":"Bessis","given":"Didier"},{"family":"Bretones","given":"Patricia"},{"family":"Cavau","given":"Anne"},{"family":"Digeon","given":"Béatrice"},{"family":"Doco-Fenzy","given":"Martine"},{"family":"Doray","given":"Bérénice"},{"family":"Feillet","given":"François"},{"family":"Gardeazabal","given":"Jesus"},{"family":"Gener","given":"Blanca"},{"family":"Julia","given":"Sophie"},{"family":"Llano-Rivas","given":"Isabel"},{"family":"Mazur","given":"Artur"},{"family":"Michot","given":"Caroline"},{"family":"Renaldo-Robin","given":"Florence"},{"family":"Rossi","given":"Massimiliano"},{"family":"Sabouraud","given":"Pascal"},{"family":"Keren","given":"Boris"},{"family":"Depienne","given":"Christel"},{"family":"Muller","given":"Jean"},{"family":"Mandel","given":"Jean-Louis"},{"family":"Laugel","given":"Vincent"}],"accessed":{"date-parts":[["2022",3,2]]},"issued":{"date-parts":[["2016",3,22]]}}}],"schema":"https://github.com/citation-style-language/schema/raw/master/csl-citation.json"} </w:instrText>
      </w:r>
      <w:r w:rsidR="00AC1A7D">
        <w:rPr>
          <w:rFonts w:ascii="Times New Roman" w:hAnsi="Times New Roman" w:cs="Times New Roman"/>
        </w:rPr>
        <w:fldChar w:fldCharType="separate"/>
      </w:r>
      <w:r w:rsidR="00AC1A7D" w:rsidRPr="00E64DA9">
        <w:rPr>
          <w:rFonts w:ascii="Times New Roman" w:hAnsi="Times New Roman" w:cs="Times New Roman"/>
          <w:kern w:val="0"/>
          <w:vertAlign w:val="superscript"/>
        </w:rPr>
        <w:t>1</w:t>
      </w:r>
      <w:r w:rsidR="00AC1A7D">
        <w:rPr>
          <w:rFonts w:ascii="Times New Roman" w:hAnsi="Times New Roman" w:cs="Times New Roman"/>
        </w:rPr>
        <w:fldChar w:fldCharType="end"/>
      </w:r>
      <w:r w:rsidR="00AC1A7D" w:rsidRPr="00E021AD">
        <w:rPr>
          <w:rFonts w:ascii="Times New Roman" w:eastAsia="Calibri" w:hAnsi="Times New Roman" w:cs="Times New Roman"/>
          <w:color w:val="000000"/>
        </w:rPr>
        <w:t xml:space="preserve">, trio exome sequencing in family 1 revealed the presence of two compound heterozygous variants in </w:t>
      </w:r>
      <w:r w:rsidR="00AC1A7D" w:rsidRPr="00E021AD">
        <w:rPr>
          <w:rFonts w:ascii="Times New Roman" w:eastAsia="Calibri" w:hAnsi="Times New Roman" w:cs="Times New Roman"/>
          <w:i/>
          <w:color w:val="000000"/>
        </w:rPr>
        <w:t>MED20</w:t>
      </w:r>
      <w:r w:rsidR="00AC1A7D" w:rsidRPr="00E021AD">
        <w:rPr>
          <w:rFonts w:ascii="Times New Roman" w:eastAsia="Calibri" w:hAnsi="Times New Roman" w:cs="Times New Roman"/>
          <w:color w:val="000000"/>
        </w:rPr>
        <w:t xml:space="preserve"> (NM_004275.5) in the proband: a 1-bp deletion </w:t>
      </w:r>
      <w:r>
        <w:rPr>
          <w:rFonts w:ascii="Times New Roman" w:eastAsia="Calibri" w:hAnsi="Times New Roman" w:cs="Times New Roman"/>
          <w:color w:val="000000"/>
        </w:rPr>
        <w:t>(</w:t>
      </w:r>
      <w:r w:rsidR="00AC1A7D" w:rsidRPr="00E021AD">
        <w:rPr>
          <w:rFonts w:ascii="Times New Roman" w:eastAsia="Calibri" w:hAnsi="Times New Roman" w:cs="Times New Roman"/>
          <w:color w:val="000000"/>
        </w:rPr>
        <w:t>c.326del</w:t>
      </w:r>
      <w:r>
        <w:rPr>
          <w:rFonts w:ascii="Times New Roman" w:eastAsia="Calibri" w:hAnsi="Times New Roman" w:cs="Times New Roman"/>
          <w:color w:val="000000"/>
        </w:rPr>
        <w:t>)</w:t>
      </w:r>
      <w:r w:rsidR="00AC1A7D" w:rsidRPr="00E021AD">
        <w:rPr>
          <w:rFonts w:ascii="Times New Roman" w:eastAsia="Calibri" w:hAnsi="Times New Roman" w:cs="Times New Roman"/>
          <w:color w:val="000000"/>
        </w:rPr>
        <w:t xml:space="preserve"> leading to the frameshift p.(Lys109Argfs*16) inherited from the mother and </w:t>
      </w:r>
      <w:r>
        <w:rPr>
          <w:rFonts w:ascii="Times New Roman" w:eastAsia="Calibri" w:hAnsi="Times New Roman" w:cs="Times New Roman"/>
          <w:color w:val="000000"/>
        </w:rPr>
        <w:t>a</w:t>
      </w:r>
      <w:r w:rsidR="00AC1A7D" w:rsidRPr="00E021AD">
        <w:rPr>
          <w:rFonts w:ascii="Times New Roman" w:eastAsia="Calibri" w:hAnsi="Times New Roman" w:cs="Times New Roman"/>
          <w:color w:val="000000"/>
        </w:rPr>
        <w:t xml:space="preserve"> </w:t>
      </w:r>
      <w:r w:rsidRPr="00E021AD">
        <w:rPr>
          <w:rFonts w:ascii="Times New Roman" w:eastAsia="Calibri" w:hAnsi="Times New Roman" w:cs="Times New Roman"/>
          <w:color w:val="000000"/>
        </w:rPr>
        <w:t xml:space="preserve">c.475G&gt;C </w:t>
      </w:r>
      <w:r w:rsidR="00AC1A7D" w:rsidRPr="00E021AD">
        <w:rPr>
          <w:rFonts w:ascii="Times New Roman" w:eastAsia="Calibri" w:hAnsi="Times New Roman" w:cs="Times New Roman"/>
          <w:color w:val="000000"/>
        </w:rPr>
        <w:t xml:space="preserve">substitution leading to the missense p.(Glu159Gln) inherited from the father </w:t>
      </w:r>
      <w:r w:rsidR="00AC1A7D" w:rsidRPr="00E021AD">
        <w:rPr>
          <w:rFonts w:ascii="Times New Roman" w:eastAsia="Calibri" w:hAnsi="Times New Roman" w:cs="Times New Roman"/>
        </w:rPr>
        <w:t xml:space="preserve">(Figure 1A, 1B, </w:t>
      </w:r>
      <w:r w:rsidR="00AC1A7D">
        <w:rPr>
          <w:rFonts w:ascii="Times New Roman" w:eastAsia="Calibri" w:hAnsi="Times New Roman" w:cs="Times New Roman"/>
        </w:rPr>
        <w:t xml:space="preserve">Extended data Fig.1 </w:t>
      </w:r>
      <w:r w:rsidR="00AC1A7D" w:rsidRPr="00E021AD">
        <w:rPr>
          <w:rFonts w:ascii="Times New Roman" w:eastAsia="Calibri" w:hAnsi="Times New Roman" w:cs="Times New Roman"/>
        </w:rPr>
        <w:t xml:space="preserve">and </w:t>
      </w:r>
      <w:r w:rsidR="002D23D1">
        <w:rPr>
          <w:rFonts w:ascii="Times New Roman" w:eastAsia="Calibri" w:hAnsi="Times New Roman" w:cs="Times New Roman"/>
        </w:rPr>
        <w:t xml:space="preserve">Supplementary </w:t>
      </w:r>
      <w:r w:rsidR="00AC1A7D" w:rsidRPr="00E021AD">
        <w:rPr>
          <w:rFonts w:ascii="Times New Roman" w:eastAsia="Calibri" w:hAnsi="Times New Roman" w:cs="Times New Roman"/>
        </w:rPr>
        <w:t>Table 1)</w:t>
      </w:r>
      <w:r w:rsidR="00AC1A7D" w:rsidRPr="00E021AD">
        <w:rPr>
          <w:rFonts w:ascii="Times New Roman" w:eastAsia="Calibri" w:hAnsi="Times New Roman" w:cs="Times New Roman"/>
          <w:color w:val="000000"/>
        </w:rPr>
        <w:t>. The healthy sister is heterozygous carrier of one of the two variants. The deletion has never been reported in the Genome Aggregation Database (</w:t>
      </w:r>
      <w:proofErr w:type="spellStart"/>
      <w:r w:rsidR="00AC1A7D" w:rsidRPr="00E021AD">
        <w:rPr>
          <w:rFonts w:ascii="Times New Roman" w:eastAsia="Calibri" w:hAnsi="Times New Roman" w:cs="Times New Roman"/>
          <w:color w:val="000000"/>
        </w:rPr>
        <w:t>gnomAD</w:t>
      </w:r>
      <w:proofErr w:type="spellEnd"/>
      <w:r w:rsidR="00AC1A7D" w:rsidRPr="00E021AD">
        <w:rPr>
          <w:rFonts w:ascii="Times New Roman" w:eastAsia="Calibri" w:hAnsi="Times New Roman" w:cs="Times New Roman"/>
          <w:color w:val="000000"/>
        </w:rPr>
        <w:t xml:space="preserve"> v2.1.1). The missense variant </w:t>
      </w:r>
      <w:proofErr w:type="gramStart"/>
      <w:r w:rsidR="00AC1A7D" w:rsidRPr="00E021AD">
        <w:rPr>
          <w:rFonts w:ascii="Times New Roman" w:eastAsia="Calibri" w:hAnsi="Times New Roman" w:cs="Times New Roman"/>
          <w:color w:val="000000"/>
        </w:rPr>
        <w:t>p.(</w:t>
      </w:r>
      <w:proofErr w:type="gramEnd"/>
      <w:r w:rsidR="00AC1A7D" w:rsidRPr="00E021AD">
        <w:rPr>
          <w:rFonts w:ascii="Times New Roman" w:eastAsia="Calibri" w:hAnsi="Times New Roman" w:cs="Times New Roman"/>
          <w:color w:val="000000"/>
        </w:rPr>
        <w:t xml:space="preserve">Glu159Gln) is extremely rare in </w:t>
      </w:r>
      <w:proofErr w:type="spellStart"/>
      <w:r w:rsidR="00AC1A7D" w:rsidRPr="00E021AD">
        <w:rPr>
          <w:rFonts w:ascii="Times New Roman" w:eastAsia="Calibri" w:hAnsi="Times New Roman" w:cs="Times New Roman"/>
          <w:color w:val="000000"/>
        </w:rPr>
        <w:t>gnomAD</w:t>
      </w:r>
      <w:proofErr w:type="spellEnd"/>
      <w:r w:rsidR="00AC1A7D" w:rsidRPr="00E021AD">
        <w:rPr>
          <w:rFonts w:ascii="Times New Roman" w:eastAsia="Calibri" w:hAnsi="Times New Roman" w:cs="Times New Roman"/>
          <w:color w:val="000000"/>
        </w:rPr>
        <w:t xml:space="preserve"> (allele frequency 0.000007973).</w:t>
      </w:r>
    </w:p>
    <w:p w14:paraId="15D97F1C" w14:textId="02AD346B" w:rsidR="00AC1A7D" w:rsidRPr="00C926A5" w:rsidRDefault="00AC1A7D" w:rsidP="00AC1A7D">
      <w:pPr>
        <w:jc w:val="both"/>
        <w:rPr>
          <w:rFonts w:ascii="Times New Roman" w:hAnsi="Times New Roman" w:cs="Times New Roman"/>
        </w:rPr>
      </w:pPr>
      <w:r w:rsidRPr="00C926A5">
        <w:rPr>
          <w:rFonts w:ascii="Times New Roman" w:hAnsi="Times New Roman" w:cs="Times New Roman"/>
        </w:rPr>
        <w:t xml:space="preserve">Family 2, </w:t>
      </w:r>
      <w:r w:rsidR="002D23D1">
        <w:rPr>
          <w:rFonts w:ascii="Times New Roman" w:hAnsi="Times New Roman" w:cs="Times New Roman"/>
        </w:rPr>
        <w:t>individuals</w:t>
      </w:r>
      <w:r w:rsidRPr="00C926A5">
        <w:rPr>
          <w:rFonts w:ascii="Times New Roman" w:hAnsi="Times New Roman" w:cs="Times New Roman"/>
        </w:rPr>
        <w:t xml:space="preserve"> </w:t>
      </w:r>
      <w:r w:rsidR="002D23D1">
        <w:rPr>
          <w:rFonts w:ascii="Times New Roman" w:hAnsi="Times New Roman" w:cs="Times New Roman"/>
        </w:rPr>
        <w:t>P</w:t>
      </w:r>
      <w:r w:rsidRPr="00C926A5">
        <w:rPr>
          <w:rFonts w:ascii="Times New Roman" w:hAnsi="Times New Roman" w:cs="Times New Roman"/>
        </w:rPr>
        <w:t xml:space="preserve">2 and </w:t>
      </w:r>
      <w:r w:rsidR="002D23D1">
        <w:rPr>
          <w:rFonts w:ascii="Times New Roman" w:hAnsi="Times New Roman" w:cs="Times New Roman"/>
        </w:rPr>
        <w:t>P</w:t>
      </w:r>
      <w:r w:rsidRPr="00C926A5">
        <w:rPr>
          <w:rFonts w:ascii="Times New Roman" w:hAnsi="Times New Roman" w:cs="Times New Roman"/>
        </w:rPr>
        <w:t>3 (Austria)</w:t>
      </w:r>
      <w:r w:rsidR="00CA0B21">
        <w:rPr>
          <w:rFonts w:ascii="Times New Roman" w:hAnsi="Times New Roman" w:cs="Times New Roman"/>
        </w:rPr>
        <w:t>.</w:t>
      </w:r>
      <w:r w:rsidRPr="00C926A5">
        <w:rPr>
          <w:rFonts w:ascii="Times New Roman" w:hAnsi="Times New Roman" w:cs="Times New Roman"/>
        </w:rPr>
        <w:t xml:space="preserve"> </w:t>
      </w:r>
      <w:r w:rsidR="00CA0B21">
        <w:rPr>
          <w:rFonts w:ascii="Times New Roman" w:eastAsia="Calibri" w:hAnsi="Times New Roman" w:cs="Times New Roman"/>
          <w:color w:val="000000"/>
        </w:rPr>
        <w:t>I</w:t>
      </w:r>
      <w:r w:rsidRPr="00C926A5">
        <w:rPr>
          <w:rFonts w:ascii="Times New Roman" w:eastAsia="Calibri" w:hAnsi="Times New Roman" w:cs="Times New Roman"/>
          <w:color w:val="000000"/>
        </w:rPr>
        <w:t xml:space="preserve">ndividuals P2 and P3 are affected sisters from a consanguineous union, previously reported as homozygous for the rare c.341G&gt;C </w:t>
      </w:r>
      <w:proofErr w:type="gramStart"/>
      <w:r w:rsidRPr="00C926A5">
        <w:rPr>
          <w:rFonts w:ascii="Times New Roman" w:eastAsia="Calibri" w:hAnsi="Times New Roman" w:cs="Times New Roman"/>
          <w:color w:val="000000"/>
        </w:rPr>
        <w:t>p.(</w:t>
      </w:r>
      <w:proofErr w:type="gramEnd"/>
      <w:r w:rsidRPr="00C926A5">
        <w:rPr>
          <w:rFonts w:ascii="Times New Roman" w:eastAsia="Calibri" w:hAnsi="Times New Roman" w:cs="Times New Roman"/>
          <w:color w:val="000000"/>
        </w:rPr>
        <w:t xml:space="preserve">Gly114Ala) missense variant in </w:t>
      </w:r>
      <w:r w:rsidRPr="00C926A5">
        <w:rPr>
          <w:rFonts w:ascii="Times New Roman" w:eastAsia="Calibri" w:hAnsi="Times New Roman" w:cs="Times New Roman"/>
          <w:i/>
          <w:color w:val="000000"/>
        </w:rPr>
        <w:t>MED</w:t>
      </w:r>
      <w:r w:rsidR="002D23D1">
        <w:rPr>
          <w:rFonts w:ascii="Times New Roman" w:eastAsia="Calibri" w:hAnsi="Times New Roman" w:cs="Times New Roman"/>
          <w:i/>
          <w:color w:val="000000"/>
        </w:rPr>
        <w:t>20</w:t>
      </w:r>
      <w:r w:rsidRPr="00C926A5">
        <w:rPr>
          <w:rFonts w:ascii="Times New Roman" w:eastAsia="Calibri" w:hAnsi="Times New Roman" w:cs="Times New Roman"/>
          <w:color w:val="000000"/>
        </w:rPr>
        <w:t>.</w:t>
      </w:r>
    </w:p>
    <w:p w14:paraId="58B59D36" w14:textId="64282B81" w:rsidR="00474053" w:rsidRPr="005F1D69" w:rsidRDefault="00AC1A7D" w:rsidP="005F1D69">
      <w:pPr>
        <w:jc w:val="both"/>
        <w:rPr>
          <w:rFonts w:ascii="Times New Roman" w:hAnsi="Times New Roman" w:cs="Times New Roman"/>
        </w:rPr>
      </w:pPr>
      <w:r w:rsidRPr="00C926A5">
        <w:rPr>
          <w:rFonts w:ascii="Times New Roman" w:hAnsi="Times New Roman" w:cs="Times New Roman"/>
        </w:rPr>
        <w:t>Family</w:t>
      </w:r>
      <w:r w:rsidR="00CA0B21">
        <w:rPr>
          <w:rFonts w:ascii="Times New Roman" w:hAnsi="Times New Roman" w:cs="Times New Roman"/>
        </w:rPr>
        <w:t xml:space="preserve"> 3, </w:t>
      </w:r>
      <w:r w:rsidR="002D23D1">
        <w:rPr>
          <w:rFonts w:ascii="Times New Roman" w:hAnsi="Times New Roman" w:cs="Times New Roman"/>
        </w:rPr>
        <w:t>individuals</w:t>
      </w:r>
      <w:r w:rsidR="00CA0B21">
        <w:rPr>
          <w:rFonts w:ascii="Times New Roman" w:hAnsi="Times New Roman" w:cs="Times New Roman"/>
        </w:rPr>
        <w:t xml:space="preserve"> </w:t>
      </w:r>
      <w:r w:rsidR="002D23D1">
        <w:rPr>
          <w:rFonts w:ascii="Times New Roman" w:hAnsi="Times New Roman" w:cs="Times New Roman"/>
        </w:rPr>
        <w:t>P</w:t>
      </w:r>
      <w:r w:rsidR="00CA0B21">
        <w:rPr>
          <w:rFonts w:ascii="Times New Roman" w:hAnsi="Times New Roman" w:cs="Times New Roman"/>
        </w:rPr>
        <w:t xml:space="preserve">4 and </w:t>
      </w:r>
      <w:r w:rsidR="002D23D1">
        <w:rPr>
          <w:rFonts w:ascii="Times New Roman" w:hAnsi="Times New Roman" w:cs="Times New Roman"/>
        </w:rPr>
        <w:t>P</w:t>
      </w:r>
      <w:r w:rsidR="00CA0B21">
        <w:rPr>
          <w:rFonts w:ascii="Times New Roman" w:hAnsi="Times New Roman" w:cs="Times New Roman"/>
        </w:rPr>
        <w:t>5 (USA), and f</w:t>
      </w:r>
      <w:r w:rsidRPr="00C926A5">
        <w:rPr>
          <w:rFonts w:ascii="Times New Roman" w:hAnsi="Times New Roman" w:cs="Times New Roman"/>
        </w:rPr>
        <w:t>amily 4</w:t>
      </w:r>
      <w:r w:rsidR="00CA0B21">
        <w:rPr>
          <w:rFonts w:ascii="Times New Roman" w:hAnsi="Times New Roman" w:cs="Times New Roman"/>
        </w:rPr>
        <w:t xml:space="preserve">, </w:t>
      </w:r>
      <w:r w:rsidR="002D23D1">
        <w:rPr>
          <w:rFonts w:ascii="Times New Roman" w:hAnsi="Times New Roman" w:cs="Times New Roman"/>
        </w:rPr>
        <w:t>individuals</w:t>
      </w:r>
      <w:r w:rsidR="00CA0B21">
        <w:rPr>
          <w:rFonts w:ascii="Times New Roman" w:hAnsi="Times New Roman" w:cs="Times New Roman"/>
        </w:rPr>
        <w:t xml:space="preserve"> </w:t>
      </w:r>
      <w:r w:rsidR="002D23D1">
        <w:rPr>
          <w:rFonts w:ascii="Times New Roman" w:hAnsi="Times New Roman" w:cs="Times New Roman"/>
        </w:rPr>
        <w:t>P</w:t>
      </w:r>
      <w:r w:rsidR="00CA0B21">
        <w:rPr>
          <w:rFonts w:ascii="Times New Roman" w:hAnsi="Times New Roman" w:cs="Times New Roman"/>
        </w:rPr>
        <w:t xml:space="preserve">6, </w:t>
      </w:r>
      <w:r w:rsidR="002D23D1">
        <w:rPr>
          <w:rFonts w:ascii="Times New Roman" w:hAnsi="Times New Roman" w:cs="Times New Roman"/>
        </w:rPr>
        <w:t>P</w:t>
      </w:r>
      <w:r w:rsidR="00CA0B21">
        <w:rPr>
          <w:rFonts w:ascii="Times New Roman" w:hAnsi="Times New Roman" w:cs="Times New Roman"/>
        </w:rPr>
        <w:t xml:space="preserve">7 and </w:t>
      </w:r>
      <w:r w:rsidR="002D23D1">
        <w:rPr>
          <w:rFonts w:ascii="Times New Roman" w:hAnsi="Times New Roman" w:cs="Times New Roman"/>
        </w:rPr>
        <w:t>P</w:t>
      </w:r>
      <w:r w:rsidR="00CA0B21">
        <w:rPr>
          <w:rFonts w:ascii="Times New Roman" w:hAnsi="Times New Roman" w:cs="Times New Roman"/>
        </w:rPr>
        <w:t>8 (Senegal).</w:t>
      </w:r>
      <w:r w:rsidRPr="00C926A5">
        <w:rPr>
          <w:rFonts w:ascii="Times New Roman" w:hAnsi="Times New Roman" w:cs="Times New Roman"/>
        </w:rPr>
        <w:t xml:space="preserve">  </w:t>
      </w:r>
      <w:r w:rsidRPr="00C926A5">
        <w:rPr>
          <w:rFonts w:ascii="Times New Roman" w:eastAsia="Calibri" w:hAnsi="Times New Roman" w:cs="Times New Roman"/>
          <w:color w:val="000000"/>
        </w:rPr>
        <w:t xml:space="preserve">Two consanguineous families of Senegalese origin had affected siblings homozygous for the c.253C&gt;T </w:t>
      </w:r>
      <w:proofErr w:type="gramStart"/>
      <w:r w:rsidRPr="00C926A5">
        <w:rPr>
          <w:rFonts w:ascii="Times New Roman" w:eastAsia="Calibri" w:hAnsi="Times New Roman" w:cs="Times New Roman"/>
          <w:color w:val="000000"/>
        </w:rPr>
        <w:t>p.(</w:t>
      </w:r>
      <w:proofErr w:type="gramEnd"/>
      <w:r w:rsidRPr="00C926A5">
        <w:rPr>
          <w:rFonts w:ascii="Times New Roman" w:eastAsia="Calibri" w:hAnsi="Times New Roman" w:cs="Times New Roman"/>
          <w:color w:val="000000"/>
        </w:rPr>
        <w:t>Leu85Phe) missense variant (</w:t>
      </w:r>
      <w:r w:rsidRPr="00C926A5">
        <w:rPr>
          <w:rFonts w:ascii="Times New Roman" w:eastAsia="Calibri" w:hAnsi="Times New Roman" w:cs="Times New Roman"/>
        </w:rPr>
        <w:t xml:space="preserve">Figure 1A, 1B and </w:t>
      </w:r>
      <w:r>
        <w:rPr>
          <w:rFonts w:ascii="Times New Roman" w:eastAsia="Calibri" w:hAnsi="Times New Roman" w:cs="Times New Roman"/>
        </w:rPr>
        <w:t xml:space="preserve">Supplementary </w:t>
      </w:r>
      <w:r w:rsidRPr="00C926A5">
        <w:rPr>
          <w:rFonts w:ascii="Times New Roman" w:eastAsia="Calibri" w:hAnsi="Times New Roman" w:cs="Times New Roman"/>
        </w:rPr>
        <w:t>Table 1</w:t>
      </w:r>
      <w:r w:rsidRPr="00C926A5">
        <w:rPr>
          <w:rFonts w:ascii="Times New Roman" w:eastAsia="Calibri" w:hAnsi="Times New Roman" w:cs="Times New Roman"/>
          <w:color w:val="000000"/>
        </w:rPr>
        <w:t>)</w:t>
      </w:r>
      <w:r w:rsidRPr="00C926A5">
        <w:rPr>
          <w:rFonts w:ascii="Times New Roman" w:hAnsi="Times New Roman" w:cs="Times New Roman"/>
          <w:color w:val="212121"/>
          <w:shd w:val="clear" w:color="auto" w:fill="FFFFFF"/>
        </w:rPr>
        <w:t xml:space="preserve">. </w:t>
      </w:r>
      <w:r w:rsidRPr="00C926A5">
        <w:rPr>
          <w:rFonts w:ascii="Times New Roman" w:hAnsi="Times New Roman" w:cs="Times New Roman"/>
        </w:rPr>
        <w:t xml:space="preserve">The parents and unaffected sister of individuals </w:t>
      </w:r>
      <w:r w:rsidR="002D23D1">
        <w:rPr>
          <w:rFonts w:ascii="Times New Roman" w:hAnsi="Times New Roman" w:cs="Times New Roman"/>
        </w:rPr>
        <w:t>P</w:t>
      </w:r>
      <w:r w:rsidRPr="00C926A5">
        <w:rPr>
          <w:rFonts w:ascii="Times New Roman" w:hAnsi="Times New Roman" w:cs="Times New Roman"/>
        </w:rPr>
        <w:t xml:space="preserve">4 and </w:t>
      </w:r>
      <w:r w:rsidR="002D23D1">
        <w:rPr>
          <w:rFonts w:ascii="Times New Roman" w:hAnsi="Times New Roman" w:cs="Times New Roman"/>
        </w:rPr>
        <w:t>P</w:t>
      </w:r>
      <w:r w:rsidRPr="00C926A5">
        <w:rPr>
          <w:rFonts w:ascii="Times New Roman" w:hAnsi="Times New Roman" w:cs="Times New Roman"/>
        </w:rPr>
        <w:t xml:space="preserve">5 were found to be heterozygous for the </w:t>
      </w:r>
      <w:r w:rsidRPr="00C926A5">
        <w:rPr>
          <w:rFonts w:ascii="Times New Roman" w:hAnsi="Times New Roman" w:cs="Times New Roman"/>
          <w:i/>
          <w:iCs/>
        </w:rPr>
        <w:t xml:space="preserve">MED20 </w:t>
      </w:r>
      <w:r w:rsidRPr="00C926A5">
        <w:rPr>
          <w:rFonts w:ascii="Times New Roman" w:hAnsi="Times New Roman" w:cs="Times New Roman"/>
        </w:rPr>
        <w:t>variant.</w:t>
      </w:r>
      <w:r w:rsidRPr="00C926A5">
        <w:rPr>
          <w:rFonts w:ascii="Times New Roman" w:eastAsia="Calibri" w:hAnsi="Times New Roman" w:cs="Times New Roman"/>
          <w:color w:val="000000"/>
        </w:rPr>
        <w:t xml:space="preserve"> In addition to the homozygous </w:t>
      </w:r>
      <w:r w:rsidRPr="00C926A5">
        <w:rPr>
          <w:rFonts w:ascii="Times New Roman" w:eastAsia="Calibri" w:hAnsi="Times New Roman" w:cs="Times New Roman"/>
          <w:i/>
          <w:iCs/>
          <w:color w:val="000000"/>
        </w:rPr>
        <w:t>MED20</w:t>
      </w:r>
      <w:r w:rsidRPr="00C926A5">
        <w:rPr>
          <w:rFonts w:ascii="Times New Roman" w:eastAsia="Calibri" w:hAnsi="Times New Roman" w:cs="Times New Roman"/>
          <w:color w:val="000000"/>
        </w:rPr>
        <w:t xml:space="preserve"> variants, </w:t>
      </w:r>
      <w:r w:rsidRPr="00C926A5">
        <w:rPr>
          <w:rFonts w:ascii="Times New Roman" w:eastAsia="Calibri" w:hAnsi="Times New Roman" w:cs="Times New Roman"/>
        </w:rPr>
        <w:t xml:space="preserve">individuals P4 and P5 are also </w:t>
      </w:r>
      <w:r w:rsidRPr="00C926A5">
        <w:rPr>
          <w:rFonts w:ascii="Times New Roman" w:hAnsi="Times New Roman" w:cs="Times New Roman"/>
        </w:rPr>
        <w:t>heterozygous for a splice variant in sodium voltage-gated channel beta subunit 1 gene</w:t>
      </w:r>
      <w:r w:rsidRPr="00C926A5">
        <w:rPr>
          <w:rFonts w:ascii="Times New Roman" w:hAnsi="Times New Roman" w:cs="Times New Roman"/>
          <w:i/>
          <w:iCs/>
        </w:rPr>
        <w:t xml:space="preserve"> </w:t>
      </w:r>
      <w:r w:rsidRPr="00C926A5">
        <w:rPr>
          <w:rFonts w:ascii="Times New Roman" w:hAnsi="Times New Roman" w:cs="Times New Roman"/>
        </w:rPr>
        <w:t>(</w:t>
      </w:r>
      <w:r w:rsidRPr="00C926A5">
        <w:rPr>
          <w:rFonts w:ascii="Times New Roman" w:hAnsi="Times New Roman" w:cs="Times New Roman"/>
          <w:i/>
          <w:iCs/>
        </w:rPr>
        <w:t>SCN1</w:t>
      </w:r>
      <w:r w:rsidRPr="00C926A5">
        <w:rPr>
          <w:rFonts w:ascii="Times New Roman" w:eastAsia="Calibri" w:hAnsi="Times New Roman" w:cs="Times New Roman"/>
          <w:i/>
          <w:iCs/>
        </w:rPr>
        <w:t xml:space="preserve">B, </w:t>
      </w:r>
      <w:r w:rsidRPr="00C926A5">
        <w:rPr>
          <w:rFonts w:ascii="Times New Roman" w:eastAsia="Symbol" w:hAnsi="Times New Roman" w:cs="Times New Roman"/>
        </w:rPr>
        <w:t>[</w:t>
      </w:r>
      <w:r w:rsidRPr="00C926A5">
        <w:rPr>
          <w:rFonts w:ascii="Times New Roman" w:hAnsi="Times New Roman" w:cs="Times New Roman"/>
        </w:rPr>
        <w:t>MIM 60023</w:t>
      </w:r>
      <w:r w:rsidRPr="00C926A5">
        <w:rPr>
          <w:rFonts w:ascii="Times New Roman" w:eastAsia="Symbol" w:hAnsi="Times New Roman" w:cs="Times New Roman"/>
        </w:rPr>
        <w:t>]</w:t>
      </w:r>
      <w:r w:rsidRPr="00C926A5">
        <w:rPr>
          <w:rFonts w:ascii="Times New Roman" w:hAnsi="Times New Roman" w:cs="Times New Roman"/>
        </w:rPr>
        <w:t xml:space="preserve">) inherited from their mother. Heterozygous </w:t>
      </w:r>
      <w:r w:rsidRPr="00C926A5">
        <w:rPr>
          <w:rFonts w:ascii="Times New Roman" w:hAnsi="Times New Roman" w:cs="Times New Roman"/>
          <w:highlight w:val="white"/>
        </w:rPr>
        <w:t>pathogenic variants in this gene lead to generalized epilepsy with febrile seizures, type 1 [MIM 604233] and familial atrial fibrillation, 13 [MIM 615377] and both phenotypes are known to have reduced penetrance</w:t>
      </w:r>
      <w:r w:rsidR="002D23D1">
        <w:rPr>
          <w:rFonts w:ascii="Times New Roman" w:hAnsi="Times New Roman" w:cs="Times New Roman"/>
          <w:highlight w:val="white"/>
        </w:rPr>
        <w:fldChar w:fldCharType="begin"/>
      </w:r>
      <w:r w:rsidR="002D23D1">
        <w:rPr>
          <w:rFonts w:ascii="Times New Roman" w:hAnsi="Times New Roman" w:cs="Times New Roman"/>
          <w:highlight w:val="white"/>
        </w:rPr>
        <w:instrText xml:space="preserve"> ADDIN ZOTERO_ITEM CSL_CITATION {"citationID":"roz6q8T3","properties":{"formattedCitation":"\\super 2,3\\nosupersub{}","plainCitation":"2,3","noteIndex":0},"citationItems":[{"id":455,"uris":["http://zotero.org/users/local/P5hNUgg0/items/K8GIJCDL"],"itemData":{"id":455,"type":"article-journal","abstract":"BACKGROUND: Voltage-gated sodium channels are protein complexes composed of 2 subunits, namely, pore-forming α- and regulatory β-subunits. A β-subunit consists of 5 proteins encoded by 4 genes (i.e., SCN1B-SCN4B).\nSUMMARY: β1-Subunits regulate sodium ion channel functions, including gating properties, subcellular localization, and kinetics. Key Message: Sodium channel β1- and its variant β1B-subunits are encoded by SCN1B. These variants are associated with many human diseases, such as epilepsy, Brugada syndrome, Dravet syndrome, and cancers. On the basis of previous research, we aimed to provide an overview of the structure, expression, and involvement of SCN1B in physiological processes and focused on its role in diseases.","container-title":"Human Heredity","DOI":"10.1159/000516388","ISSN":"1423-0062","issue":"3-6","journalAbbreviation":"Hum Hered","language":"eng","note":"PMID: 34038903","page":"101-109","source":"PubMed","title":"Voltage-Gated Sodium Channel β1 Gene: An Overview","title-short":"Voltage-Gated Sodium Channel β1 Gene","volume":"85","author":[{"family":"Al-Ward","given":"Hisham"},{"family":"Liu","given":"Chun-Yang"},{"family":"Liu","given":"Ning"},{"family":"Shaher","given":"Fahmi"},{"family":"Al-Nusaif","given":"Murad"},{"family":"Mao","given":"Jing"},{"family":"Xu","given":"Hui"}],"issued":{"date-parts":[["2020"]]}}},{"id":452,"uris":["http://zotero.org/users/local/P5hNUgg0/items/7V6F29YU"],"itemData":{"id":452,"type":"article-journal","abstract":"Background: Pathogenic variants in SCN1B, the gene encoding voltage-gated sodium channel b1/b1B subunits are associated with a spectrum of epileptic disorders. This study describes a child with early myoclonic encephalopathy and a compound heterozygous variant in the SCN1B gene (p.Arg85Cys and c.3G&gt;C/p.Met1), along with the child’s clinical response to anti-seizure medications (ASMs) and the ketogenic diet. We reviewed the current clinical literature pertinent to SCN1B-related epilepsy. Methods: We described the evaluation and management of a patient with SCN1B-related developmental and epileptic encephalopathy (DEE). We used the Medline and Pubmed databases to review the various neurological manifestations associated with SCN1B genetic variants, and summarize the functional studies performed on SCN1B variants. Results: We identified 20 families and six individuals (including the index case described herein) reported to have SCN1B-related epilepsy. Individuals with monoallelic pathogenic variants in SCN1B often present with genetic epilepsy with febrile seizures plus (GEFS+), while those with biallelic pathogenic variants may present with developmental and epileptic encephalopathy (DEE). Individuals with DEE present with seizures of various semiologies (commonly myoclonic seizures) and status epilepticus at early infancy and are treated with various antiseizure medications. In our index case, adjunctive fenfluramine was started at 8 months of age at 0.2 mg/kg/day with gradual incremental increases to the final dose of 0.7 mg/kg/day over 5 weeks. Fenfluramine was effective in the treatment of seizures, resulting in a 50% reduction in myoclonic seizures, status epilepticus, and generalized tonic-clonic seizures, as well as a 70−90% reduction in focal seizures, with no significant adverse effects. Following the initiation of fenfluramine at eight months of age, there was also a 50% reduction in the rate of hospitalizations. Conclusions: SCN1B pathogenic variants cause epilepsy and neurodevelopmental impairment with variable expressivity and incomplete penetrance. The severity of disease is associated with the zygosity of the pathogenic variants. Biallelic variants in SCN1B can result in early myoclonic encephalopathy, and adjunctive treatment with fenfluramine may be an effective treatment for SCN1B-related DEE. Further research on the efficacy and safety of using newer ASMs, such as fenfluramine in patients under the age of 2 years is needed.","container-title":"Children","DOI":"10.3390/children9101507","ISSN":"2227-9067","issue":"10","journalAbbreviation":"Children (Basel)","language":"eng","note":"publisher-place: Basel, Switzerland\nPMID: 36291443\nPMCID: PMC9600564","page":"1507","source":"PubMed","title":"SCN1B Genetic Variants: A Review of the Spectrum of Clinical Phenotypes and a Report of Early Myoclonic Encephalopathy","title-short":"SCN1B Genetic Variants","volume":"9","author":[{"family":"Zhu","given":"Zahra"},{"family":"Bolt","given":"Elizabeth"},{"family":"Newmaster","given":"Kyra"},{"family":"Osei-Bonsu","given":"Wendy"},{"family":"Cohen","given":"Stacey"},{"family":"Cuddapah","given":"Vishnu Anand"},{"family":"Gupta","given":"Siddharth"},{"family":"Paudel","given":"Sita"},{"family":"Samanta","given":"Debopam"},{"family":"Dang","given":"Louis T."},{"family":"Carney","given":"Paul R."},{"family":"Naik","given":"Sunil"}],"issued":{"date-parts":[["2022",10,1]]}}}],"schema":"https://github.com/citation-style-language/schema/raw/master/csl-citation.json"} </w:instrText>
      </w:r>
      <w:r w:rsidR="002D23D1">
        <w:rPr>
          <w:rFonts w:ascii="Times New Roman" w:hAnsi="Times New Roman" w:cs="Times New Roman"/>
          <w:highlight w:val="white"/>
        </w:rPr>
        <w:fldChar w:fldCharType="separate"/>
      </w:r>
      <w:r w:rsidR="002D23D1" w:rsidRPr="002D23D1">
        <w:rPr>
          <w:rFonts w:ascii="Times New Roman" w:hAnsi="Times New Roman" w:cs="Times New Roman"/>
          <w:kern w:val="0"/>
          <w:vertAlign w:val="superscript"/>
        </w:rPr>
        <w:t>2,3</w:t>
      </w:r>
      <w:r w:rsidR="002D23D1">
        <w:rPr>
          <w:rFonts w:ascii="Times New Roman" w:hAnsi="Times New Roman" w:cs="Times New Roman"/>
          <w:highlight w:val="white"/>
        </w:rPr>
        <w:fldChar w:fldCharType="end"/>
      </w:r>
      <w:r w:rsidRPr="00C926A5">
        <w:rPr>
          <w:rFonts w:ascii="Times New Roman" w:hAnsi="Times New Roman" w:cs="Times New Roman"/>
          <w:highlight w:val="white"/>
        </w:rPr>
        <w:t xml:space="preserve">. Individuals </w:t>
      </w:r>
      <w:r w:rsidR="002D23D1">
        <w:rPr>
          <w:rFonts w:ascii="Times New Roman" w:hAnsi="Times New Roman" w:cs="Times New Roman"/>
          <w:highlight w:val="white"/>
        </w:rPr>
        <w:t>P</w:t>
      </w:r>
      <w:r w:rsidRPr="00C926A5">
        <w:rPr>
          <w:rFonts w:ascii="Times New Roman" w:hAnsi="Times New Roman" w:cs="Times New Roman"/>
          <w:highlight w:val="white"/>
        </w:rPr>
        <w:t xml:space="preserve">4 and </w:t>
      </w:r>
      <w:r w:rsidR="002D23D1">
        <w:rPr>
          <w:rFonts w:ascii="Times New Roman" w:hAnsi="Times New Roman" w:cs="Times New Roman"/>
          <w:highlight w:val="white"/>
        </w:rPr>
        <w:t>P</w:t>
      </w:r>
      <w:r w:rsidRPr="00C926A5">
        <w:rPr>
          <w:rFonts w:ascii="Times New Roman" w:hAnsi="Times New Roman" w:cs="Times New Roman"/>
          <w:highlight w:val="white"/>
        </w:rPr>
        <w:t xml:space="preserve">5 both had febrile seizures and generalized epilepsy; however, their mother did not have a known history of seizures. They were also found to be heterozygous for a variant of uncertain significance in the </w:t>
      </w:r>
      <w:r w:rsidRPr="00CA0B21">
        <w:rPr>
          <w:rFonts w:ascii="Times New Roman" w:hAnsi="Times New Roman" w:cs="Times New Roman"/>
          <w:i/>
          <w:highlight w:val="white"/>
        </w:rPr>
        <w:t>RET</w:t>
      </w:r>
      <w:r w:rsidRPr="00C926A5">
        <w:rPr>
          <w:rFonts w:ascii="Times New Roman" w:hAnsi="Times New Roman" w:cs="Times New Roman"/>
          <w:highlight w:val="white"/>
        </w:rPr>
        <w:t xml:space="preserve"> gene, c.1009G&gt;A, p.E337K), </w:t>
      </w:r>
      <w:r w:rsidR="00C62B0A">
        <w:rPr>
          <w:rFonts w:ascii="Times New Roman" w:hAnsi="Times New Roman" w:cs="Times New Roman"/>
          <w:highlight w:val="white"/>
        </w:rPr>
        <w:t xml:space="preserve">known to be associated with </w:t>
      </w:r>
      <w:proofErr w:type="spellStart"/>
      <w:r w:rsidR="00C62B0A">
        <w:rPr>
          <w:rFonts w:ascii="Times New Roman" w:hAnsi="Times New Roman" w:cs="Times New Roman"/>
          <w:highlight w:val="white"/>
        </w:rPr>
        <w:t>Hirschprung</w:t>
      </w:r>
      <w:proofErr w:type="spellEnd"/>
      <w:r w:rsidR="00C62B0A">
        <w:rPr>
          <w:rFonts w:ascii="Times New Roman" w:hAnsi="Times New Roman" w:cs="Times New Roman"/>
          <w:highlight w:val="white"/>
        </w:rPr>
        <w:t xml:space="preserve"> disease, </w:t>
      </w:r>
      <w:r w:rsidRPr="00C926A5">
        <w:rPr>
          <w:rFonts w:ascii="Times New Roman" w:hAnsi="Times New Roman" w:cs="Times New Roman"/>
          <w:highlight w:val="white"/>
        </w:rPr>
        <w:t xml:space="preserve">and individual </w:t>
      </w:r>
      <w:r w:rsidR="002D23D1">
        <w:rPr>
          <w:rFonts w:ascii="Times New Roman" w:hAnsi="Times New Roman" w:cs="Times New Roman"/>
          <w:highlight w:val="white"/>
        </w:rPr>
        <w:t>P</w:t>
      </w:r>
      <w:r w:rsidRPr="00C926A5">
        <w:rPr>
          <w:rFonts w:ascii="Times New Roman" w:hAnsi="Times New Roman" w:cs="Times New Roman"/>
          <w:highlight w:val="white"/>
        </w:rPr>
        <w:t>5 had biopsy-confirmed Hirschsprung disease.</w:t>
      </w:r>
    </w:p>
    <w:p w14:paraId="5761FBDE"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0C82CFB6"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40799A1F"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404B48A"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09FF75C"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3D690F4"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33BB175"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E4F61C7"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320B118E"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2AC0B321"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724DD954"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5F45C101" w14:textId="77777777" w:rsidR="00DF3FF6" w:rsidRDefault="00DF3FF6"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03714D76" w14:textId="2F976D38" w:rsidR="00AC1A7D" w:rsidRDefault="00AC1A7D"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r w:rsidRPr="00AC1A7D">
        <w:rPr>
          <w:rFonts w:ascii="Times New Roman" w:eastAsiaTheme="minorHAnsi" w:hAnsi="Times New Roman" w:cs="Times New Roman"/>
          <w:b/>
          <w:bCs/>
          <w:color w:val="auto"/>
          <w:kern w:val="2"/>
          <w:sz w:val="24"/>
          <w:szCs w:val="24"/>
          <w:u w:val="single"/>
          <w:lang w:val="en-US" w:eastAsia="en-US"/>
          <w14:ligatures w14:val="standardContextual"/>
        </w:rPr>
        <w:lastRenderedPageBreak/>
        <w:t xml:space="preserve">Clinical vignettes of the </w:t>
      </w:r>
      <w:r w:rsidR="00351ADB">
        <w:rPr>
          <w:rFonts w:ascii="Times New Roman" w:eastAsiaTheme="minorHAnsi" w:hAnsi="Times New Roman" w:cs="Times New Roman"/>
          <w:b/>
          <w:bCs/>
          <w:color w:val="auto"/>
          <w:kern w:val="2"/>
          <w:sz w:val="24"/>
          <w:szCs w:val="24"/>
          <w:u w:val="single"/>
          <w:lang w:val="en-US" w:eastAsia="en-US"/>
          <w14:ligatures w14:val="standardContextual"/>
        </w:rPr>
        <w:t>individuals</w:t>
      </w:r>
      <w:r w:rsidRPr="00AC1A7D">
        <w:rPr>
          <w:rFonts w:ascii="Times New Roman" w:eastAsiaTheme="minorHAnsi" w:hAnsi="Times New Roman" w:cs="Times New Roman"/>
          <w:b/>
          <w:bCs/>
          <w:color w:val="auto"/>
          <w:kern w:val="2"/>
          <w:sz w:val="24"/>
          <w:szCs w:val="24"/>
          <w:u w:val="single"/>
          <w:lang w:val="en-US" w:eastAsia="en-US"/>
          <w14:ligatures w14:val="standardContextual"/>
        </w:rPr>
        <w:t xml:space="preserve"> reported herein with biallelic pathogenic variants in </w:t>
      </w:r>
      <w:r w:rsidRPr="00351ADB">
        <w:rPr>
          <w:rFonts w:ascii="Times New Roman" w:eastAsiaTheme="minorHAnsi" w:hAnsi="Times New Roman" w:cs="Times New Roman"/>
          <w:b/>
          <w:bCs/>
          <w:i/>
          <w:iCs/>
          <w:color w:val="auto"/>
          <w:kern w:val="2"/>
          <w:sz w:val="24"/>
          <w:szCs w:val="24"/>
          <w:u w:val="single"/>
          <w:lang w:val="en-US" w:eastAsia="en-US"/>
          <w14:ligatures w14:val="standardContextual"/>
        </w:rPr>
        <w:t>MED20</w:t>
      </w:r>
      <w:r w:rsidRPr="00AC1A7D">
        <w:rPr>
          <w:rFonts w:ascii="Times New Roman" w:eastAsiaTheme="minorHAnsi" w:hAnsi="Times New Roman" w:cs="Times New Roman"/>
          <w:b/>
          <w:bCs/>
          <w:color w:val="auto"/>
          <w:kern w:val="2"/>
          <w:sz w:val="24"/>
          <w:szCs w:val="24"/>
          <w:u w:val="single"/>
          <w:lang w:val="en-US" w:eastAsia="en-US"/>
          <w14:ligatures w14:val="standardContextual"/>
        </w:rPr>
        <w:t xml:space="preserve"> </w:t>
      </w:r>
    </w:p>
    <w:p w14:paraId="1CDE4836" w14:textId="77777777" w:rsidR="00AC1A7D" w:rsidRPr="00AC1A7D" w:rsidRDefault="00AC1A7D" w:rsidP="00AC1A7D">
      <w:pPr>
        <w:pStyle w:val="p1"/>
        <w:jc w:val="both"/>
        <w:rPr>
          <w:rFonts w:ascii="Times New Roman" w:eastAsiaTheme="minorHAnsi" w:hAnsi="Times New Roman" w:cs="Times New Roman"/>
          <w:b/>
          <w:bCs/>
          <w:color w:val="auto"/>
          <w:kern w:val="2"/>
          <w:sz w:val="24"/>
          <w:szCs w:val="24"/>
          <w:u w:val="single"/>
          <w:lang w:val="en-US" w:eastAsia="en-US"/>
          <w14:ligatures w14:val="standardContextual"/>
        </w:rPr>
      </w:pPr>
    </w:p>
    <w:p w14:paraId="6E9C0E2B" w14:textId="78592D2F" w:rsidR="00474053" w:rsidRDefault="00701E53" w:rsidP="00095E9B">
      <w:pPr>
        <w:jc w:val="both"/>
        <w:rPr>
          <w:rFonts w:ascii="Times New Roman" w:hAnsi="Times New Roman" w:cs="Times New Roman"/>
        </w:rPr>
      </w:pPr>
      <w:r w:rsidRPr="00756C21">
        <w:rPr>
          <w:rFonts w:ascii="Times New Roman" w:eastAsia="Times New Roman" w:hAnsi="Times New Roman" w:cs="Times New Roman"/>
          <w:kern w:val="0"/>
        </w:rPr>
        <w:t xml:space="preserve">Family 1, </w:t>
      </w:r>
      <w:r w:rsidR="005355BE">
        <w:rPr>
          <w:rFonts w:ascii="Times New Roman" w:eastAsia="Times New Roman" w:hAnsi="Times New Roman" w:cs="Times New Roman"/>
          <w:kern w:val="0"/>
        </w:rPr>
        <w:t>i</w:t>
      </w:r>
      <w:r w:rsidR="002D23D1">
        <w:rPr>
          <w:rFonts w:ascii="Times New Roman" w:eastAsia="Times New Roman" w:hAnsi="Times New Roman" w:cs="Times New Roman"/>
          <w:kern w:val="0"/>
        </w:rPr>
        <w:t>ndividual</w:t>
      </w:r>
      <w:r w:rsidRPr="00756C21">
        <w:rPr>
          <w:rFonts w:ascii="Times New Roman" w:eastAsia="Times New Roman" w:hAnsi="Times New Roman" w:cs="Times New Roman"/>
          <w:kern w:val="0"/>
        </w:rPr>
        <w:t xml:space="preserve"> </w:t>
      </w:r>
      <w:r w:rsidR="002D23D1">
        <w:rPr>
          <w:rFonts w:ascii="Times New Roman" w:eastAsia="Times New Roman" w:hAnsi="Times New Roman" w:cs="Times New Roman"/>
          <w:kern w:val="0"/>
        </w:rPr>
        <w:t>P</w:t>
      </w:r>
      <w:r w:rsidRPr="00756C21">
        <w:rPr>
          <w:rFonts w:ascii="Times New Roman" w:eastAsia="Times New Roman" w:hAnsi="Times New Roman" w:cs="Times New Roman"/>
          <w:kern w:val="0"/>
        </w:rPr>
        <w:t>1</w:t>
      </w:r>
      <w:r w:rsidR="00756C21">
        <w:rPr>
          <w:rFonts w:ascii="Times New Roman" w:eastAsia="Times New Roman" w:hAnsi="Times New Roman" w:cs="Times New Roman"/>
          <w:kern w:val="0"/>
        </w:rPr>
        <w:t xml:space="preserve"> (France)</w:t>
      </w:r>
      <w:r w:rsidR="008F601E">
        <w:rPr>
          <w:rFonts w:ascii="Times New Roman" w:eastAsia="Times New Roman" w:hAnsi="Times New Roman" w:cs="Times New Roman"/>
          <w:kern w:val="0"/>
        </w:rPr>
        <w:t>.</w:t>
      </w:r>
      <w:r w:rsidR="00756C21" w:rsidRPr="00756C21">
        <w:rPr>
          <w:rFonts w:ascii="Times New Roman" w:hAnsi="Times New Roman" w:cs="Times New Roman"/>
        </w:rPr>
        <w:t xml:space="preserve"> </w:t>
      </w:r>
      <w:r w:rsidR="00756C21">
        <w:rPr>
          <w:rFonts w:ascii="Times New Roman" w:hAnsi="Times New Roman" w:cs="Times New Roman"/>
        </w:rPr>
        <w:t xml:space="preserve">This </w:t>
      </w:r>
      <w:r w:rsidR="00756C21" w:rsidRPr="00756C21">
        <w:rPr>
          <w:rFonts w:ascii="Times New Roman" w:hAnsi="Times New Roman" w:cs="Times New Roman"/>
        </w:rPr>
        <w:t xml:space="preserve">female individual </w:t>
      </w:r>
      <w:r w:rsidR="00756C21">
        <w:rPr>
          <w:rFonts w:ascii="Times New Roman" w:hAnsi="Times New Roman" w:cs="Times New Roman"/>
        </w:rPr>
        <w:t xml:space="preserve">is </w:t>
      </w:r>
      <w:r w:rsidR="00756C21" w:rsidRPr="00756C21">
        <w:rPr>
          <w:rFonts w:ascii="Times New Roman" w:hAnsi="Times New Roman" w:cs="Times New Roman"/>
        </w:rPr>
        <w:t>born to non-consanguineous parents (Fig</w:t>
      </w:r>
      <w:r w:rsidR="00756C21">
        <w:rPr>
          <w:rFonts w:ascii="Times New Roman" w:hAnsi="Times New Roman" w:cs="Times New Roman"/>
        </w:rPr>
        <w:t>.</w:t>
      </w:r>
      <w:r w:rsidR="00756C21" w:rsidRPr="00756C21">
        <w:rPr>
          <w:rFonts w:ascii="Times New Roman" w:hAnsi="Times New Roman" w:cs="Times New Roman"/>
        </w:rPr>
        <w:t>1C). She presented from early infancy with se</w:t>
      </w:r>
      <w:r w:rsidR="008F601E">
        <w:rPr>
          <w:rFonts w:ascii="Times New Roman" w:hAnsi="Times New Roman" w:cs="Times New Roman"/>
        </w:rPr>
        <w:t>vere global developmental delay and</w:t>
      </w:r>
      <w:r w:rsidR="00756C21" w:rsidRPr="00756C21">
        <w:rPr>
          <w:rFonts w:ascii="Times New Roman" w:hAnsi="Times New Roman" w:cs="Times New Roman"/>
        </w:rPr>
        <w:t xml:space="preserve"> </w:t>
      </w:r>
      <w:r w:rsidR="008F601E" w:rsidRPr="00756C21">
        <w:rPr>
          <w:rFonts w:ascii="Times New Roman" w:hAnsi="Times New Roman" w:cs="Times New Roman"/>
        </w:rPr>
        <w:t>bilateral congenital cataracts</w:t>
      </w:r>
      <w:r w:rsidR="008F601E">
        <w:rPr>
          <w:rFonts w:ascii="Times New Roman" w:hAnsi="Times New Roman" w:cs="Times New Roman"/>
        </w:rPr>
        <w:t xml:space="preserve">. She never achieved </w:t>
      </w:r>
      <w:r w:rsidR="00756C21" w:rsidRPr="00756C21">
        <w:rPr>
          <w:rFonts w:ascii="Times New Roman" w:hAnsi="Times New Roman" w:cs="Times New Roman"/>
        </w:rPr>
        <w:t xml:space="preserve">independent </w:t>
      </w:r>
      <w:r w:rsidR="008F601E">
        <w:rPr>
          <w:rFonts w:ascii="Times New Roman" w:hAnsi="Times New Roman" w:cs="Times New Roman"/>
        </w:rPr>
        <w:t>ambulation or expressive speech</w:t>
      </w:r>
      <w:r w:rsidR="00756C21" w:rsidRPr="00756C21">
        <w:rPr>
          <w:rFonts w:ascii="Times New Roman" w:hAnsi="Times New Roman" w:cs="Times New Roman"/>
        </w:rPr>
        <w:t>. Neurological examination revealed early-onset spasticity associated with progressive disabling dystonia and progressive microcephaly (−1.5 SD at birth, −4 SD by 4 years). She developed epileptic seizures, which have been well controlled with sodium valproate and lamotrigine. Brain MRI demonstrated diffuse cortical and subcortical atrophy, cereb</w:t>
      </w:r>
      <w:r w:rsidR="008F601E">
        <w:rPr>
          <w:rFonts w:ascii="Times New Roman" w:hAnsi="Times New Roman" w:cs="Times New Roman"/>
        </w:rPr>
        <w:t>ellar and brainstem hypoplasia,</w:t>
      </w:r>
      <w:r w:rsidR="00756C21" w:rsidRPr="00756C21">
        <w:rPr>
          <w:rFonts w:ascii="Times New Roman" w:hAnsi="Times New Roman" w:cs="Times New Roman"/>
        </w:rPr>
        <w:t xml:space="preserve"> posterior falx cerebri calcifications. Visual </w:t>
      </w:r>
      <w:r w:rsidR="00474053">
        <w:rPr>
          <w:rFonts w:ascii="Times New Roman" w:hAnsi="Times New Roman" w:cs="Times New Roman"/>
        </w:rPr>
        <w:t>evoked potentials</w:t>
      </w:r>
      <w:r w:rsidR="00756C21" w:rsidRPr="00756C21">
        <w:rPr>
          <w:rFonts w:ascii="Times New Roman" w:hAnsi="Times New Roman" w:cs="Times New Roman"/>
        </w:rPr>
        <w:t xml:space="preserve"> showed evidence of demyelinating visual pathway dysfunction. Additional findings included severe sc</w:t>
      </w:r>
      <w:r w:rsidR="00474053">
        <w:rPr>
          <w:rFonts w:ascii="Times New Roman" w:hAnsi="Times New Roman" w:cs="Times New Roman"/>
        </w:rPr>
        <w:t>oliosis requiring surgery at 13 </w:t>
      </w:r>
      <w:r w:rsidR="00756C21" w:rsidRPr="00756C21">
        <w:rPr>
          <w:rFonts w:ascii="Times New Roman" w:hAnsi="Times New Roman" w:cs="Times New Roman"/>
        </w:rPr>
        <w:t>years and choanal atresia. By the last clinical evaluation at 17 years, the patient was bedridden, with no visual contact but preserved auditory reactivity.</w:t>
      </w:r>
    </w:p>
    <w:p w14:paraId="1AEA1A4A" w14:textId="1F2D44C5" w:rsidR="00E419CD" w:rsidRDefault="008F601E" w:rsidP="00E419CD">
      <w:pPr>
        <w:jc w:val="both"/>
        <w:rPr>
          <w:rFonts w:ascii="Times New Roman" w:eastAsia="Calibri" w:hAnsi="Times New Roman" w:cs="Times New Roman"/>
          <w:color w:val="000000"/>
        </w:rPr>
      </w:pPr>
      <w:r w:rsidRPr="00C926A5">
        <w:rPr>
          <w:rFonts w:ascii="Times New Roman" w:hAnsi="Times New Roman" w:cs="Times New Roman"/>
        </w:rPr>
        <w:t xml:space="preserve">Family 2, </w:t>
      </w:r>
      <w:r w:rsidR="002D23D1">
        <w:rPr>
          <w:rFonts w:ascii="Times New Roman" w:hAnsi="Times New Roman" w:cs="Times New Roman"/>
        </w:rPr>
        <w:t>individuals</w:t>
      </w:r>
      <w:r w:rsidRPr="00C926A5">
        <w:rPr>
          <w:rFonts w:ascii="Times New Roman" w:hAnsi="Times New Roman" w:cs="Times New Roman"/>
        </w:rPr>
        <w:t xml:space="preserve"> </w:t>
      </w:r>
      <w:r w:rsidR="002D23D1">
        <w:rPr>
          <w:rFonts w:ascii="Times New Roman" w:hAnsi="Times New Roman" w:cs="Times New Roman"/>
        </w:rPr>
        <w:t>P</w:t>
      </w:r>
      <w:r w:rsidRPr="00C926A5">
        <w:rPr>
          <w:rFonts w:ascii="Times New Roman" w:hAnsi="Times New Roman" w:cs="Times New Roman"/>
        </w:rPr>
        <w:t xml:space="preserve">2 and </w:t>
      </w:r>
      <w:r w:rsidR="002D23D1">
        <w:rPr>
          <w:rFonts w:ascii="Times New Roman" w:hAnsi="Times New Roman" w:cs="Times New Roman"/>
        </w:rPr>
        <w:t>P</w:t>
      </w:r>
      <w:r w:rsidRPr="00C926A5">
        <w:rPr>
          <w:rFonts w:ascii="Times New Roman" w:hAnsi="Times New Roman" w:cs="Times New Roman"/>
        </w:rPr>
        <w:t>3 (Aus</w:t>
      </w:r>
      <w:r>
        <w:rPr>
          <w:rFonts w:ascii="Times New Roman" w:hAnsi="Times New Roman" w:cs="Times New Roman"/>
        </w:rPr>
        <w:t>tria).</w:t>
      </w:r>
      <w:r w:rsidRPr="00C926A5">
        <w:rPr>
          <w:rFonts w:ascii="Times New Roman" w:hAnsi="Times New Roman" w:cs="Times New Roman"/>
        </w:rPr>
        <w:t xml:space="preserve"> </w:t>
      </w:r>
      <w:r>
        <w:rPr>
          <w:rFonts w:ascii="Times New Roman" w:eastAsia="Calibri" w:hAnsi="Times New Roman" w:cs="Times New Roman"/>
          <w:color w:val="000000"/>
        </w:rPr>
        <w:t>I</w:t>
      </w:r>
      <w:r w:rsidRPr="00C926A5">
        <w:rPr>
          <w:rFonts w:ascii="Times New Roman" w:eastAsia="Calibri" w:hAnsi="Times New Roman" w:cs="Times New Roman"/>
          <w:color w:val="000000"/>
        </w:rPr>
        <w:t>ndividuals P2 and P3 are affected siste</w:t>
      </w:r>
      <w:r w:rsidR="00095E9B">
        <w:rPr>
          <w:rFonts w:ascii="Times New Roman" w:eastAsia="Calibri" w:hAnsi="Times New Roman" w:cs="Times New Roman"/>
          <w:color w:val="000000"/>
        </w:rPr>
        <w:t>rs from a consanguineous union.</w:t>
      </w:r>
      <w:r w:rsidR="00095E9B" w:rsidRPr="00095E9B">
        <w:rPr>
          <w:rFonts w:ascii="Times New Roman" w:eastAsia="Calibri" w:hAnsi="Times New Roman" w:cs="Times New Roman"/>
          <w:color w:val="000000"/>
        </w:rPr>
        <w:t xml:space="preserve"> Developmental delay was evident from early infancy, with strabismus noted since birth. Both individuals achieved assisted walking at 2.5 years but never attained independent ambulation and subsequently became wheelchair-dependent (at age 10 and 14 years, respectively). Expressive speech was absent in both, while receptive language remained limited t</w:t>
      </w:r>
      <w:r w:rsidR="00095E9B">
        <w:rPr>
          <w:rFonts w:ascii="Times New Roman" w:eastAsia="Calibri" w:hAnsi="Times New Roman" w:cs="Times New Roman"/>
          <w:color w:val="000000"/>
        </w:rPr>
        <w:t xml:space="preserve">o an early developmental level. </w:t>
      </w:r>
      <w:r w:rsidR="00095E9B" w:rsidRPr="00095E9B">
        <w:rPr>
          <w:rFonts w:ascii="Times New Roman" w:eastAsia="Calibri" w:hAnsi="Times New Roman" w:cs="Times New Roman"/>
          <w:color w:val="000000"/>
        </w:rPr>
        <w:t xml:space="preserve">Progressive neurological deterioration was observed from early childhood, including infantile-onset spasticity, severe and progressive ataxia, and peripheral neuropathy confirmed by </w:t>
      </w:r>
      <w:r w:rsidR="00474053">
        <w:rPr>
          <w:rFonts w:ascii="Times New Roman" w:eastAsia="Calibri" w:hAnsi="Times New Roman" w:cs="Times New Roman"/>
          <w:color w:val="000000"/>
        </w:rPr>
        <w:t>nerve conduction studies</w:t>
      </w:r>
      <w:r w:rsidR="00095E9B" w:rsidRPr="00095E9B">
        <w:rPr>
          <w:rFonts w:ascii="Times New Roman" w:eastAsia="Calibri" w:hAnsi="Times New Roman" w:cs="Times New Roman"/>
          <w:color w:val="000000"/>
        </w:rPr>
        <w:t xml:space="preserve"> in one case. Motor regression was marked by loss of assisted walking (at 6 and 10 years, respectively), with further decline including loss of crawling and nonverbal communication skills in one individual.</w:t>
      </w:r>
      <w:r w:rsidR="00095E9B">
        <w:rPr>
          <w:rFonts w:ascii="Times New Roman" w:eastAsia="Calibri" w:hAnsi="Times New Roman" w:cs="Times New Roman"/>
          <w:color w:val="000000"/>
        </w:rPr>
        <w:t xml:space="preserve"> </w:t>
      </w:r>
      <w:r w:rsidR="00095E9B" w:rsidRPr="00095E9B">
        <w:rPr>
          <w:rFonts w:ascii="Times New Roman" w:eastAsia="Calibri" w:hAnsi="Times New Roman" w:cs="Times New Roman"/>
          <w:color w:val="000000"/>
        </w:rPr>
        <w:t xml:space="preserve">Ophthalmological features included bilateral childhood-onset cataracts requiring surgery and convergent strabismus. Epilepsy was absent in one sibling and suspected in the other during adolescence. </w:t>
      </w:r>
      <w:r w:rsidR="005313EB" w:rsidRPr="00890F49">
        <w:rPr>
          <w:rFonts w:ascii="Times New Roman" w:eastAsia="Times New Roman" w:hAnsi="Times New Roman" w:cs="Times New Roman"/>
          <w:kern w:val="0"/>
        </w:rPr>
        <w:t>Both individuals were described as having a consistently cheerful and friendly disposition.</w:t>
      </w:r>
      <w:r w:rsidR="005313EB">
        <w:rPr>
          <w:rFonts w:ascii="Times New Roman" w:eastAsia="Times New Roman" w:hAnsi="Times New Roman" w:cs="Times New Roman"/>
          <w:kern w:val="0"/>
        </w:rPr>
        <w:t xml:space="preserve"> </w:t>
      </w:r>
      <w:r w:rsidR="00095E9B" w:rsidRPr="00095E9B">
        <w:rPr>
          <w:rFonts w:ascii="Times New Roman" w:eastAsia="Calibri" w:hAnsi="Times New Roman" w:cs="Times New Roman"/>
          <w:color w:val="000000"/>
        </w:rPr>
        <w:t xml:space="preserve">Both patients exhibited a recognizable pattern of facial dysmorphism, including almond-shaped eyes with </w:t>
      </w:r>
      <w:r w:rsidR="005355BE" w:rsidRPr="00095E9B">
        <w:rPr>
          <w:rFonts w:ascii="Times New Roman" w:eastAsia="Calibri" w:hAnsi="Times New Roman" w:cs="Times New Roman"/>
          <w:color w:val="000000"/>
        </w:rPr>
        <w:t>down slanting</w:t>
      </w:r>
      <w:r w:rsidR="00095E9B" w:rsidRPr="00095E9B">
        <w:rPr>
          <w:rFonts w:ascii="Times New Roman" w:eastAsia="Calibri" w:hAnsi="Times New Roman" w:cs="Times New Roman"/>
          <w:color w:val="000000"/>
        </w:rPr>
        <w:t xml:space="preserve"> palpebral fissures, a thin upper lip vermilion, a </w:t>
      </w:r>
      <w:r w:rsidR="00C26F8D" w:rsidRPr="00095E9B">
        <w:rPr>
          <w:rFonts w:ascii="Times New Roman" w:eastAsia="Calibri" w:hAnsi="Times New Roman" w:cs="Times New Roman"/>
          <w:color w:val="000000"/>
        </w:rPr>
        <w:t>long-curved</w:t>
      </w:r>
      <w:r w:rsidR="00095E9B" w:rsidRPr="00095E9B">
        <w:rPr>
          <w:rFonts w:ascii="Times New Roman" w:eastAsia="Calibri" w:hAnsi="Times New Roman" w:cs="Times New Roman"/>
          <w:color w:val="000000"/>
        </w:rPr>
        <w:t xml:space="preserve"> nose with prominent columella, and prominent eyebrows, along with features consistent with muscular hypotonia</w:t>
      </w:r>
      <w:r w:rsidR="00F56497">
        <w:rPr>
          <w:rFonts w:ascii="Times New Roman" w:eastAsia="Calibri" w:hAnsi="Times New Roman" w:cs="Times New Roman"/>
          <w:color w:val="000000"/>
        </w:rPr>
        <w:t xml:space="preserve"> (open mouth,</w:t>
      </w:r>
      <w:r w:rsidR="00F56497" w:rsidRPr="00F56497">
        <w:rPr>
          <w:rFonts w:ascii="Times New Roman" w:eastAsia="Calibri" w:hAnsi="Times New Roman" w:cs="Times New Roman"/>
          <w:color w:val="000000"/>
        </w:rPr>
        <w:t xml:space="preserve"> hig</w:t>
      </w:r>
      <w:r w:rsidR="00F56497">
        <w:rPr>
          <w:rFonts w:ascii="Times New Roman" w:eastAsia="Calibri" w:hAnsi="Times New Roman" w:cs="Times New Roman"/>
          <w:color w:val="000000"/>
        </w:rPr>
        <w:t>h arched palate, deep set ears)</w:t>
      </w:r>
      <w:r w:rsidR="00095E9B" w:rsidRPr="00095E9B">
        <w:rPr>
          <w:rFonts w:ascii="Times New Roman" w:eastAsia="Calibri" w:hAnsi="Times New Roman" w:cs="Times New Roman"/>
          <w:color w:val="000000"/>
        </w:rPr>
        <w:t>. Head circumference was initially normal or above average, followed by progressive microcephaly in one individual. Brain MRI revealed progressive cerebral and cerebellar atrophy with basal ganglia involvement</w:t>
      </w:r>
      <w:r w:rsidR="00E419CD">
        <w:rPr>
          <w:rFonts w:ascii="Times New Roman" w:eastAsia="Calibri" w:hAnsi="Times New Roman" w:cs="Times New Roman"/>
          <w:color w:val="000000"/>
        </w:rPr>
        <w:t xml:space="preserve"> in both patients (in P2: c</w:t>
      </w:r>
      <w:r w:rsidR="00E419CD" w:rsidRPr="00E419CD">
        <w:rPr>
          <w:rFonts w:ascii="Times New Roman" w:eastAsia="Calibri" w:hAnsi="Times New Roman" w:cs="Times New Roman"/>
          <w:color w:val="000000"/>
        </w:rPr>
        <w:t>erebral atrophy, alterations of the basal ganglia, thinning of the isthmus of the corpus callosum, and moderate cerebellar atrophy at 2 years and 7 months of age, progressive and symmetric atrophy and T2</w:t>
      </w:r>
      <w:r w:rsidR="00E419CD">
        <w:rPr>
          <w:rFonts w:ascii="Times New Roman" w:eastAsia="Calibri" w:hAnsi="Times New Roman" w:cs="Times New Roman"/>
          <w:color w:val="000000"/>
        </w:rPr>
        <w:t xml:space="preserve"> </w:t>
      </w:r>
      <w:r w:rsidR="00E419CD" w:rsidRPr="00E419CD">
        <w:rPr>
          <w:rFonts w:ascii="Times New Roman" w:eastAsia="Calibri" w:hAnsi="Times New Roman" w:cs="Times New Roman"/>
          <w:color w:val="000000"/>
        </w:rPr>
        <w:t>hyperintensity of basal ganglia at the age of 16 years</w:t>
      </w:r>
      <w:r w:rsidR="00E419CD">
        <w:rPr>
          <w:rFonts w:ascii="Times New Roman" w:eastAsia="Calibri" w:hAnsi="Times New Roman" w:cs="Times New Roman"/>
          <w:color w:val="000000"/>
        </w:rPr>
        <w:t>; in P3: c</w:t>
      </w:r>
      <w:r w:rsidR="00E419CD" w:rsidRPr="00E419CD">
        <w:rPr>
          <w:rFonts w:ascii="Times New Roman" w:eastAsia="Calibri" w:hAnsi="Times New Roman" w:cs="Times New Roman"/>
          <w:color w:val="000000"/>
        </w:rPr>
        <w:t>erebellar</w:t>
      </w:r>
      <w:r w:rsidR="00E419CD">
        <w:rPr>
          <w:rFonts w:ascii="Times New Roman" w:eastAsia="Calibri" w:hAnsi="Times New Roman" w:cs="Times New Roman"/>
          <w:color w:val="000000"/>
        </w:rPr>
        <w:t xml:space="preserve"> </w:t>
      </w:r>
      <w:r w:rsidR="00E419CD" w:rsidRPr="00E419CD">
        <w:rPr>
          <w:rFonts w:ascii="Times New Roman" w:eastAsia="Calibri" w:hAnsi="Times New Roman" w:cs="Times New Roman"/>
          <w:color w:val="000000"/>
        </w:rPr>
        <w:t>and cerebral atrophy, enlarged ventricles, and atrophy</w:t>
      </w:r>
      <w:r w:rsidR="00E419CD">
        <w:rPr>
          <w:rFonts w:ascii="Times New Roman" w:eastAsia="Calibri" w:hAnsi="Times New Roman" w:cs="Times New Roman"/>
          <w:color w:val="000000"/>
        </w:rPr>
        <w:t xml:space="preserve"> </w:t>
      </w:r>
      <w:r w:rsidR="00E419CD" w:rsidRPr="00E419CD">
        <w:rPr>
          <w:rFonts w:ascii="Times New Roman" w:eastAsia="Calibri" w:hAnsi="Times New Roman" w:cs="Times New Roman"/>
          <w:color w:val="000000"/>
        </w:rPr>
        <w:t>of basal ganglia at 16 months of age</w:t>
      </w:r>
      <w:r w:rsidR="00E419CD">
        <w:rPr>
          <w:rFonts w:ascii="Times New Roman" w:eastAsia="Calibri" w:hAnsi="Times New Roman" w:cs="Times New Roman"/>
          <w:color w:val="000000"/>
        </w:rPr>
        <w:t>)</w:t>
      </w:r>
      <w:r w:rsidR="00095E9B" w:rsidRPr="00095E9B">
        <w:rPr>
          <w:rFonts w:ascii="Times New Roman" w:eastAsia="Calibri" w:hAnsi="Times New Roman" w:cs="Times New Roman"/>
          <w:color w:val="000000"/>
        </w:rPr>
        <w:t>. Additional features included scoliosis requiring surgical correction in one patient. Symptomatic treatment with levodopa and gabapentin resulted in partial clinical improvement.</w:t>
      </w:r>
    </w:p>
    <w:p w14:paraId="54AA9FAD" w14:textId="702F51EE" w:rsidR="00F56497" w:rsidRDefault="00890F49" w:rsidP="00756C21">
      <w:pPr>
        <w:jc w:val="both"/>
        <w:rPr>
          <w:rFonts w:ascii="Times New Roman" w:eastAsia="Times New Roman" w:hAnsi="Times New Roman" w:cs="Times New Roman"/>
          <w:kern w:val="0"/>
        </w:rPr>
      </w:pPr>
      <w:r w:rsidRPr="00890F49">
        <w:rPr>
          <w:rFonts w:ascii="Times New Roman" w:eastAsia="Times New Roman" w:hAnsi="Times New Roman" w:cs="Times New Roman"/>
          <w:kern w:val="0"/>
        </w:rPr>
        <w:lastRenderedPageBreak/>
        <w:t xml:space="preserve">Family 3, </w:t>
      </w:r>
      <w:r w:rsidR="002D23D1">
        <w:rPr>
          <w:rFonts w:ascii="Times New Roman" w:eastAsia="Times New Roman" w:hAnsi="Times New Roman" w:cs="Times New Roman"/>
          <w:kern w:val="0"/>
        </w:rPr>
        <w:t>individuals</w:t>
      </w:r>
      <w:r w:rsidRPr="00890F49">
        <w:rPr>
          <w:rFonts w:ascii="Times New Roman" w:eastAsia="Times New Roman" w:hAnsi="Times New Roman" w:cs="Times New Roman"/>
          <w:kern w:val="0"/>
        </w:rPr>
        <w:t xml:space="preserve"> </w:t>
      </w:r>
      <w:r w:rsidR="002D23D1">
        <w:rPr>
          <w:rFonts w:ascii="Times New Roman" w:eastAsia="Times New Roman" w:hAnsi="Times New Roman" w:cs="Times New Roman"/>
          <w:kern w:val="0"/>
        </w:rPr>
        <w:t>P</w:t>
      </w:r>
      <w:r w:rsidRPr="00890F49">
        <w:rPr>
          <w:rFonts w:ascii="Times New Roman" w:eastAsia="Times New Roman" w:hAnsi="Times New Roman" w:cs="Times New Roman"/>
          <w:kern w:val="0"/>
        </w:rPr>
        <w:t xml:space="preserve">4 and </w:t>
      </w:r>
      <w:r w:rsidR="002D23D1">
        <w:rPr>
          <w:rFonts w:ascii="Times New Roman" w:eastAsia="Times New Roman" w:hAnsi="Times New Roman" w:cs="Times New Roman"/>
          <w:kern w:val="0"/>
        </w:rPr>
        <w:t>P</w:t>
      </w:r>
      <w:r w:rsidRPr="00890F49">
        <w:rPr>
          <w:rFonts w:ascii="Times New Roman" w:eastAsia="Times New Roman" w:hAnsi="Times New Roman" w:cs="Times New Roman"/>
          <w:kern w:val="0"/>
        </w:rPr>
        <w:t xml:space="preserve">5 (USA). Individuals P4 and P5 are affected brothers from a consanguineous Wolof family originating from Senegal. Both were born at term after uncomplicated pregnancies with normal head circumferences. Developmental delay was evident from early infancy. Epilepsy occurred in both individuals, with onset in the first year of life and good control under levetiracetam, and was attributed to a pathogenic variant in </w:t>
      </w:r>
      <w:r w:rsidRPr="00CA0B21">
        <w:rPr>
          <w:rFonts w:ascii="Times New Roman" w:eastAsia="Times New Roman" w:hAnsi="Times New Roman" w:cs="Times New Roman"/>
          <w:i/>
          <w:kern w:val="0"/>
        </w:rPr>
        <w:t>SCN1B</w:t>
      </w:r>
      <w:r w:rsidRPr="00890F49">
        <w:rPr>
          <w:rFonts w:ascii="Times New Roman" w:eastAsia="Times New Roman" w:hAnsi="Times New Roman" w:cs="Times New Roman"/>
          <w:kern w:val="0"/>
        </w:rPr>
        <w:t>. Hirschsprung disease was diagnosed in P4 at 18 months</w:t>
      </w:r>
      <w:r w:rsidR="00CA0B21">
        <w:rPr>
          <w:rFonts w:ascii="Times New Roman" w:eastAsia="Times New Roman" w:hAnsi="Times New Roman" w:cs="Times New Roman"/>
          <w:kern w:val="0"/>
        </w:rPr>
        <w:t xml:space="preserve"> and probably associated with a pathogenic variant in </w:t>
      </w:r>
      <w:r w:rsidR="00CA0B21" w:rsidRPr="00CA0B21">
        <w:rPr>
          <w:rFonts w:ascii="Times New Roman" w:eastAsia="Times New Roman" w:hAnsi="Times New Roman" w:cs="Times New Roman"/>
          <w:i/>
          <w:kern w:val="0"/>
        </w:rPr>
        <w:t>RET</w:t>
      </w:r>
      <w:r w:rsidRPr="00890F49">
        <w:rPr>
          <w:rFonts w:ascii="Times New Roman" w:eastAsia="Times New Roman" w:hAnsi="Times New Roman" w:cs="Times New Roman"/>
          <w:kern w:val="0"/>
        </w:rPr>
        <w:t xml:space="preserve">. Motor milestones were delayed, with independent walking achieved at 2–2.5 years in both siblings. A progressive neurological course was observed, characterized by truncal ataxia and spasticity, leading to motor regression. P5 lost independent ambulation and became wheelchair-dependent by age 11, whereas P4, currently 21 years old, remains ambulatory but has developed increasing gait difficulties and is no longer able to run. Both individuals exhibited regression of expressive language occurring in parallel with motor decline, while receptive language appeared relatively preserved. Ophthalmological findings in P4 included bilateral juvenile cataracts requiring surgical intervention. Skeletal involvement included progressive scoliosis and joint contractures. Brain MRI demonstrated mild inferior </w:t>
      </w:r>
      <w:proofErr w:type="spellStart"/>
      <w:r w:rsidRPr="00890F49">
        <w:rPr>
          <w:rFonts w:ascii="Times New Roman" w:eastAsia="Times New Roman" w:hAnsi="Times New Roman" w:cs="Times New Roman"/>
          <w:kern w:val="0"/>
        </w:rPr>
        <w:t>vermian</w:t>
      </w:r>
      <w:proofErr w:type="spellEnd"/>
      <w:r w:rsidRPr="00890F49">
        <w:rPr>
          <w:rFonts w:ascii="Times New Roman" w:eastAsia="Times New Roman" w:hAnsi="Times New Roman" w:cs="Times New Roman"/>
          <w:kern w:val="0"/>
        </w:rPr>
        <w:t xml:space="preserve"> hypoplasia in P4, and progressive ventriculomegaly with mild cerebellar volume loss in P5. Both individuals were described as having a consistently cheerful and friendly disposition.</w:t>
      </w:r>
      <w:r w:rsidR="00F56497">
        <w:rPr>
          <w:rFonts w:ascii="Times New Roman" w:eastAsia="Times New Roman" w:hAnsi="Times New Roman" w:cs="Times New Roman"/>
          <w:kern w:val="0"/>
        </w:rPr>
        <w:t xml:space="preserve"> Both patients exhibited facial dysmorphic features: P4 showed b</w:t>
      </w:r>
      <w:r w:rsidR="00F56497" w:rsidRPr="00F56497">
        <w:rPr>
          <w:rFonts w:ascii="Times New Roman" w:eastAsia="Times New Roman" w:hAnsi="Times New Roman" w:cs="Times New Roman"/>
          <w:kern w:val="0"/>
        </w:rPr>
        <w:t xml:space="preserve">ilateral mild epicanthal folds, sparse arched </w:t>
      </w:r>
      <w:r w:rsidR="00F56497">
        <w:rPr>
          <w:rFonts w:ascii="Times New Roman" w:eastAsia="Times New Roman" w:hAnsi="Times New Roman" w:cs="Times New Roman"/>
          <w:kern w:val="0"/>
        </w:rPr>
        <w:t>eye</w:t>
      </w:r>
      <w:r w:rsidR="00F56497" w:rsidRPr="00F56497">
        <w:rPr>
          <w:rFonts w:ascii="Times New Roman" w:eastAsia="Times New Roman" w:hAnsi="Times New Roman" w:cs="Times New Roman"/>
          <w:kern w:val="0"/>
        </w:rPr>
        <w:t xml:space="preserve">brows, high arched palate, </w:t>
      </w:r>
      <w:r w:rsidR="00F56497">
        <w:rPr>
          <w:rFonts w:ascii="Times New Roman" w:eastAsia="Times New Roman" w:hAnsi="Times New Roman" w:cs="Times New Roman"/>
          <w:kern w:val="0"/>
        </w:rPr>
        <w:t xml:space="preserve">prominent and slightly upturned </w:t>
      </w:r>
      <w:r w:rsidR="00F56497" w:rsidRPr="00F56497">
        <w:rPr>
          <w:rFonts w:ascii="Times New Roman" w:eastAsia="Times New Roman" w:hAnsi="Times New Roman" w:cs="Times New Roman"/>
          <w:kern w:val="0"/>
        </w:rPr>
        <w:t>ear lobes, slight retrognathia, but no micrognathia</w:t>
      </w:r>
      <w:r w:rsidR="00F56497">
        <w:rPr>
          <w:rFonts w:ascii="Times New Roman" w:eastAsia="Times New Roman" w:hAnsi="Times New Roman" w:cs="Times New Roman"/>
          <w:kern w:val="0"/>
        </w:rPr>
        <w:t>; P5 showed bi</w:t>
      </w:r>
      <w:r w:rsidR="00F56497" w:rsidRPr="00F56497">
        <w:rPr>
          <w:rFonts w:ascii="Times New Roman" w:eastAsia="Times New Roman" w:hAnsi="Times New Roman" w:cs="Times New Roman"/>
          <w:kern w:val="0"/>
        </w:rPr>
        <w:t>lateral epicanthal folds, narrow palpebral fissures, cupped ears, very high arched and narrow palate, full lips, slight retrognathia, but no micrognathia</w:t>
      </w:r>
      <w:r w:rsidR="00F56497">
        <w:rPr>
          <w:rFonts w:ascii="Times New Roman" w:eastAsia="Times New Roman" w:hAnsi="Times New Roman" w:cs="Times New Roman"/>
          <w:kern w:val="0"/>
        </w:rPr>
        <w:t>.</w:t>
      </w:r>
    </w:p>
    <w:p w14:paraId="7741D00D" w14:textId="4F7F23ED" w:rsidR="00E64DA9" w:rsidRDefault="00701E53" w:rsidP="007B44E0">
      <w:pPr>
        <w:jc w:val="both"/>
      </w:pPr>
      <w:r w:rsidRPr="00756C21">
        <w:rPr>
          <w:rFonts w:ascii="Times New Roman" w:hAnsi="Times New Roman" w:cs="Times New Roman"/>
        </w:rPr>
        <w:t xml:space="preserve">Family 4, </w:t>
      </w:r>
      <w:r w:rsidR="002D23D1">
        <w:rPr>
          <w:rFonts w:ascii="Times New Roman" w:hAnsi="Times New Roman" w:cs="Times New Roman"/>
        </w:rPr>
        <w:t>individuals</w:t>
      </w:r>
      <w:r w:rsidRPr="00756C21">
        <w:rPr>
          <w:rFonts w:ascii="Times New Roman" w:hAnsi="Times New Roman" w:cs="Times New Roman"/>
        </w:rPr>
        <w:t xml:space="preserve"> </w:t>
      </w:r>
      <w:r w:rsidR="002D23D1">
        <w:rPr>
          <w:rFonts w:ascii="Times New Roman" w:hAnsi="Times New Roman" w:cs="Times New Roman"/>
        </w:rPr>
        <w:t>P</w:t>
      </w:r>
      <w:r w:rsidRPr="00756C21">
        <w:rPr>
          <w:rFonts w:ascii="Times New Roman" w:hAnsi="Times New Roman" w:cs="Times New Roman"/>
        </w:rPr>
        <w:t>6</w:t>
      </w:r>
      <w:r w:rsidR="00756C21" w:rsidRPr="00756C21">
        <w:rPr>
          <w:rFonts w:ascii="Times New Roman" w:hAnsi="Times New Roman" w:cs="Times New Roman"/>
        </w:rPr>
        <w:t xml:space="preserve">, </w:t>
      </w:r>
      <w:r w:rsidR="002D23D1">
        <w:rPr>
          <w:rFonts w:ascii="Times New Roman" w:hAnsi="Times New Roman" w:cs="Times New Roman"/>
        </w:rPr>
        <w:t>P</w:t>
      </w:r>
      <w:r w:rsidR="00756C21" w:rsidRPr="00756C21">
        <w:rPr>
          <w:rFonts w:ascii="Times New Roman" w:hAnsi="Times New Roman" w:cs="Times New Roman"/>
        </w:rPr>
        <w:t xml:space="preserve">7 and </w:t>
      </w:r>
      <w:r w:rsidR="002D23D1">
        <w:rPr>
          <w:rFonts w:ascii="Times New Roman" w:hAnsi="Times New Roman" w:cs="Times New Roman"/>
        </w:rPr>
        <w:t>P</w:t>
      </w:r>
      <w:r w:rsidR="00756C21" w:rsidRPr="00756C21">
        <w:rPr>
          <w:rFonts w:ascii="Times New Roman" w:hAnsi="Times New Roman" w:cs="Times New Roman"/>
        </w:rPr>
        <w:t>8 (Senegal)</w:t>
      </w:r>
      <w:r w:rsidR="00CA0B21">
        <w:rPr>
          <w:rFonts w:ascii="Times New Roman" w:hAnsi="Times New Roman" w:cs="Times New Roman"/>
        </w:rPr>
        <w:t>.</w:t>
      </w:r>
      <w:r w:rsidR="00756C21" w:rsidRPr="00756C21">
        <w:rPr>
          <w:rFonts w:ascii="Times New Roman" w:hAnsi="Times New Roman" w:cs="Times New Roman"/>
          <w:lang w:val="en-GB"/>
        </w:rPr>
        <w:t xml:space="preserve"> Family 4 is an extended consanguineous family with 3 affected adult siblings (individuals </w:t>
      </w:r>
      <w:r w:rsidR="00C26F8D">
        <w:rPr>
          <w:rFonts w:ascii="Times New Roman" w:hAnsi="Times New Roman" w:cs="Times New Roman"/>
          <w:lang w:val="en-GB"/>
        </w:rPr>
        <w:t>P</w:t>
      </w:r>
      <w:r w:rsidR="00756C21" w:rsidRPr="00756C21">
        <w:rPr>
          <w:rFonts w:ascii="Times New Roman" w:hAnsi="Times New Roman" w:cs="Times New Roman"/>
          <w:lang w:val="en-GB"/>
        </w:rPr>
        <w:t xml:space="preserve">6, </w:t>
      </w:r>
      <w:r w:rsidR="00C26F8D">
        <w:rPr>
          <w:rFonts w:ascii="Times New Roman" w:hAnsi="Times New Roman" w:cs="Times New Roman"/>
          <w:lang w:val="en-GB"/>
        </w:rPr>
        <w:t>P</w:t>
      </w:r>
      <w:r w:rsidR="00756C21" w:rsidRPr="00756C21">
        <w:rPr>
          <w:rFonts w:ascii="Times New Roman" w:hAnsi="Times New Roman" w:cs="Times New Roman"/>
          <w:lang w:val="en-GB"/>
        </w:rPr>
        <w:t xml:space="preserve">7 and </w:t>
      </w:r>
      <w:r w:rsidR="00C26F8D">
        <w:rPr>
          <w:rFonts w:ascii="Times New Roman" w:hAnsi="Times New Roman" w:cs="Times New Roman"/>
          <w:lang w:val="en-GB"/>
        </w:rPr>
        <w:t>P</w:t>
      </w:r>
      <w:r w:rsidR="00756C21" w:rsidRPr="00756C21">
        <w:rPr>
          <w:rFonts w:ascii="Times New Roman" w:hAnsi="Times New Roman" w:cs="Times New Roman"/>
          <w:lang w:val="en-GB"/>
        </w:rPr>
        <w:t xml:space="preserve">8), currently aged 29, 25 and 22 years. All three present a similar, non-progressive neurodevelopmental phenotype with early-onset global developmental delay and persistent intellectual disability. Expressive language has not developed, whereas receptive language is partially preserved, and there is no clinical evidence of hearing impairment. All siblings had bilateral childhood-onset cataracts treated surgically. No epileptic seizures have been reported, and there has been no developmental regression; overall, the clinical course has remained stable. </w:t>
      </w:r>
      <w:r w:rsidR="005313EB">
        <w:rPr>
          <w:rFonts w:ascii="Times New Roman" w:eastAsia="Times New Roman" w:hAnsi="Times New Roman" w:cs="Times New Roman"/>
          <w:kern w:val="0"/>
        </w:rPr>
        <w:t>All three</w:t>
      </w:r>
      <w:r w:rsidR="005313EB" w:rsidRPr="00890F49">
        <w:rPr>
          <w:rFonts w:ascii="Times New Roman" w:eastAsia="Times New Roman" w:hAnsi="Times New Roman" w:cs="Times New Roman"/>
          <w:kern w:val="0"/>
        </w:rPr>
        <w:t xml:space="preserve"> individuals</w:t>
      </w:r>
      <w:r w:rsidR="005313EB">
        <w:rPr>
          <w:rFonts w:ascii="Times New Roman" w:eastAsia="Times New Roman" w:hAnsi="Times New Roman" w:cs="Times New Roman"/>
          <w:kern w:val="0"/>
        </w:rPr>
        <w:t xml:space="preserve"> </w:t>
      </w:r>
      <w:r w:rsidR="005313EB" w:rsidRPr="00890F49">
        <w:rPr>
          <w:rFonts w:ascii="Times New Roman" w:eastAsia="Times New Roman" w:hAnsi="Times New Roman" w:cs="Times New Roman"/>
          <w:kern w:val="0"/>
        </w:rPr>
        <w:t>were</w:t>
      </w:r>
      <w:r w:rsidR="005313EB">
        <w:rPr>
          <w:rFonts w:ascii="Times New Roman" w:eastAsia="Times New Roman" w:hAnsi="Times New Roman" w:cs="Times New Roman"/>
          <w:kern w:val="0"/>
        </w:rPr>
        <w:t xml:space="preserve"> described </w:t>
      </w:r>
      <w:r w:rsidR="005313EB" w:rsidRPr="00890F49">
        <w:rPr>
          <w:rFonts w:ascii="Times New Roman" w:eastAsia="Times New Roman" w:hAnsi="Times New Roman" w:cs="Times New Roman"/>
          <w:kern w:val="0"/>
        </w:rPr>
        <w:t>as having a consistently cheerful and friendly disposition.</w:t>
      </w:r>
      <w:r w:rsidR="005313EB">
        <w:rPr>
          <w:rFonts w:ascii="Times New Roman" w:eastAsia="Times New Roman" w:hAnsi="Times New Roman" w:cs="Times New Roman"/>
          <w:kern w:val="0"/>
        </w:rPr>
        <w:t xml:space="preserve"> </w:t>
      </w:r>
      <w:r w:rsidR="00756C21" w:rsidRPr="00756C21">
        <w:rPr>
          <w:rFonts w:ascii="Times New Roman" w:hAnsi="Times New Roman" w:cs="Times New Roman"/>
          <w:lang w:val="en-GB"/>
        </w:rPr>
        <w:t xml:space="preserve">Dysmorphic features were noted in two of the siblings including depressed nasal bridge, hypertelorism and malocclusion with increased overjet. The neurological examination revealed predominantly dystonic and spastic features affecting both upper and lower limbs, including distal dystonic postures in upper limbs and increased muscle tone in the lower limbs. Gait was clearly abnormal, with mildly flexed elbows and knees, foot dragging, adducted knees, and overall predominance of spasticity feet and touching knees and predominantly spastic features. There were no definite cerebellar signs, apart from mild dysmetria in individual </w:t>
      </w:r>
      <w:r w:rsidR="00C26F8D">
        <w:rPr>
          <w:rFonts w:ascii="Times New Roman" w:hAnsi="Times New Roman" w:cs="Times New Roman"/>
          <w:lang w:val="en-GB"/>
        </w:rPr>
        <w:t>P</w:t>
      </w:r>
      <w:r w:rsidR="00756C21" w:rsidRPr="00756C21">
        <w:rPr>
          <w:rFonts w:ascii="Times New Roman" w:hAnsi="Times New Roman" w:cs="Times New Roman"/>
          <w:lang w:val="en-GB"/>
        </w:rPr>
        <w:t xml:space="preserve">6. A head CT scan in individual </w:t>
      </w:r>
      <w:r w:rsidR="00C26F8D">
        <w:rPr>
          <w:rFonts w:ascii="Times New Roman" w:hAnsi="Times New Roman" w:cs="Times New Roman"/>
          <w:lang w:val="en-GB"/>
        </w:rPr>
        <w:t>P</w:t>
      </w:r>
      <w:r w:rsidR="00756C21" w:rsidRPr="00756C21">
        <w:rPr>
          <w:rFonts w:ascii="Times New Roman" w:hAnsi="Times New Roman" w:cs="Times New Roman"/>
          <w:lang w:val="en-GB"/>
        </w:rPr>
        <w:t>6 at age 28 years was suggestive of mild cerebral atrophy. Stature and weight were appropriate f</w:t>
      </w:r>
      <w:r w:rsidR="005313EB">
        <w:rPr>
          <w:rFonts w:ascii="Times New Roman" w:hAnsi="Times New Roman" w:cs="Times New Roman"/>
          <w:lang w:val="en-GB"/>
        </w:rPr>
        <w:t>or age in all three individuals</w:t>
      </w:r>
      <w:r w:rsidR="00756C21" w:rsidRPr="00756C21">
        <w:rPr>
          <w:rFonts w:ascii="Times New Roman" w:hAnsi="Times New Roman" w:cs="Times New Roman"/>
          <w:lang w:val="en-GB"/>
        </w:rPr>
        <w:t>.</w:t>
      </w:r>
    </w:p>
    <w:p w14:paraId="3D63FE86" w14:textId="77777777" w:rsidR="00E64DA9" w:rsidRDefault="00E64DA9" w:rsidP="00E64DA9">
      <w:pPr>
        <w:pStyle w:val="Bibliographie1"/>
      </w:pPr>
    </w:p>
    <w:p w14:paraId="62FD7245" w14:textId="3F0E4B84" w:rsidR="00E64DA9" w:rsidRPr="00E64DA9" w:rsidRDefault="00E64DA9" w:rsidP="00E64DA9">
      <w:pPr>
        <w:pStyle w:val="Bibliographie1"/>
        <w:rPr>
          <w:rFonts w:ascii="Aptos" w:cs="Times New Roman"/>
          <w:kern w:val="0"/>
          <w:u w:val="single"/>
          <w:vertAlign w:val="superscript"/>
        </w:rPr>
      </w:pPr>
      <w:r w:rsidRPr="00E64DA9">
        <w:rPr>
          <w:b/>
          <w:bCs/>
          <w:u w:val="single"/>
        </w:rPr>
        <w:lastRenderedPageBreak/>
        <w:t>Extended references</w:t>
      </w:r>
    </w:p>
    <w:p w14:paraId="7FF5CD53" w14:textId="0A186004" w:rsidR="002D23D1" w:rsidRPr="005F1D69" w:rsidRDefault="00E64DA9" w:rsidP="00C26F8D">
      <w:pPr>
        <w:widowControl w:val="0"/>
        <w:autoSpaceDE w:val="0"/>
        <w:autoSpaceDN w:val="0"/>
        <w:adjustRightInd w:val="0"/>
        <w:spacing w:line="240" w:lineRule="auto"/>
        <w:jc w:val="both"/>
        <w:rPr>
          <w:rFonts w:ascii="Times New Roman" w:hAnsi="Times New Roman" w:cs="Times New Roman"/>
          <w:kern w:val="0"/>
        </w:rPr>
      </w:pPr>
      <w:r w:rsidRPr="005F1D69">
        <w:rPr>
          <w:rFonts w:ascii="Times New Roman" w:hAnsi="Times New Roman" w:cs="Times New Roman"/>
        </w:rPr>
        <w:fldChar w:fldCharType="begin"/>
      </w:r>
      <w:r w:rsidRPr="005F1D69">
        <w:rPr>
          <w:rFonts w:ascii="Times New Roman" w:hAnsi="Times New Roman" w:cs="Times New Roman"/>
        </w:rPr>
        <w:instrText xml:space="preserve"> ADDIN ZOTERO_BIBL {"uncited":[],"omitted":[],"custom":[]} CSL_BIBLIOGRAPHY </w:instrText>
      </w:r>
      <w:r w:rsidRPr="005F1D69">
        <w:rPr>
          <w:rFonts w:ascii="Times New Roman" w:hAnsi="Times New Roman" w:cs="Times New Roman"/>
        </w:rPr>
        <w:fldChar w:fldCharType="separate"/>
      </w:r>
      <w:r w:rsidR="002D23D1" w:rsidRPr="005F1D69">
        <w:rPr>
          <w:rFonts w:ascii="Times New Roman" w:hAnsi="Times New Roman" w:cs="Times New Roman"/>
          <w:kern w:val="0"/>
        </w:rPr>
        <w:t>1.</w:t>
      </w:r>
      <w:r w:rsidR="005F1D69">
        <w:rPr>
          <w:rFonts w:ascii="Times New Roman" w:hAnsi="Times New Roman" w:cs="Times New Roman"/>
          <w:kern w:val="0"/>
        </w:rPr>
        <w:t xml:space="preserve"> </w:t>
      </w:r>
      <w:proofErr w:type="spellStart"/>
      <w:r w:rsidR="002D23D1" w:rsidRPr="005F1D69">
        <w:rPr>
          <w:rFonts w:ascii="Times New Roman" w:hAnsi="Times New Roman" w:cs="Times New Roman"/>
          <w:kern w:val="0"/>
        </w:rPr>
        <w:t>Calmels</w:t>
      </w:r>
      <w:proofErr w:type="spellEnd"/>
      <w:r w:rsidR="002D23D1" w:rsidRPr="005F1D69">
        <w:rPr>
          <w:rFonts w:ascii="Times New Roman" w:hAnsi="Times New Roman" w:cs="Times New Roman"/>
          <w:kern w:val="0"/>
        </w:rPr>
        <w:t xml:space="preserve">, N. </w:t>
      </w:r>
      <w:r w:rsidR="002D23D1" w:rsidRPr="005F1D69">
        <w:rPr>
          <w:rFonts w:ascii="Times New Roman" w:hAnsi="Times New Roman" w:cs="Times New Roman"/>
          <w:i/>
          <w:iCs/>
          <w:kern w:val="0"/>
        </w:rPr>
        <w:t>et al.</w:t>
      </w:r>
      <w:r w:rsidR="002D23D1" w:rsidRPr="005F1D69">
        <w:rPr>
          <w:rFonts w:ascii="Times New Roman" w:hAnsi="Times New Roman" w:cs="Times New Roman"/>
          <w:kern w:val="0"/>
        </w:rPr>
        <w:t xml:space="preserve"> </w:t>
      </w:r>
      <w:proofErr w:type="gramStart"/>
      <w:r w:rsidR="002D23D1" w:rsidRPr="005F1D69">
        <w:rPr>
          <w:rFonts w:ascii="Times New Roman" w:hAnsi="Times New Roman" w:cs="Times New Roman"/>
          <w:kern w:val="0"/>
        </w:rPr>
        <w:t>Uncommon</w:t>
      </w:r>
      <w:proofErr w:type="gramEnd"/>
      <w:r w:rsidR="002D23D1" w:rsidRPr="005F1D69">
        <w:rPr>
          <w:rFonts w:ascii="Times New Roman" w:hAnsi="Times New Roman" w:cs="Times New Roman"/>
          <w:kern w:val="0"/>
        </w:rPr>
        <w:t xml:space="preserve"> nucleotide excision repair phenotypes revealed by targeted high-throughput sequencing. </w:t>
      </w:r>
      <w:proofErr w:type="spellStart"/>
      <w:r w:rsidR="002D23D1" w:rsidRPr="005F1D69">
        <w:rPr>
          <w:rFonts w:ascii="Times New Roman" w:hAnsi="Times New Roman" w:cs="Times New Roman"/>
          <w:i/>
          <w:iCs/>
          <w:kern w:val="0"/>
        </w:rPr>
        <w:t>Orphanet</w:t>
      </w:r>
      <w:proofErr w:type="spellEnd"/>
      <w:r w:rsidR="002D23D1" w:rsidRPr="005F1D69">
        <w:rPr>
          <w:rFonts w:ascii="Times New Roman" w:hAnsi="Times New Roman" w:cs="Times New Roman"/>
          <w:i/>
          <w:iCs/>
          <w:kern w:val="0"/>
        </w:rPr>
        <w:t xml:space="preserve"> Journal of Rare Diseases</w:t>
      </w:r>
      <w:r w:rsidR="002D23D1" w:rsidRPr="005F1D69">
        <w:rPr>
          <w:rFonts w:ascii="Times New Roman" w:hAnsi="Times New Roman" w:cs="Times New Roman"/>
          <w:kern w:val="0"/>
        </w:rPr>
        <w:t xml:space="preserve"> </w:t>
      </w:r>
      <w:r w:rsidR="002D23D1" w:rsidRPr="005F1D69">
        <w:rPr>
          <w:rFonts w:ascii="Times New Roman" w:hAnsi="Times New Roman" w:cs="Times New Roman"/>
          <w:b/>
          <w:bCs/>
          <w:kern w:val="0"/>
        </w:rPr>
        <w:t>11</w:t>
      </w:r>
      <w:r w:rsidR="002D23D1" w:rsidRPr="005F1D69">
        <w:rPr>
          <w:rFonts w:ascii="Times New Roman" w:hAnsi="Times New Roman" w:cs="Times New Roman"/>
          <w:kern w:val="0"/>
        </w:rPr>
        <w:t>, 26 (2016).</w:t>
      </w:r>
    </w:p>
    <w:p w14:paraId="13D2F4BF" w14:textId="46461820" w:rsidR="002D23D1" w:rsidRPr="005F1D69" w:rsidRDefault="002D23D1" w:rsidP="00C26F8D">
      <w:pPr>
        <w:widowControl w:val="0"/>
        <w:autoSpaceDE w:val="0"/>
        <w:autoSpaceDN w:val="0"/>
        <w:adjustRightInd w:val="0"/>
        <w:spacing w:line="240" w:lineRule="auto"/>
        <w:jc w:val="both"/>
        <w:rPr>
          <w:rFonts w:ascii="Times New Roman" w:hAnsi="Times New Roman" w:cs="Times New Roman"/>
          <w:kern w:val="0"/>
        </w:rPr>
      </w:pPr>
      <w:r w:rsidRPr="005F1D69">
        <w:rPr>
          <w:rFonts w:ascii="Times New Roman" w:hAnsi="Times New Roman" w:cs="Times New Roman"/>
          <w:kern w:val="0"/>
          <w:lang w:val="fr-FR"/>
        </w:rPr>
        <w:t>2.</w:t>
      </w:r>
      <w:r w:rsidR="005F1D69">
        <w:rPr>
          <w:rFonts w:ascii="Times New Roman" w:hAnsi="Times New Roman" w:cs="Times New Roman"/>
          <w:kern w:val="0"/>
          <w:lang w:val="fr-FR"/>
        </w:rPr>
        <w:t xml:space="preserve"> </w:t>
      </w:r>
      <w:r w:rsidRPr="005F1D69">
        <w:rPr>
          <w:rFonts w:ascii="Times New Roman" w:hAnsi="Times New Roman" w:cs="Times New Roman"/>
          <w:kern w:val="0"/>
          <w:lang w:val="fr-FR"/>
        </w:rPr>
        <w:t xml:space="preserve">Al-Ward, H. </w:t>
      </w:r>
      <w:r w:rsidRPr="005F1D69">
        <w:rPr>
          <w:rFonts w:ascii="Times New Roman" w:hAnsi="Times New Roman" w:cs="Times New Roman"/>
          <w:i/>
          <w:iCs/>
          <w:kern w:val="0"/>
          <w:lang w:val="fr-FR"/>
        </w:rPr>
        <w:t>et al.</w:t>
      </w:r>
      <w:r w:rsidRPr="005F1D69">
        <w:rPr>
          <w:rFonts w:ascii="Times New Roman" w:hAnsi="Times New Roman" w:cs="Times New Roman"/>
          <w:kern w:val="0"/>
          <w:lang w:val="fr-FR"/>
        </w:rPr>
        <w:t xml:space="preserve"> </w:t>
      </w:r>
      <w:r w:rsidRPr="005F1D69">
        <w:rPr>
          <w:rFonts w:ascii="Times New Roman" w:hAnsi="Times New Roman" w:cs="Times New Roman"/>
          <w:kern w:val="0"/>
        </w:rPr>
        <w:t xml:space="preserve">Voltage-Gated Sodium Channel β1 Gene: An Overview. </w:t>
      </w:r>
      <w:r w:rsidRPr="005F1D69">
        <w:rPr>
          <w:rFonts w:ascii="Times New Roman" w:hAnsi="Times New Roman" w:cs="Times New Roman"/>
          <w:i/>
          <w:iCs/>
          <w:kern w:val="0"/>
        </w:rPr>
        <w:t xml:space="preserve">Hum </w:t>
      </w:r>
      <w:proofErr w:type="spellStart"/>
      <w:r w:rsidRPr="005F1D69">
        <w:rPr>
          <w:rFonts w:ascii="Times New Roman" w:hAnsi="Times New Roman" w:cs="Times New Roman"/>
          <w:i/>
          <w:iCs/>
          <w:kern w:val="0"/>
        </w:rPr>
        <w:t>Hered</w:t>
      </w:r>
      <w:proofErr w:type="spellEnd"/>
      <w:r w:rsidRPr="005F1D69">
        <w:rPr>
          <w:rFonts w:ascii="Times New Roman" w:hAnsi="Times New Roman" w:cs="Times New Roman"/>
          <w:kern w:val="0"/>
        </w:rPr>
        <w:t xml:space="preserve"> </w:t>
      </w:r>
      <w:r w:rsidRPr="005F1D69">
        <w:rPr>
          <w:rFonts w:ascii="Times New Roman" w:hAnsi="Times New Roman" w:cs="Times New Roman"/>
          <w:b/>
          <w:bCs/>
          <w:kern w:val="0"/>
        </w:rPr>
        <w:t>85</w:t>
      </w:r>
      <w:r w:rsidRPr="005F1D69">
        <w:rPr>
          <w:rFonts w:ascii="Times New Roman" w:hAnsi="Times New Roman" w:cs="Times New Roman"/>
          <w:kern w:val="0"/>
        </w:rPr>
        <w:t>, 101–109 (2020).</w:t>
      </w:r>
    </w:p>
    <w:p w14:paraId="1F040626" w14:textId="5624365B" w:rsidR="002D23D1" w:rsidRPr="005F1D69" w:rsidRDefault="002D23D1" w:rsidP="00C26F8D">
      <w:pPr>
        <w:widowControl w:val="0"/>
        <w:autoSpaceDE w:val="0"/>
        <w:autoSpaceDN w:val="0"/>
        <w:adjustRightInd w:val="0"/>
        <w:spacing w:line="240" w:lineRule="auto"/>
        <w:jc w:val="both"/>
        <w:rPr>
          <w:rFonts w:ascii="Times New Roman" w:hAnsi="Times New Roman" w:cs="Times New Roman"/>
          <w:kern w:val="0"/>
        </w:rPr>
      </w:pPr>
      <w:r w:rsidRPr="005F1D69">
        <w:rPr>
          <w:rFonts w:ascii="Times New Roman" w:hAnsi="Times New Roman" w:cs="Times New Roman"/>
          <w:kern w:val="0"/>
        </w:rPr>
        <w:t>3.</w:t>
      </w:r>
      <w:r w:rsidR="005F1D69">
        <w:rPr>
          <w:rFonts w:ascii="Times New Roman" w:hAnsi="Times New Roman" w:cs="Times New Roman"/>
          <w:kern w:val="0"/>
        </w:rPr>
        <w:t xml:space="preserve"> </w:t>
      </w:r>
      <w:r w:rsidRPr="005F1D69">
        <w:rPr>
          <w:rFonts w:ascii="Times New Roman" w:hAnsi="Times New Roman" w:cs="Times New Roman"/>
          <w:kern w:val="0"/>
        </w:rPr>
        <w:t xml:space="preserve">Zhu, Z. </w:t>
      </w:r>
      <w:r w:rsidRPr="005F1D69">
        <w:rPr>
          <w:rFonts w:ascii="Times New Roman" w:hAnsi="Times New Roman" w:cs="Times New Roman"/>
          <w:i/>
          <w:iCs/>
          <w:kern w:val="0"/>
        </w:rPr>
        <w:t>et al.</w:t>
      </w:r>
      <w:r w:rsidRPr="005F1D69">
        <w:rPr>
          <w:rFonts w:ascii="Times New Roman" w:hAnsi="Times New Roman" w:cs="Times New Roman"/>
          <w:kern w:val="0"/>
        </w:rPr>
        <w:t xml:space="preserve"> SCN1B Genetic Variants: A Review of the Spectrum of Clinical Phenotypes and a Report of Early Myoclonic Encephalopathy. </w:t>
      </w:r>
      <w:r w:rsidRPr="005F1D69">
        <w:rPr>
          <w:rFonts w:ascii="Times New Roman" w:hAnsi="Times New Roman" w:cs="Times New Roman"/>
          <w:i/>
          <w:iCs/>
          <w:kern w:val="0"/>
        </w:rPr>
        <w:t>Children (Basel)</w:t>
      </w:r>
      <w:r w:rsidRPr="005F1D69">
        <w:rPr>
          <w:rFonts w:ascii="Times New Roman" w:hAnsi="Times New Roman" w:cs="Times New Roman"/>
          <w:kern w:val="0"/>
        </w:rPr>
        <w:t xml:space="preserve"> </w:t>
      </w:r>
      <w:r w:rsidRPr="005F1D69">
        <w:rPr>
          <w:rFonts w:ascii="Times New Roman" w:hAnsi="Times New Roman" w:cs="Times New Roman"/>
          <w:b/>
          <w:bCs/>
          <w:kern w:val="0"/>
        </w:rPr>
        <w:t>9</w:t>
      </w:r>
      <w:r w:rsidRPr="005F1D69">
        <w:rPr>
          <w:rFonts w:ascii="Times New Roman" w:hAnsi="Times New Roman" w:cs="Times New Roman"/>
          <w:kern w:val="0"/>
        </w:rPr>
        <w:t>, 1507 (2022).</w:t>
      </w:r>
    </w:p>
    <w:p w14:paraId="612F7833" w14:textId="73F6387D" w:rsidR="005F1D69" w:rsidRPr="005F1D69" w:rsidRDefault="00E64DA9" w:rsidP="00C26F8D">
      <w:pPr>
        <w:pStyle w:val="Bibliographie1"/>
        <w:spacing w:line="240" w:lineRule="auto"/>
        <w:jc w:val="both"/>
        <w:rPr>
          <w:rFonts w:ascii="Times New Roman" w:hAnsi="Times New Roman" w:cs="Times New Roman"/>
          <w:kern w:val="0"/>
        </w:rPr>
      </w:pPr>
      <w:r w:rsidRPr="005F1D69">
        <w:rPr>
          <w:rFonts w:ascii="Times New Roman" w:hAnsi="Times New Roman" w:cs="Times New Roman"/>
        </w:rPr>
        <w:fldChar w:fldCharType="end"/>
      </w:r>
      <w:r w:rsidR="0021045D">
        <w:rPr>
          <w:rFonts w:ascii="Times New Roman" w:hAnsi="Times New Roman" w:cs="Times New Roman"/>
          <w:kern w:val="0"/>
        </w:rPr>
        <w:t>4</w:t>
      </w:r>
      <w:r w:rsidR="005F1D69" w:rsidRPr="005F1D69">
        <w:rPr>
          <w:rFonts w:ascii="Times New Roman" w:hAnsi="Times New Roman" w:cs="Times New Roman"/>
          <w:kern w:val="0"/>
        </w:rPr>
        <w:t>.</w:t>
      </w:r>
      <w:r w:rsidR="005F1D69" w:rsidRPr="005F1D69">
        <w:rPr>
          <w:rFonts w:ascii="Times New Roman" w:hAnsi="Times New Roman" w:cs="Times New Roman"/>
          <w:kern w:val="0"/>
        </w:rPr>
        <w:tab/>
      </w:r>
      <w:proofErr w:type="spellStart"/>
      <w:r w:rsidR="005F1D69" w:rsidRPr="005F1D69">
        <w:rPr>
          <w:rFonts w:ascii="Times New Roman" w:hAnsi="Times New Roman" w:cs="Times New Roman"/>
          <w:kern w:val="0"/>
        </w:rPr>
        <w:t>Jaganathan</w:t>
      </w:r>
      <w:proofErr w:type="spellEnd"/>
      <w:r w:rsidR="005F1D69" w:rsidRPr="005F1D69">
        <w:rPr>
          <w:rFonts w:ascii="Times New Roman" w:hAnsi="Times New Roman" w:cs="Times New Roman"/>
          <w:kern w:val="0"/>
        </w:rPr>
        <w:t xml:space="preserve">, K. </w:t>
      </w:r>
      <w:r w:rsidR="005F1D69" w:rsidRPr="005F1D69">
        <w:rPr>
          <w:rFonts w:ascii="Times New Roman" w:hAnsi="Times New Roman" w:cs="Times New Roman"/>
          <w:i/>
          <w:iCs/>
          <w:kern w:val="0"/>
        </w:rPr>
        <w:t>et al.</w:t>
      </w:r>
      <w:r w:rsidR="005F1D69" w:rsidRPr="005F1D69">
        <w:rPr>
          <w:rFonts w:ascii="Times New Roman" w:hAnsi="Times New Roman" w:cs="Times New Roman"/>
          <w:kern w:val="0"/>
        </w:rPr>
        <w:t xml:space="preserve"> Predicting Splicing from Primary Sequence with Deep Learning. </w:t>
      </w:r>
      <w:r w:rsidR="005F1D69" w:rsidRPr="005F1D69">
        <w:rPr>
          <w:rFonts w:ascii="Times New Roman" w:hAnsi="Times New Roman" w:cs="Times New Roman"/>
          <w:i/>
          <w:iCs/>
          <w:kern w:val="0"/>
        </w:rPr>
        <w:t>Cell</w:t>
      </w:r>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176</w:t>
      </w:r>
      <w:r w:rsidR="005F1D69" w:rsidRPr="005F1D69">
        <w:rPr>
          <w:rFonts w:ascii="Times New Roman" w:hAnsi="Times New Roman" w:cs="Times New Roman"/>
          <w:kern w:val="0"/>
        </w:rPr>
        <w:t>, 535-548.e24 (2019).</w:t>
      </w:r>
    </w:p>
    <w:p w14:paraId="75231910" w14:textId="44400094" w:rsidR="005F1D69" w:rsidRPr="005F1D69" w:rsidRDefault="0021045D" w:rsidP="00C26F8D">
      <w:pPr>
        <w:pStyle w:val="Bibliographie1"/>
        <w:spacing w:line="240" w:lineRule="auto"/>
        <w:jc w:val="both"/>
        <w:rPr>
          <w:rFonts w:ascii="Times New Roman" w:hAnsi="Times New Roman" w:cs="Times New Roman"/>
          <w:kern w:val="0"/>
        </w:rPr>
      </w:pPr>
      <w:r>
        <w:rPr>
          <w:rFonts w:ascii="Times New Roman" w:hAnsi="Times New Roman" w:cs="Times New Roman"/>
          <w:kern w:val="0"/>
        </w:rPr>
        <w:t>5</w:t>
      </w:r>
      <w:r w:rsidR="005F1D69" w:rsidRPr="005F1D69">
        <w:rPr>
          <w:rFonts w:ascii="Times New Roman" w:hAnsi="Times New Roman" w:cs="Times New Roman"/>
          <w:kern w:val="0"/>
        </w:rPr>
        <w:t>.</w:t>
      </w:r>
      <w:r w:rsidR="005F1D69" w:rsidRPr="005F1D69">
        <w:rPr>
          <w:rFonts w:ascii="Times New Roman" w:hAnsi="Times New Roman" w:cs="Times New Roman"/>
          <w:kern w:val="0"/>
        </w:rPr>
        <w:tab/>
        <w:t xml:space="preserve">Leman, R. </w:t>
      </w:r>
      <w:r w:rsidR="005F1D69" w:rsidRPr="005F1D69">
        <w:rPr>
          <w:rFonts w:ascii="Times New Roman" w:hAnsi="Times New Roman" w:cs="Times New Roman"/>
          <w:i/>
          <w:iCs/>
          <w:kern w:val="0"/>
        </w:rPr>
        <w:t>et al.</w:t>
      </w:r>
      <w:r w:rsidR="005F1D69" w:rsidRPr="005F1D69">
        <w:rPr>
          <w:rFonts w:ascii="Times New Roman" w:hAnsi="Times New Roman" w:cs="Times New Roman"/>
          <w:kern w:val="0"/>
        </w:rPr>
        <w:t xml:space="preserve"> </w:t>
      </w:r>
      <w:proofErr w:type="spellStart"/>
      <w:r w:rsidR="005F1D69" w:rsidRPr="005F1D69">
        <w:rPr>
          <w:rFonts w:ascii="Times New Roman" w:hAnsi="Times New Roman" w:cs="Times New Roman"/>
          <w:kern w:val="0"/>
        </w:rPr>
        <w:t>SPiP</w:t>
      </w:r>
      <w:proofErr w:type="spellEnd"/>
      <w:r w:rsidR="005F1D69" w:rsidRPr="005F1D69">
        <w:rPr>
          <w:rFonts w:ascii="Times New Roman" w:hAnsi="Times New Roman" w:cs="Times New Roman"/>
          <w:kern w:val="0"/>
        </w:rPr>
        <w:t xml:space="preserve">: Splicing Prediction Pipeline, a machine learning tool for massive detection of </w:t>
      </w:r>
      <w:proofErr w:type="spellStart"/>
      <w:r w:rsidR="005F1D69" w:rsidRPr="005F1D69">
        <w:rPr>
          <w:rFonts w:ascii="Times New Roman" w:hAnsi="Times New Roman" w:cs="Times New Roman"/>
          <w:kern w:val="0"/>
        </w:rPr>
        <w:t>exonic</w:t>
      </w:r>
      <w:proofErr w:type="spellEnd"/>
      <w:r w:rsidR="005F1D69" w:rsidRPr="005F1D69">
        <w:rPr>
          <w:rFonts w:ascii="Times New Roman" w:hAnsi="Times New Roman" w:cs="Times New Roman"/>
          <w:kern w:val="0"/>
        </w:rPr>
        <w:t xml:space="preserve"> and intronic variant effects on mRNA splicing. </w:t>
      </w:r>
      <w:r w:rsidR="005F1D69" w:rsidRPr="005F1D69">
        <w:rPr>
          <w:rFonts w:ascii="Times New Roman" w:hAnsi="Times New Roman" w:cs="Times New Roman"/>
          <w:i/>
          <w:iCs/>
          <w:kern w:val="0"/>
        </w:rPr>
        <w:t xml:space="preserve">Hum </w:t>
      </w:r>
      <w:proofErr w:type="spellStart"/>
      <w:r w:rsidR="005F1D69" w:rsidRPr="005F1D69">
        <w:rPr>
          <w:rFonts w:ascii="Times New Roman" w:hAnsi="Times New Roman" w:cs="Times New Roman"/>
          <w:i/>
          <w:iCs/>
          <w:kern w:val="0"/>
        </w:rPr>
        <w:t>Mutat</w:t>
      </w:r>
      <w:proofErr w:type="spellEnd"/>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43</w:t>
      </w:r>
      <w:r w:rsidR="005F1D69" w:rsidRPr="005F1D69">
        <w:rPr>
          <w:rFonts w:ascii="Times New Roman" w:hAnsi="Times New Roman" w:cs="Times New Roman"/>
          <w:kern w:val="0"/>
        </w:rPr>
        <w:t>, 2308–2323 (2022).</w:t>
      </w:r>
    </w:p>
    <w:p w14:paraId="5E85612A" w14:textId="1AB22151" w:rsidR="005F1D69" w:rsidRPr="005F1D69" w:rsidRDefault="0021045D" w:rsidP="00C26F8D">
      <w:pPr>
        <w:pStyle w:val="Bibliographie1"/>
        <w:spacing w:line="240" w:lineRule="auto"/>
        <w:jc w:val="both"/>
        <w:rPr>
          <w:rFonts w:ascii="Times New Roman" w:hAnsi="Times New Roman" w:cs="Times New Roman"/>
          <w:kern w:val="0"/>
        </w:rPr>
      </w:pPr>
      <w:r>
        <w:rPr>
          <w:rFonts w:ascii="Times New Roman" w:hAnsi="Times New Roman" w:cs="Times New Roman"/>
          <w:kern w:val="0"/>
        </w:rPr>
        <w:t>6</w:t>
      </w:r>
      <w:r w:rsidR="005F1D69" w:rsidRPr="005F1D69">
        <w:rPr>
          <w:rFonts w:ascii="Times New Roman" w:hAnsi="Times New Roman" w:cs="Times New Roman"/>
          <w:kern w:val="0"/>
        </w:rPr>
        <w:t>.</w:t>
      </w:r>
      <w:r w:rsidR="005F1D69" w:rsidRPr="005F1D69">
        <w:rPr>
          <w:rFonts w:ascii="Times New Roman" w:hAnsi="Times New Roman" w:cs="Times New Roman"/>
          <w:kern w:val="0"/>
        </w:rPr>
        <w:tab/>
        <w:t xml:space="preserve">Kumar, P., </w:t>
      </w:r>
      <w:proofErr w:type="spellStart"/>
      <w:r w:rsidR="005F1D69" w:rsidRPr="005F1D69">
        <w:rPr>
          <w:rFonts w:ascii="Times New Roman" w:hAnsi="Times New Roman" w:cs="Times New Roman"/>
          <w:kern w:val="0"/>
        </w:rPr>
        <w:t>Henikoff</w:t>
      </w:r>
      <w:proofErr w:type="spellEnd"/>
      <w:r w:rsidR="005F1D69" w:rsidRPr="005F1D69">
        <w:rPr>
          <w:rFonts w:ascii="Times New Roman" w:hAnsi="Times New Roman" w:cs="Times New Roman"/>
          <w:kern w:val="0"/>
        </w:rPr>
        <w:t xml:space="preserve">, S. &amp; Ng, P. C. Predicting the effects of coding non-synonymous variants on protein function using the SIFT algorithm. </w:t>
      </w:r>
      <w:r w:rsidR="005F1D69" w:rsidRPr="005F1D69">
        <w:rPr>
          <w:rFonts w:ascii="Times New Roman" w:hAnsi="Times New Roman" w:cs="Times New Roman"/>
          <w:i/>
          <w:iCs/>
          <w:kern w:val="0"/>
        </w:rPr>
        <w:t xml:space="preserve">Nat </w:t>
      </w:r>
      <w:proofErr w:type="spellStart"/>
      <w:r w:rsidR="005F1D69" w:rsidRPr="005F1D69">
        <w:rPr>
          <w:rFonts w:ascii="Times New Roman" w:hAnsi="Times New Roman" w:cs="Times New Roman"/>
          <w:i/>
          <w:iCs/>
          <w:kern w:val="0"/>
        </w:rPr>
        <w:t>Protoc</w:t>
      </w:r>
      <w:proofErr w:type="spellEnd"/>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4</w:t>
      </w:r>
      <w:r w:rsidR="005F1D69" w:rsidRPr="005F1D69">
        <w:rPr>
          <w:rFonts w:ascii="Times New Roman" w:hAnsi="Times New Roman" w:cs="Times New Roman"/>
          <w:kern w:val="0"/>
        </w:rPr>
        <w:t>, 1073–1081 (2009).</w:t>
      </w:r>
    </w:p>
    <w:p w14:paraId="3DED66E5" w14:textId="3AAAD129" w:rsidR="005F1D69" w:rsidRPr="005F1D69" w:rsidRDefault="0021045D" w:rsidP="00C26F8D">
      <w:pPr>
        <w:pStyle w:val="Bibliographie1"/>
        <w:spacing w:line="240" w:lineRule="auto"/>
        <w:jc w:val="both"/>
        <w:rPr>
          <w:rFonts w:ascii="Times New Roman" w:hAnsi="Times New Roman" w:cs="Times New Roman"/>
          <w:kern w:val="0"/>
        </w:rPr>
      </w:pPr>
      <w:r w:rsidRPr="0021045D">
        <w:rPr>
          <w:rFonts w:ascii="Times New Roman" w:hAnsi="Times New Roman" w:cs="Times New Roman"/>
          <w:kern w:val="0"/>
          <w:lang w:val="fr-FR"/>
        </w:rPr>
        <w:t>7</w:t>
      </w:r>
      <w:r w:rsidR="005F1D69" w:rsidRPr="0021045D">
        <w:rPr>
          <w:rFonts w:ascii="Times New Roman" w:hAnsi="Times New Roman" w:cs="Times New Roman"/>
          <w:kern w:val="0"/>
          <w:lang w:val="fr-FR"/>
        </w:rPr>
        <w:t>.</w:t>
      </w:r>
      <w:r w:rsidR="005F1D69" w:rsidRPr="0021045D">
        <w:rPr>
          <w:rFonts w:ascii="Times New Roman" w:hAnsi="Times New Roman" w:cs="Times New Roman"/>
          <w:kern w:val="0"/>
          <w:lang w:val="fr-FR"/>
        </w:rPr>
        <w:tab/>
      </w:r>
      <w:proofErr w:type="spellStart"/>
      <w:r w:rsidR="005F1D69" w:rsidRPr="0021045D">
        <w:rPr>
          <w:rFonts w:ascii="Times New Roman" w:hAnsi="Times New Roman" w:cs="Times New Roman"/>
          <w:kern w:val="0"/>
          <w:lang w:val="fr-FR"/>
        </w:rPr>
        <w:t>Adzhubei</w:t>
      </w:r>
      <w:proofErr w:type="spellEnd"/>
      <w:r w:rsidR="005F1D69" w:rsidRPr="0021045D">
        <w:rPr>
          <w:rFonts w:ascii="Times New Roman" w:hAnsi="Times New Roman" w:cs="Times New Roman"/>
          <w:kern w:val="0"/>
          <w:lang w:val="fr-FR"/>
        </w:rPr>
        <w:t xml:space="preserve">, I. A. </w:t>
      </w:r>
      <w:r w:rsidR="005F1D69" w:rsidRPr="0021045D">
        <w:rPr>
          <w:rFonts w:ascii="Times New Roman" w:hAnsi="Times New Roman" w:cs="Times New Roman"/>
          <w:i/>
          <w:iCs/>
          <w:kern w:val="0"/>
          <w:lang w:val="fr-FR"/>
        </w:rPr>
        <w:t>et al.</w:t>
      </w:r>
      <w:r w:rsidR="005F1D69" w:rsidRPr="0021045D">
        <w:rPr>
          <w:rFonts w:ascii="Times New Roman" w:hAnsi="Times New Roman" w:cs="Times New Roman"/>
          <w:kern w:val="0"/>
          <w:lang w:val="fr-FR"/>
        </w:rPr>
        <w:t xml:space="preserve"> </w:t>
      </w:r>
      <w:r w:rsidR="005F1D69" w:rsidRPr="005F1D69">
        <w:rPr>
          <w:rFonts w:ascii="Times New Roman" w:hAnsi="Times New Roman" w:cs="Times New Roman"/>
          <w:kern w:val="0"/>
        </w:rPr>
        <w:t xml:space="preserve">A method and server for predicting damaging missense mutations. </w:t>
      </w:r>
      <w:r w:rsidR="005F1D69" w:rsidRPr="005F1D69">
        <w:rPr>
          <w:rFonts w:ascii="Times New Roman" w:hAnsi="Times New Roman" w:cs="Times New Roman"/>
          <w:i/>
          <w:iCs/>
          <w:kern w:val="0"/>
        </w:rPr>
        <w:t>Nat Methods</w:t>
      </w:r>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7</w:t>
      </w:r>
      <w:r w:rsidR="005F1D69" w:rsidRPr="005F1D69">
        <w:rPr>
          <w:rFonts w:ascii="Times New Roman" w:hAnsi="Times New Roman" w:cs="Times New Roman"/>
          <w:kern w:val="0"/>
        </w:rPr>
        <w:t>, 248–249 (2010).</w:t>
      </w:r>
    </w:p>
    <w:p w14:paraId="5791227A" w14:textId="5B2BFFA0" w:rsidR="005F1D69" w:rsidRPr="005F1D69" w:rsidRDefault="0021045D" w:rsidP="00C26F8D">
      <w:pPr>
        <w:pStyle w:val="Bibliographie1"/>
        <w:spacing w:line="240" w:lineRule="auto"/>
        <w:jc w:val="both"/>
        <w:rPr>
          <w:rFonts w:ascii="Times New Roman" w:hAnsi="Times New Roman" w:cs="Times New Roman"/>
          <w:kern w:val="0"/>
        </w:rPr>
      </w:pPr>
      <w:r>
        <w:rPr>
          <w:rFonts w:ascii="Times New Roman" w:hAnsi="Times New Roman" w:cs="Times New Roman"/>
          <w:kern w:val="0"/>
        </w:rPr>
        <w:t>8</w:t>
      </w:r>
      <w:r w:rsidR="005F1D69" w:rsidRPr="005F1D69">
        <w:rPr>
          <w:rFonts w:ascii="Times New Roman" w:hAnsi="Times New Roman" w:cs="Times New Roman"/>
          <w:kern w:val="0"/>
        </w:rPr>
        <w:t>.</w:t>
      </w:r>
      <w:r w:rsidR="005F1D69" w:rsidRPr="005F1D69">
        <w:rPr>
          <w:rFonts w:ascii="Times New Roman" w:hAnsi="Times New Roman" w:cs="Times New Roman"/>
          <w:kern w:val="0"/>
        </w:rPr>
        <w:tab/>
        <w:t xml:space="preserve">Cheng, J. </w:t>
      </w:r>
      <w:r w:rsidR="005F1D69" w:rsidRPr="005F1D69">
        <w:rPr>
          <w:rFonts w:ascii="Times New Roman" w:hAnsi="Times New Roman" w:cs="Times New Roman"/>
          <w:i/>
          <w:iCs/>
          <w:kern w:val="0"/>
        </w:rPr>
        <w:t>et al.</w:t>
      </w:r>
      <w:r w:rsidR="005F1D69" w:rsidRPr="005F1D69">
        <w:rPr>
          <w:rFonts w:ascii="Times New Roman" w:hAnsi="Times New Roman" w:cs="Times New Roman"/>
          <w:kern w:val="0"/>
        </w:rPr>
        <w:t xml:space="preserve"> Accurate proteome-wide missense variant effect prediction with </w:t>
      </w:r>
      <w:proofErr w:type="spellStart"/>
      <w:r w:rsidR="005F1D69" w:rsidRPr="005F1D69">
        <w:rPr>
          <w:rFonts w:ascii="Times New Roman" w:hAnsi="Times New Roman" w:cs="Times New Roman"/>
          <w:kern w:val="0"/>
        </w:rPr>
        <w:t>AlphaMissense</w:t>
      </w:r>
      <w:proofErr w:type="spellEnd"/>
      <w:r w:rsidR="005F1D69" w:rsidRPr="005F1D69">
        <w:rPr>
          <w:rFonts w:ascii="Times New Roman" w:hAnsi="Times New Roman" w:cs="Times New Roman"/>
          <w:kern w:val="0"/>
        </w:rPr>
        <w:t xml:space="preserve">. </w:t>
      </w:r>
      <w:r w:rsidR="005F1D69" w:rsidRPr="005F1D69">
        <w:rPr>
          <w:rFonts w:ascii="Times New Roman" w:hAnsi="Times New Roman" w:cs="Times New Roman"/>
          <w:i/>
          <w:iCs/>
          <w:kern w:val="0"/>
        </w:rPr>
        <w:t>Science</w:t>
      </w:r>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381</w:t>
      </w:r>
      <w:r w:rsidR="005F1D69" w:rsidRPr="005F1D69">
        <w:rPr>
          <w:rFonts w:ascii="Times New Roman" w:hAnsi="Times New Roman" w:cs="Times New Roman"/>
          <w:kern w:val="0"/>
        </w:rPr>
        <w:t>, eadg7492 (2023).</w:t>
      </w:r>
    </w:p>
    <w:p w14:paraId="75E48081" w14:textId="0F3C3721" w:rsidR="005F1D69" w:rsidRPr="005F1D69" w:rsidRDefault="0021045D" w:rsidP="00C26F8D">
      <w:pPr>
        <w:pStyle w:val="Bibliographie1"/>
        <w:spacing w:line="240" w:lineRule="auto"/>
        <w:jc w:val="both"/>
        <w:rPr>
          <w:rFonts w:ascii="Times New Roman" w:hAnsi="Times New Roman" w:cs="Times New Roman"/>
          <w:kern w:val="0"/>
        </w:rPr>
      </w:pPr>
      <w:r>
        <w:rPr>
          <w:rFonts w:ascii="Times New Roman" w:hAnsi="Times New Roman" w:cs="Times New Roman"/>
          <w:kern w:val="0"/>
        </w:rPr>
        <w:t>9.</w:t>
      </w:r>
      <w:r w:rsidR="005F1D69" w:rsidRPr="005F1D69">
        <w:rPr>
          <w:rFonts w:ascii="Times New Roman" w:hAnsi="Times New Roman" w:cs="Times New Roman"/>
          <w:kern w:val="0"/>
        </w:rPr>
        <w:tab/>
      </w:r>
      <w:proofErr w:type="spellStart"/>
      <w:r w:rsidR="005F1D69" w:rsidRPr="005F1D69">
        <w:rPr>
          <w:rFonts w:ascii="Times New Roman" w:hAnsi="Times New Roman" w:cs="Times New Roman"/>
          <w:kern w:val="0"/>
        </w:rPr>
        <w:t>Schubach</w:t>
      </w:r>
      <w:proofErr w:type="spellEnd"/>
      <w:r w:rsidR="005F1D69" w:rsidRPr="005F1D69">
        <w:rPr>
          <w:rFonts w:ascii="Times New Roman" w:hAnsi="Times New Roman" w:cs="Times New Roman"/>
          <w:kern w:val="0"/>
        </w:rPr>
        <w:t xml:space="preserve">, M., </w:t>
      </w:r>
      <w:proofErr w:type="spellStart"/>
      <w:r w:rsidR="005F1D69" w:rsidRPr="005F1D69">
        <w:rPr>
          <w:rFonts w:ascii="Times New Roman" w:hAnsi="Times New Roman" w:cs="Times New Roman"/>
          <w:kern w:val="0"/>
        </w:rPr>
        <w:t>Maass</w:t>
      </w:r>
      <w:proofErr w:type="spellEnd"/>
      <w:r w:rsidR="005F1D69" w:rsidRPr="005F1D69">
        <w:rPr>
          <w:rFonts w:ascii="Times New Roman" w:hAnsi="Times New Roman" w:cs="Times New Roman"/>
          <w:kern w:val="0"/>
        </w:rPr>
        <w:t xml:space="preserve">, T., </w:t>
      </w:r>
      <w:proofErr w:type="spellStart"/>
      <w:r w:rsidR="005F1D69" w:rsidRPr="005F1D69">
        <w:rPr>
          <w:rFonts w:ascii="Times New Roman" w:hAnsi="Times New Roman" w:cs="Times New Roman"/>
          <w:kern w:val="0"/>
        </w:rPr>
        <w:t>Nazaretyan</w:t>
      </w:r>
      <w:proofErr w:type="spellEnd"/>
      <w:r w:rsidR="005F1D69" w:rsidRPr="005F1D69">
        <w:rPr>
          <w:rFonts w:ascii="Times New Roman" w:hAnsi="Times New Roman" w:cs="Times New Roman"/>
          <w:kern w:val="0"/>
        </w:rPr>
        <w:t xml:space="preserve">, L., </w:t>
      </w:r>
      <w:proofErr w:type="spellStart"/>
      <w:r w:rsidR="005F1D69" w:rsidRPr="005F1D69">
        <w:rPr>
          <w:rFonts w:ascii="Times New Roman" w:hAnsi="Times New Roman" w:cs="Times New Roman"/>
          <w:kern w:val="0"/>
        </w:rPr>
        <w:t>Röner</w:t>
      </w:r>
      <w:proofErr w:type="spellEnd"/>
      <w:r w:rsidR="005F1D69" w:rsidRPr="005F1D69">
        <w:rPr>
          <w:rFonts w:ascii="Times New Roman" w:hAnsi="Times New Roman" w:cs="Times New Roman"/>
          <w:kern w:val="0"/>
        </w:rPr>
        <w:t xml:space="preserve">, S. &amp; Kircher, M. CADD v1.7: using protein language models, regulatory CNNs and other nucleotide-level scores to improve genome-wide variant predictions. </w:t>
      </w:r>
      <w:r w:rsidR="005F1D69" w:rsidRPr="005F1D69">
        <w:rPr>
          <w:rFonts w:ascii="Times New Roman" w:hAnsi="Times New Roman" w:cs="Times New Roman"/>
          <w:i/>
          <w:iCs/>
          <w:kern w:val="0"/>
        </w:rPr>
        <w:t>Nucleic Acids Res</w:t>
      </w:r>
      <w:r w:rsidR="005F1D69" w:rsidRPr="005F1D69">
        <w:rPr>
          <w:rFonts w:ascii="Times New Roman" w:hAnsi="Times New Roman" w:cs="Times New Roman"/>
          <w:kern w:val="0"/>
        </w:rPr>
        <w:t xml:space="preserve"> </w:t>
      </w:r>
      <w:r w:rsidR="005F1D69" w:rsidRPr="005F1D69">
        <w:rPr>
          <w:rFonts w:ascii="Times New Roman" w:hAnsi="Times New Roman" w:cs="Times New Roman"/>
          <w:b/>
          <w:bCs/>
          <w:kern w:val="0"/>
        </w:rPr>
        <w:t>52</w:t>
      </w:r>
      <w:r w:rsidR="005F1D69" w:rsidRPr="005F1D69">
        <w:rPr>
          <w:rFonts w:ascii="Times New Roman" w:hAnsi="Times New Roman" w:cs="Times New Roman"/>
          <w:kern w:val="0"/>
        </w:rPr>
        <w:t>, D1143–D1154 (2024).</w:t>
      </w:r>
    </w:p>
    <w:p w14:paraId="5980760D" w14:textId="5A22BB10" w:rsidR="00E64DA9" w:rsidRDefault="00E64DA9" w:rsidP="005F1D69">
      <w:pPr>
        <w:spacing w:line="240" w:lineRule="auto"/>
        <w:jc w:val="both"/>
      </w:pPr>
    </w:p>
    <w:p w14:paraId="7B6AFB5C" w14:textId="77777777" w:rsidR="00E64DA9" w:rsidRDefault="00E64DA9"/>
    <w:sectPr w:rsidR="00E64DA9" w:rsidSect="0069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A4"/>
    <w:rsid w:val="00095E9B"/>
    <w:rsid w:val="001067A4"/>
    <w:rsid w:val="001F7DA1"/>
    <w:rsid w:val="0021045D"/>
    <w:rsid w:val="002424CA"/>
    <w:rsid w:val="0028643A"/>
    <w:rsid w:val="002D23D1"/>
    <w:rsid w:val="002D7B29"/>
    <w:rsid w:val="002E1AA1"/>
    <w:rsid w:val="00337702"/>
    <w:rsid w:val="00351ADB"/>
    <w:rsid w:val="003537A8"/>
    <w:rsid w:val="003D39D2"/>
    <w:rsid w:val="00474053"/>
    <w:rsid w:val="004E7649"/>
    <w:rsid w:val="004E7C92"/>
    <w:rsid w:val="005313EB"/>
    <w:rsid w:val="005355BE"/>
    <w:rsid w:val="00564AF4"/>
    <w:rsid w:val="00571675"/>
    <w:rsid w:val="005F1D69"/>
    <w:rsid w:val="006920A3"/>
    <w:rsid w:val="006B0F1E"/>
    <w:rsid w:val="00701E53"/>
    <w:rsid w:val="00756C21"/>
    <w:rsid w:val="00794A21"/>
    <w:rsid w:val="007B44E0"/>
    <w:rsid w:val="007F760C"/>
    <w:rsid w:val="00890F49"/>
    <w:rsid w:val="00896663"/>
    <w:rsid w:val="008F601E"/>
    <w:rsid w:val="00A014EA"/>
    <w:rsid w:val="00A66B9F"/>
    <w:rsid w:val="00AC1A7D"/>
    <w:rsid w:val="00B02B9D"/>
    <w:rsid w:val="00B57D64"/>
    <w:rsid w:val="00B66F1D"/>
    <w:rsid w:val="00B72D03"/>
    <w:rsid w:val="00C26F8D"/>
    <w:rsid w:val="00C446CC"/>
    <w:rsid w:val="00C62B0A"/>
    <w:rsid w:val="00C6716F"/>
    <w:rsid w:val="00C926A5"/>
    <w:rsid w:val="00C95380"/>
    <w:rsid w:val="00CA0B21"/>
    <w:rsid w:val="00D45E53"/>
    <w:rsid w:val="00D545D7"/>
    <w:rsid w:val="00DC2AD1"/>
    <w:rsid w:val="00DD15A7"/>
    <w:rsid w:val="00DF3FF6"/>
    <w:rsid w:val="00E01FF3"/>
    <w:rsid w:val="00E021AD"/>
    <w:rsid w:val="00E1564F"/>
    <w:rsid w:val="00E419CD"/>
    <w:rsid w:val="00E64DA9"/>
    <w:rsid w:val="00E74EB0"/>
    <w:rsid w:val="00EA4201"/>
    <w:rsid w:val="00EB7A66"/>
    <w:rsid w:val="00EC6BAD"/>
    <w:rsid w:val="00F37009"/>
    <w:rsid w:val="00F5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496"/>
  <w15:chartTrackingRefBased/>
  <w15:docId w15:val="{96FB3A06-1ECD-7C47-8C56-47DF1F7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67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67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67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67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67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67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67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67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67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67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67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67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67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67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67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67A4"/>
    <w:rPr>
      <w:rFonts w:eastAsiaTheme="majorEastAsia" w:cstheme="majorBidi"/>
      <w:color w:val="272727" w:themeColor="text1" w:themeTint="D8"/>
    </w:rPr>
  </w:style>
  <w:style w:type="paragraph" w:styleId="Titre">
    <w:name w:val="Title"/>
    <w:basedOn w:val="Normal"/>
    <w:next w:val="Normal"/>
    <w:link w:val="TitreCar"/>
    <w:uiPriority w:val="10"/>
    <w:qFormat/>
    <w:rsid w:val="00106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67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67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67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67A4"/>
    <w:pPr>
      <w:spacing w:before="160"/>
      <w:jc w:val="center"/>
    </w:pPr>
    <w:rPr>
      <w:i/>
      <w:iCs/>
      <w:color w:val="404040" w:themeColor="text1" w:themeTint="BF"/>
    </w:rPr>
  </w:style>
  <w:style w:type="character" w:customStyle="1" w:styleId="CitationCar">
    <w:name w:val="Citation Car"/>
    <w:basedOn w:val="Policepardfaut"/>
    <w:link w:val="Citation"/>
    <w:uiPriority w:val="29"/>
    <w:rsid w:val="001067A4"/>
    <w:rPr>
      <w:i/>
      <w:iCs/>
      <w:color w:val="404040" w:themeColor="text1" w:themeTint="BF"/>
    </w:rPr>
  </w:style>
  <w:style w:type="paragraph" w:styleId="Paragraphedeliste">
    <w:name w:val="List Paragraph"/>
    <w:basedOn w:val="Normal"/>
    <w:uiPriority w:val="34"/>
    <w:qFormat/>
    <w:rsid w:val="001067A4"/>
    <w:pPr>
      <w:ind w:left="720"/>
      <w:contextualSpacing/>
    </w:pPr>
  </w:style>
  <w:style w:type="character" w:styleId="Accentuationintense">
    <w:name w:val="Intense Emphasis"/>
    <w:basedOn w:val="Policepardfaut"/>
    <w:uiPriority w:val="21"/>
    <w:qFormat/>
    <w:rsid w:val="001067A4"/>
    <w:rPr>
      <w:i/>
      <w:iCs/>
      <w:color w:val="0F4761" w:themeColor="accent1" w:themeShade="BF"/>
    </w:rPr>
  </w:style>
  <w:style w:type="paragraph" w:styleId="Citationintense">
    <w:name w:val="Intense Quote"/>
    <w:basedOn w:val="Normal"/>
    <w:next w:val="Normal"/>
    <w:link w:val="CitationintenseCar"/>
    <w:uiPriority w:val="30"/>
    <w:qFormat/>
    <w:rsid w:val="0010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67A4"/>
    <w:rPr>
      <w:i/>
      <w:iCs/>
      <w:color w:val="0F4761" w:themeColor="accent1" w:themeShade="BF"/>
    </w:rPr>
  </w:style>
  <w:style w:type="character" w:styleId="Rfrenceintense">
    <w:name w:val="Intense Reference"/>
    <w:basedOn w:val="Policepardfaut"/>
    <w:uiPriority w:val="32"/>
    <w:qFormat/>
    <w:rsid w:val="001067A4"/>
    <w:rPr>
      <w:b/>
      <w:bCs/>
      <w:smallCaps/>
      <w:color w:val="0F4761" w:themeColor="accent1" w:themeShade="BF"/>
      <w:spacing w:val="5"/>
    </w:rPr>
  </w:style>
  <w:style w:type="paragraph" w:customStyle="1" w:styleId="p1">
    <w:name w:val="p1"/>
    <w:basedOn w:val="Normal"/>
    <w:rsid w:val="00701E53"/>
    <w:pPr>
      <w:spacing w:after="0" w:line="240" w:lineRule="auto"/>
    </w:pPr>
    <w:rPr>
      <w:rFonts w:ascii="Arial" w:eastAsia="Times New Roman" w:hAnsi="Arial" w:cs="Arial"/>
      <w:color w:val="000000"/>
      <w:kern w:val="0"/>
      <w:sz w:val="17"/>
      <w:szCs w:val="17"/>
      <w:lang w:val="fr-FR" w:eastAsia="fr-FR"/>
      <w14:ligatures w14:val="none"/>
    </w:rPr>
  </w:style>
  <w:style w:type="paragraph" w:customStyle="1" w:styleId="Bibliographie1">
    <w:name w:val="Bibliographie1"/>
    <w:basedOn w:val="Normal"/>
    <w:link w:val="BibliographyCar"/>
    <w:rsid w:val="00E64DA9"/>
    <w:pPr>
      <w:tabs>
        <w:tab w:val="left" w:pos="260"/>
      </w:tabs>
      <w:spacing w:after="0" w:line="480" w:lineRule="auto"/>
      <w:ind w:left="264" w:hanging="264"/>
    </w:pPr>
  </w:style>
  <w:style w:type="character" w:customStyle="1" w:styleId="BibliographyCar">
    <w:name w:val="Bibliography Car"/>
    <w:basedOn w:val="Policepardfaut"/>
    <w:link w:val="Bibliographie1"/>
    <w:rsid w:val="00E6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7B3DC-1107-412C-AC55-9501696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2920</Words>
  <Characters>16066</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Hamosh</dc:creator>
  <cp:keywords/>
  <dc:description/>
  <cp:lastModifiedBy>lemay nicolas</cp:lastModifiedBy>
  <cp:revision>5</cp:revision>
  <dcterms:created xsi:type="dcterms:W3CDTF">2026-04-23T11:36:00Z</dcterms:created>
  <dcterms:modified xsi:type="dcterms:W3CDTF">2026-04-23T12:37:00Z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id="YmUr1VMq"/&gt;&lt;style id="http://www.zotero.org/styles/nature" hasBibliography="1" bibliographyStyleHasBeenSet="1"/&gt;&lt;prefs&gt;&lt;pref name="fieldType" value="Field"/&gt;&lt;/prefs&gt;&lt;/data&gt;</vt:lpwstr>
  </property>
</Properties>
</file>