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pPr w:leftFromText="180" w:rightFromText="180" w:vertAnchor="text" w:horzAnchor="margin" w:tblpY="579"/>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43"/>
        <w:gridCol w:w="1581"/>
        <w:gridCol w:w="5869"/>
        <w:gridCol w:w="867"/>
      </w:tblGrid>
      <w:tr w:rsidR="00E4365E" w14:paraId="5F2A0436" w14:textId="77777777" w:rsidTr="0098725B">
        <w:trPr>
          <w:trHeight w:val="454"/>
        </w:trPr>
        <w:tc>
          <w:tcPr>
            <w:tcW w:w="1043" w:type="dxa"/>
            <w:tcBorders>
              <w:top w:val="single" w:sz="8" w:space="0" w:color="000000"/>
              <w:bottom w:val="double" w:sz="4" w:space="0" w:color="auto"/>
            </w:tcBorders>
            <w:vAlign w:val="center"/>
          </w:tcPr>
          <w:p w14:paraId="2C48ADAE" w14:textId="77777777" w:rsidR="0098725B"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Construction</w:t>
            </w:r>
          </w:p>
        </w:tc>
        <w:tc>
          <w:tcPr>
            <w:tcW w:w="1581" w:type="dxa"/>
            <w:tcBorders>
              <w:top w:val="single" w:sz="8" w:space="0" w:color="000000"/>
              <w:bottom w:val="double" w:sz="4" w:space="0" w:color="auto"/>
            </w:tcBorders>
            <w:vAlign w:val="bottom"/>
          </w:tcPr>
          <w:p w14:paraId="7B3BAF45" w14:textId="77777777" w:rsidR="0098725B"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Name and direction</w:t>
            </w:r>
          </w:p>
        </w:tc>
        <w:tc>
          <w:tcPr>
            <w:tcW w:w="5869" w:type="dxa"/>
            <w:tcBorders>
              <w:top w:val="single" w:sz="8" w:space="0" w:color="000000"/>
              <w:bottom w:val="double" w:sz="4" w:space="0" w:color="auto"/>
            </w:tcBorders>
            <w:vAlign w:val="center"/>
          </w:tcPr>
          <w:p w14:paraId="3BBFD9B6" w14:textId="77777777" w:rsidR="0098725B"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Sequence (5′ </w:t>
            </w:r>
            <w:r>
              <w:rPr>
                <w:rFonts w:ascii="Symbol" w:eastAsia="Symbol" w:hAnsi="Symbol" w:cs="Symbol"/>
                <w:color w:val="000000"/>
                <w:sz w:val="16"/>
              </w:rPr>
              <w:t>®</w:t>
            </w:r>
            <w:r>
              <w:rPr>
                <w:rFonts w:ascii="Times New Roman" w:eastAsia="Times New Roman" w:hAnsi="Times New Roman" w:cs="Times New Roman"/>
                <w:color w:val="000000"/>
                <w:sz w:val="16"/>
              </w:rPr>
              <w:t xml:space="preserve"> 3′)</w:t>
            </w:r>
          </w:p>
        </w:tc>
        <w:tc>
          <w:tcPr>
            <w:tcW w:w="867" w:type="dxa"/>
            <w:tcBorders>
              <w:top w:val="single" w:sz="8" w:space="0" w:color="000000"/>
              <w:bottom w:val="double" w:sz="4" w:space="0" w:color="auto"/>
            </w:tcBorders>
            <w:vAlign w:val="center"/>
          </w:tcPr>
          <w:p w14:paraId="4A0FE752" w14:textId="77777777" w:rsidR="0098725B"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Reference</w:t>
            </w:r>
          </w:p>
        </w:tc>
      </w:tr>
      <w:tr w:rsidR="00E4365E" w14:paraId="5CF1680F" w14:textId="77777777" w:rsidTr="0098725B">
        <w:trPr>
          <w:trHeight w:val="397"/>
        </w:trPr>
        <w:tc>
          <w:tcPr>
            <w:tcW w:w="1043" w:type="dxa"/>
            <w:vMerge w:val="restart"/>
            <w:tcBorders>
              <w:top w:val="double" w:sz="4" w:space="0" w:color="auto"/>
              <w:bottom w:val="single" w:sz="4" w:space="0" w:color="auto"/>
            </w:tcBorders>
            <w:vAlign w:val="center"/>
          </w:tcPr>
          <w:p w14:paraId="69F07A22" w14:textId="77777777" w:rsidR="0098725B" w:rsidRDefault="00000000" w:rsidP="00212216">
            <w:pPr>
              <w:spacing w:line="480"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pA-gfpOVA</w:t>
            </w:r>
          </w:p>
        </w:tc>
        <w:tc>
          <w:tcPr>
            <w:tcW w:w="1581" w:type="dxa"/>
            <w:tcBorders>
              <w:top w:val="double" w:sz="4" w:space="0" w:color="auto"/>
            </w:tcBorders>
            <w:vAlign w:val="bottom"/>
          </w:tcPr>
          <w:p w14:paraId="498A677B" w14:textId="77777777" w:rsidR="0098725B"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P</w:t>
            </w:r>
            <w:r>
              <w:rPr>
                <w:rFonts w:ascii="Times New Roman" w:eastAsia="Times New Roman" w:hAnsi="Times New Roman" w:cs="Times New Roman"/>
                <w:color w:val="000000"/>
                <w:sz w:val="16"/>
                <w:vertAlign w:val="subscript"/>
              </w:rPr>
              <w:t>aspA</w:t>
            </w:r>
            <w:r>
              <w:rPr>
                <w:rFonts w:ascii="Times New Roman" w:eastAsia="Times New Roman" w:hAnsi="Times New Roman" w:cs="Times New Roman"/>
                <w:color w:val="000000"/>
                <w:sz w:val="16"/>
              </w:rPr>
              <w:t>-insert-FW</w:t>
            </w:r>
          </w:p>
        </w:tc>
        <w:tc>
          <w:tcPr>
            <w:tcW w:w="5869" w:type="dxa"/>
            <w:tcBorders>
              <w:top w:val="double" w:sz="4" w:space="0" w:color="auto"/>
            </w:tcBorders>
            <w:vAlign w:val="bottom"/>
          </w:tcPr>
          <w:p w14:paraId="5DB0C08F" w14:textId="77777777" w:rsidR="0098725B"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AAGCATGCTACCTGAATGGGTTGCGAAT</w:t>
            </w:r>
          </w:p>
        </w:tc>
        <w:tc>
          <w:tcPr>
            <w:tcW w:w="867" w:type="dxa"/>
            <w:tcBorders>
              <w:top w:val="double" w:sz="4" w:space="0" w:color="auto"/>
            </w:tcBorders>
            <w:vAlign w:val="bottom"/>
          </w:tcPr>
          <w:p w14:paraId="60D816D9" w14:textId="77777777" w:rsidR="0098725B" w:rsidRDefault="00000000" w:rsidP="00212216">
            <w:pPr>
              <w:spacing w:line="480" w:lineRule="auto"/>
              <w:jc w:val="left"/>
              <w:rPr>
                <w:rFonts w:ascii="Times New Roman" w:eastAsia="Times New Roman" w:hAnsi="Times New Roman" w:cs="Times New Roman"/>
                <w:color w:val="000000"/>
                <w:sz w:val="15"/>
              </w:rPr>
            </w:pPr>
            <w:r>
              <w:rPr>
                <w:rFonts w:ascii="Times New Roman" w:eastAsia="Times New Roman" w:hAnsi="Times New Roman" w:cs="Times New Roman"/>
                <w:color w:val="000000"/>
                <w:sz w:val="15"/>
              </w:rPr>
              <w:t>This study</w:t>
            </w:r>
          </w:p>
        </w:tc>
      </w:tr>
      <w:tr w:rsidR="00E4365E" w14:paraId="4E7CCA04" w14:textId="77777777" w:rsidTr="0098725B">
        <w:trPr>
          <w:trHeight w:val="397"/>
        </w:trPr>
        <w:tc>
          <w:tcPr>
            <w:tcW w:w="1043" w:type="dxa"/>
            <w:vMerge/>
            <w:tcBorders>
              <w:top w:val="nil"/>
              <w:bottom w:val="nil"/>
            </w:tcBorders>
          </w:tcPr>
          <w:p w14:paraId="3431F080" w14:textId="77777777" w:rsidR="0098725B" w:rsidRDefault="0098725B" w:rsidP="00212216">
            <w:pPr>
              <w:spacing w:line="480" w:lineRule="auto"/>
            </w:pPr>
          </w:p>
        </w:tc>
        <w:tc>
          <w:tcPr>
            <w:tcW w:w="1581" w:type="dxa"/>
            <w:vAlign w:val="bottom"/>
          </w:tcPr>
          <w:p w14:paraId="7AE42B4C" w14:textId="77777777" w:rsidR="0098725B"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P</w:t>
            </w:r>
            <w:r>
              <w:rPr>
                <w:rFonts w:ascii="Times New Roman" w:eastAsia="Times New Roman" w:hAnsi="Times New Roman" w:cs="Times New Roman"/>
                <w:color w:val="000000"/>
                <w:sz w:val="16"/>
                <w:vertAlign w:val="subscript"/>
              </w:rPr>
              <w:t>aspA</w:t>
            </w:r>
            <w:r>
              <w:rPr>
                <w:rFonts w:ascii="Times New Roman" w:eastAsia="Times New Roman" w:hAnsi="Times New Roman" w:cs="Times New Roman"/>
                <w:color w:val="000000"/>
                <w:sz w:val="16"/>
              </w:rPr>
              <w:t>-insert-RV</w:t>
            </w:r>
          </w:p>
        </w:tc>
        <w:tc>
          <w:tcPr>
            <w:tcW w:w="5869" w:type="dxa"/>
            <w:vAlign w:val="bottom"/>
          </w:tcPr>
          <w:p w14:paraId="1E5E09C8" w14:textId="77777777" w:rsidR="0098725B"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AATCTAGACGCTCTCAGAGTGTGAACAC</w:t>
            </w:r>
          </w:p>
        </w:tc>
        <w:tc>
          <w:tcPr>
            <w:tcW w:w="867" w:type="dxa"/>
            <w:vAlign w:val="bottom"/>
          </w:tcPr>
          <w:p w14:paraId="18AA0B36" w14:textId="77777777" w:rsidR="0098725B" w:rsidRDefault="00000000" w:rsidP="00212216">
            <w:pPr>
              <w:spacing w:line="480" w:lineRule="auto"/>
              <w:jc w:val="left"/>
              <w:rPr>
                <w:rFonts w:ascii="Times New Roman" w:eastAsia="Times New Roman" w:hAnsi="Times New Roman" w:cs="Times New Roman"/>
                <w:color w:val="000000"/>
                <w:sz w:val="15"/>
              </w:rPr>
            </w:pPr>
            <w:r>
              <w:rPr>
                <w:rFonts w:ascii="Times New Roman" w:eastAsia="Times New Roman" w:hAnsi="Times New Roman" w:cs="Times New Roman"/>
                <w:color w:val="000000"/>
                <w:sz w:val="15"/>
              </w:rPr>
              <w:t>This study</w:t>
            </w:r>
          </w:p>
        </w:tc>
      </w:tr>
      <w:tr w:rsidR="00E4365E" w14:paraId="57366A51" w14:textId="77777777" w:rsidTr="0098725B">
        <w:trPr>
          <w:trHeight w:val="397"/>
        </w:trPr>
        <w:tc>
          <w:tcPr>
            <w:tcW w:w="1043" w:type="dxa"/>
            <w:vMerge/>
            <w:tcBorders>
              <w:top w:val="nil"/>
              <w:bottom w:val="single" w:sz="4" w:space="0" w:color="auto"/>
            </w:tcBorders>
          </w:tcPr>
          <w:p w14:paraId="245EEC86" w14:textId="77777777" w:rsidR="0098725B" w:rsidRDefault="0098725B" w:rsidP="00212216">
            <w:pPr>
              <w:spacing w:line="480" w:lineRule="auto"/>
            </w:pPr>
          </w:p>
        </w:tc>
        <w:tc>
          <w:tcPr>
            <w:tcW w:w="1581" w:type="dxa"/>
            <w:vAlign w:val="bottom"/>
          </w:tcPr>
          <w:p w14:paraId="68A487D3" w14:textId="77777777" w:rsidR="0098725B"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Seq-GFP-FW</w:t>
            </w:r>
          </w:p>
        </w:tc>
        <w:tc>
          <w:tcPr>
            <w:tcW w:w="5869" w:type="dxa"/>
            <w:vAlign w:val="bottom"/>
          </w:tcPr>
          <w:p w14:paraId="0AFB9DDF" w14:textId="77777777" w:rsidR="0098725B"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TCTCCACTGACAGAAAATTTGTGC</w:t>
            </w:r>
          </w:p>
        </w:tc>
        <w:tc>
          <w:tcPr>
            <w:tcW w:w="867" w:type="dxa"/>
            <w:vAlign w:val="bottom"/>
          </w:tcPr>
          <w:p w14:paraId="71E41CEB" w14:textId="77777777" w:rsidR="0098725B" w:rsidRDefault="00000000" w:rsidP="00212216">
            <w:pPr>
              <w:spacing w:line="480" w:lineRule="auto"/>
              <w:jc w:val="left"/>
              <w:rPr>
                <w:rFonts w:ascii="Times New Roman" w:eastAsia="Times New Roman" w:hAnsi="Times New Roman" w:cs="Times New Roman"/>
                <w:color w:val="000000"/>
                <w:sz w:val="15"/>
              </w:rPr>
            </w:pPr>
            <w:r>
              <w:rPr>
                <w:rFonts w:ascii="Times New Roman" w:eastAsia="Times New Roman" w:hAnsi="Times New Roman" w:cs="Times New Roman"/>
                <w:color w:val="000000"/>
                <w:sz w:val="15"/>
              </w:rPr>
              <w:t>This study</w:t>
            </w:r>
          </w:p>
        </w:tc>
      </w:tr>
      <w:tr w:rsidR="00E4365E" w14:paraId="0754750C" w14:textId="77777777" w:rsidTr="0098725B">
        <w:trPr>
          <w:trHeight w:val="397"/>
        </w:trPr>
        <w:tc>
          <w:tcPr>
            <w:tcW w:w="1043" w:type="dxa"/>
            <w:vMerge w:val="restart"/>
            <w:tcBorders>
              <w:top w:val="single" w:sz="4" w:space="0" w:color="auto"/>
              <w:bottom w:val="single" w:sz="4" w:space="0" w:color="auto"/>
            </w:tcBorders>
            <w:vAlign w:val="center"/>
          </w:tcPr>
          <w:p w14:paraId="5D998482" w14:textId="77777777" w:rsidR="0098725B" w:rsidRDefault="00000000" w:rsidP="00212216">
            <w:pPr>
              <w:spacing w:line="480"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pA-TP</w:t>
            </w:r>
          </w:p>
        </w:tc>
        <w:tc>
          <w:tcPr>
            <w:tcW w:w="1581" w:type="dxa"/>
            <w:vAlign w:val="bottom"/>
          </w:tcPr>
          <w:p w14:paraId="657D5C52" w14:textId="77777777" w:rsidR="0098725B"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TP-vector-FW</w:t>
            </w:r>
          </w:p>
        </w:tc>
        <w:tc>
          <w:tcPr>
            <w:tcW w:w="5869" w:type="dxa"/>
            <w:vAlign w:val="bottom"/>
          </w:tcPr>
          <w:p w14:paraId="154BA19D" w14:textId="77777777" w:rsidR="0098725B"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GCGCGAGGACCTGAAGTAACTGCAGCCAAGCTTGGCT</w:t>
            </w:r>
          </w:p>
        </w:tc>
        <w:tc>
          <w:tcPr>
            <w:tcW w:w="867" w:type="dxa"/>
            <w:vAlign w:val="bottom"/>
          </w:tcPr>
          <w:p w14:paraId="1183C620" w14:textId="77777777" w:rsidR="0098725B" w:rsidRDefault="00000000" w:rsidP="00212216">
            <w:pPr>
              <w:spacing w:line="480" w:lineRule="auto"/>
              <w:jc w:val="left"/>
              <w:rPr>
                <w:rFonts w:ascii="Times New Roman" w:eastAsia="Times New Roman" w:hAnsi="Times New Roman" w:cs="Times New Roman"/>
                <w:color w:val="000000"/>
                <w:sz w:val="15"/>
              </w:rPr>
            </w:pPr>
            <w:r>
              <w:rPr>
                <w:rFonts w:ascii="Times New Roman" w:eastAsia="Times New Roman" w:hAnsi="Times New Roman" w:cs="Times New Roman"/>
                <w:color w:val="000000"/>
                <w:sz w:val="15"/>
              </w:rPr>
              <w:t>This study</w:t>
            </w:r>
          </w:p>
        </w:tc>
      </w:tr>
      <w:tr w:rsidR="00E4365E" w14:paraId="62A7C23B" w14:textId="77777777" w:rsidTr="0098725B">
        <w:trPr>
          <w:trHeight w:val="397"/>
        </w:trPr>
        <w:tc>
          <w:tcPr>
            <w:tcW w:w="1043" w:type="dxa"/>
            <w:vMerge/>
            <w:tcBorders>
              <w:top w:val="nil"/>
              <w:bottom w:val="nil"/>
            </w:tcBorders>
          </w:tcPr>
          <w:p w14:paraId="4E1B0268" w14:textId="77777777" w:rsidR="0098725B" w:rsidRDefault="0098725B" w:rsidP="00212216">
            <w:pPr>
              <w:spacing w:line="480" w:lineRule="auto"/>
            </w:pPr>
          </w:p>
        </w:tc>
        <w:tc>
          <w:tcPr>
            <w:tcW w:w="1581" w:type="dxa"/>
            <w:vAlign w:val="bottom"/>
          </w:tcPr>
          <w:p w14:paraId="7D3840B2" w14:textId="77777777" w:rsidR="0098725B"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TP-vector-RV</w:t>
            </w:r>
          </w:p>
        </w:tc>
        <w:tc>
          <w:tcPr>
            <w:tcW w:w="5869" w:type="dxa"/>
            <w:vAlign w:val="bottom"/>
          </w:tcPr>
          <w:p w14:paraId="7216E299" w14:textId="77777777" w:rsidR="0098725B"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CTGATCTTTTCTTCATCTTCAAACCCATATGTATATCTCCTTCTTAAATCTAGACGCTCT</w:t>
            </w:r>
          </w:p>
        </w:tc>
        <w:tc>
          <w:tcPr>
            <w:tcW w:w="867" w:type="dxa"/>
            <w:vAlign w:val="bottom"/>
          </w:tcPr>
          <w:p w14:paraId="73000409" w14:textId="77777777" w:rsidR="0098725B" w:rsidRDefault="00000000" w:rsidP="00212216">
            <w:pPr>
              <w:spacing w:line="480" w:lineRule="auto"/>
              <w:jc w:val="left"/>
              <w:rPr>
                <w:rFonts w:ascii="Times New Roman" w:eastAsia="Times New Roman" w:hAnsi="Times New Roman" w:cs="Times New Roman"/>
                <w:color w:val="000000"/>
                <w:sz w:val="15"/>
              </w:rPr>
            </w:pPr>
            <w:r>
              <w:rPr>
                <w:rFonts w:ascii="Times New Roman" w:eastAsia="Times New Roman" w:hAnsi="Times New Roman" w:cs="Times New Roman"/>
                <w:color w:val="000000"/>
                <w:sz w:val="15"/>
              </w:rPr>
              <w:t>This study</w:t>
            </w:r>
          </w:p>
        </w:tc>
      </w:tr>
      <w:tr w:rsidR="00E4365E" w14:paraId="698DAD6D" w14:textId="77777777" w:rsidTr="0098725B">
        <w:trPr>
          <w:trHeight w:val="397"/>
        </w:trPr>
        <w:tc>
          <w:tcPr>
            <w:tcW w:w="1043" w:type="dxa"/>
            <w:vMerge/>
            <w:tcBorders>
              <w:top w:val="nil"/>
              <w:bottom w:val="nil"/>
            </w:tcBorders>
          </w:tcPr>
          <w:p w14:paraId="58D3401A" w14:textId="77777777" w:rsidR="0098725B" w:rsidRDefault="0098725B" w:rsidP="00212216">
            <w:pPr>
              <w:spacing w:line="480" w:lineRule="auto"/>
            </w:pPr>
          </w:p>
        </w:tc>
        <w:tc>
          <w:tcPr>
            <w:tcW w:w="1581" w:type="dxa"/>
            <w:vAlign w:val="bottom"/>
          </w:tcPr>
          <w:p w14:paraId="3B4F0A26" w14:textId="77777777" w:rsidR="0098725B"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P</w:t>
            </w:r>
            <w:r>
              <w:rPr>
                <w:rFonts w:ascii="Times New Roman" w:eastAsia="Times New Roman" w:hAnsi="Times New Roman" w:cs="Times New Roman"/>
                <w:color w:val="000000"/>
                <w:sz w:val="16"/>
                <w:vertAlign w:val="subscript"/>
              </w:rPr>
              <w:t>aspA</w:t>
            </w:r>
            <w:r>
              <w:rPr>
                <w:rFonts w:ascii="Times New Roman" w:eastAsia="Times New Roman" w:hAnsi="Times New Roman" w:cs="Times New Roman"/>
                <w:color w:val="000000"/>
                <w:sz w:val="16"/>
              </w:rPr>
              <w:t>-insert-FW</w:t>
            </w:r>
          </w:p>
        </w:tc>
        <w:tc>
          <w:tcPr>
            <w:tcW w:w="5869" w:type="dxa"/>
            <w:vAlign w:val="bottom"/>
          </w:tcPr>
          <w:p w14:paraId="62453270" w14:textId="77777777" w:rsidR="0098725B"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AGAGCGTCTAGATTTAAGAAGGAGATATACATATGGGTTTGAAGATGAAGAAAAGATCAG</w:t>
            </w:r>
          </w:p>
        </w:tc>
        <w:tc>
          <w:tcPr>
            <w:tcW w:w="867" w:type="dxa"/>
            <w:vAlign w:val="bottom"/>
          </w:tcPr>
          <w:p w14:paraId="13ACDC57" w14:textId="77777777" w:rsidR="0098725B" w:rsidRDefault="00000000" w:rsidP="00212216">
            <w:pPr>
              <w:spacing w:line="480" w:lineRule="auto"/>
              <w:jc w:val="left"/>
              <w:rPr>
                <w:rFonts w:ascii="Times New Roman" w:eastAsia="Times New Roman" w:hAnsi="Times New Roman" w:cs="Times New Roman"/>
                <w:color w:val="000000"/>
                <w:sz w:val="15"/>
              </w:rPr>
            </w:pPr>
            <w:r>
              <w:rPr>
                <w:rFonts w:ascii="Times New Roman" w:eastAsia="Times New Roman" w:hAnsi="Times New Roman" w:cs="Times New Roman"/>
                <w:color w:val="000000"/>
                <w:sz w:val="15"/>
              </w:rPr>
              <w:t>This study</w:t>
            </w:r>
          </w:p>
        </w:tc>
      </w:tr>
      <w:tr w:rsidR="00E4365E" w14:paraId="34647BE9" w14:textId="77777777" w:rsidTr="0098725B">
        <w:trPr>
          <w:trHeight w:val="397"/>
        </w:trPr>
        <w:tc>
          <w:tcPr>
            <w:tcW w:w="1043" w:type="dxa"/>
            <w:vMerge/>
            <w:tcBorders>
              <w:top w:val="nil"/>
              <w:bottom w:val="nil"/>
            </w:tcBorders>
          </w:tcPr>
          <w:p w14:paraId="7B4314CC" w14:textId="77777777" w:rsidR="0098725B" w:rsidRDefault="0098725B" w:rsidP="00212216">
            <w:pPr>
              <w:spacing w:line="480" w:lineRule="auto"/>
            </w:pPr>
          </w:p>
        </w:tc>
        <w:tc>
          <w:tcPr>
            <w:tcW w:w="1581" w:type="dxa"/>
            <w:tcBorders>
              <w:bottom w:val="single" w:sz="4" w:space="0" w:color="auto"/>
            </w:tcBorders>
            <w:vAlign w:val="bottom"/>
          </w:tcPr>
          <w:p w14:paraId="5781CD05" w14:textId="77777777" w:rsidR="0098725B"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P</w:t>
            </w:r>
            <w:r>
              <w:rPr>
                <w:rFonts w:ascii="Times New Roman" w:eastAsia="Times New Roman" w:hAnsi="Times New Roman" w:cs="Times New Roman"/>
                <w:color w:val="000000"/>
                <w:sz w:val="16"/>
                <w:vertAlign w:val="subscript"/>
              </w:rPr>
              <w:t>aspA</w:t>
            </w:r>
            <w:r>
              <w:rPr>
                <w:rFonts w:ascii="Times New Roman" w:eastAsia="Times New Roman" w:hAnsi="Times New Roman" w:cs="Times New Roman"/>
                <w:color w:val="000000"/>
                <w:sz w:val="16"/>
              </w:rPr>
              <w:t>-insert-RV</w:t>
            </w:r>
          </w:p>
        </w:tc>
        <w:tc>
          <w:tcPr>
            <w:tcW w:w="5869" w:type="dxa"/>
            <w:tcBorders>
              <w:bottom w:val="single" w:sz="4" w:space="0" w:color="auto"/>
            </w:tcBorders>
            <w:vAlign w:val="bottom"/>
          </w:tcPr>
          <w:p w14:paraId="29A31CD9" w14:textId="77777777" w:rsidR="0098725B"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5"/>
              </w:rPr>
              <w:t>AGCCAAGCTTGGCTGCAGTTACTTCAGGTCCTCGCGC</w:t>
            </w:r>
          </w:p>
        </w:tc>
        <w:tc>
          <w:tcPr>
            <w:tcW w:w="867" w:type="dxa"/>
            <w:tcBorders>
              <w:bottom w:val="single" w:sz="4" w:space="0" w:color="auto"/>
            </w:tcBorders>
            <w:vAlign w:val="bottom"/>
          </w:tcPr>
          <w:p w14:paraId="7196771D" w14:textId="77777777" w:rsidR="0098725B" w:rsidRDefault="00000000" w:rsidP="00212216">
            <w:pPr>
              <w:spacing w:line="480" w:lineRule="auto"/>
              <w:jc w:val="left"/>
              <w:rPr>
                <w:rFonts w:ascii="Times New Roman" w:eastAsia="Times New Roman" w:hAnsi="Times New Roman" w:cs="Times New Roman"/>
                <w:color w:val="000000"/>
                <w:sz w:val="15"/>
              </w:rPr>
            </w:pPr>
            <w:r>
              <w:rPr>
                <w:rFonts w:ascii="Times New Roman" w:eastAsia="Times New Roman" w:hAnsi="Times New Roman" w:cs="Times New Roman"/>
                <w:color w:val="000000"/>
                <w:sz w:val="15"/>
              </w:rPr>
              <w:t>This study</w:t>
            </w:r>
          </w:p>
        </w:tc>
      </w:tr>
      <w:tr w:rsidR="00E4365E" w14:paraId="3A074219" w14:textId="77777777" w:rsidTr="0098725B">
        <w:trPr>
          <w:trHeight w:val="397"/>
        </w:trPr>
        <w:tc>
          <w:tcPr>
            <w:tcW w:w="1043" w:type="dxa"/>
            <w:vMerge/>
            <w:tcBorders>
              <w:top w:val="nil"/>
              <w:bottom w:val="single" w:sz="4" w:space="0" w:color="auto"/>
            </w:tcBorders>
          </w:tcPr>
          <w:p w14:paraId="0DF27489" w14:textId="77777777" w:rsidR="0098725B" w:rsidRDefault="0098725B" w:rsidP="00212216">
            <w:pPr>
              <w:spacing w:line="480" w:lineRule="auto"/>
            </w:pPr>
          </w:p>
        </w:tc>
        <w:tc>
          <w:tcPr>
            <w:tcW w:w="1581" w:type="dxa"/>
            <w:tcBorders>
              <w:top w:val="single" w:sz="4" w:space="0" w:color="auto"/>
              <w:bottom w:val="single" w:sz="4" w:space="0" w:color="auto"/>
            </w:tcBorders>
            <w:vAlign w:val="bottom"/>
          </w:tcPr>
          <w:p w14:paraId="296D6BE9" w14:textId="77777777" w:rsidR="0098725B"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Seq-TP-FW</w:t>
            </w:r>
          </w:p>
        </w:tc>
        <w:tc>
          <w:tcPr>
            <w:tcW w:w="5869" w:type="dxa"/>
            <w:tcBorders>
              <w:top w:val="single" w:sz="4" w:space="0" w:color="auto"/>
              <w:bottom w:val="single" w:sz="4" w:space="0" w:color="auto"/>
            </w:tcBorders>
            <w:vAlign w:val="bottom"/>
          </w:tcPr>
          <w:p w14:paraId="65D18FB3" w14:textId="77777777" w:rsidR="0098725B"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GCGACTCCTGCATTAGGAAGCAGC</w:t>
            </w:r>
          </w:p>
        </w:tc>
        <w:tc>
          <w:tcPr>
            <w:tcW w:w="867" w:type="dxa"/>
            <w:tcBorders>
              <w:top w:val="single" w:sz="4" w:space="0" w:color="auto"/>
              <w:bottom w:val="single" w:sz="4" w:space="0" w:color="auto"/>
            </w:tcBorders>
            <w:vAlign w:val="bottom"/>
          </w:tcPr>
          <w:p w14:paraId="3382BFDD" w14:textId="77777777" w:rsidR="0098725B"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color w:val="000000"/>
                <w:sz w:val="15"/>
              </w:rPr>
              <w:t>This study</w:t>
            </w:r>
          </w:p>
        </w:tc>
      </w:tr>
    </w:tbl>
    <w:p w14:paraId="437F977E" w14:textId="77777777" w:rsidR="000A3462" w:rsidRDefault="00000000" w:rsidP="00212216">
      <w:pPr>
        <w:widowControl/>
        <w:spacing w:after="160" w:line="480" w:lineRule="auto"/>
        <w:jc w:val="left"/>
        <w:rPr>
          <w:rFonts w:ascii="Times New Roman" w:eastAsia="Times New Roman" w:hAnsi="Times New Roman" w:cs="Times New Roman"/>
        </w:rPr>
      </w:pPr>
      <w:r>
        <w:rPr>
          <w:rFonts w:ascii="Times New Roman" w:eastAsia="Times New Roman" w:hAnsi="Times New Roman" w:cs="Times New Roman"/>
          <w:b/>
          <w:color w:val="000000"/>
        </w:rPr>
        <w:t xml:space="preserve"> Supplementary Table S1. </w:t>
      </w:r>
      <w:r w:rsidR="007B3ABA">
        <w:rPr>
          <w:rFonts w:ascii="Times New Roman" w:eastAsia="Times New Roman" w:hAnsi="Times New Roman" w:cs="Times New Roman"/>
          <w:b/>
          <w:color w:val="000000"/>
        </w:rPr>
        <w:t>List of primers for</w:t>
      </w:r>
      <w:r>
        <w:rPr>
          <w:rFonts w:ascii="Times New Roman" w:eastAsia="Times New Roman" w:hAnsi="Times New Roman" w:cs="Times New Roman"/>
          <w:b/>
          <w:color w:val="000000"/>
        </w:rPr>
        <w:t xml:space="preserve"> plasmid construction </w:t>
      </w:r>
      <w:r>
        <w:rPr>
          <w:rFonts w:ascii="Times New Roman" w:eastAsia="Times New Roman" w:hAnsi="Times New Roman" w:cs="Times New Roman"/>
          <w:color w:val="000000"/>
        </w:rPr>
        <w:br w:type="page"/>
      </w:r>
    </w:p>
    <w:tbl>
      <w:tblPr>
        <w:tblStyle w:val="a3"/>
        <w:tblpPr w:leftFromText="180" w:rightFromText="180" w:vertAnchor="page" w:tblpY="1673"/>
        <w:tblW w:w="8889" w:type="dxa"/>
        <w:tblBorders>
          <w:top w:val="none" w:sz="0"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179"/>
        <w:gridCol w:w="1179"/>
        <w:gridCol w:w="4436"/>
        <w:gridCol w:w="2095"/>
      </w:tblGrid>
      <w:tr w:rsidR="00E4365E" w14:paraId="05525F81" w14:textId="77777777">
        <w:trPr>
          <w:trHeight w:val="454"/>
        </w:trPr>
        <w:tc>
          <w:tcPr>
            <w:tcW w:w="8889" w:type="dxa"/>
            <w:gridSpan w:val="4"/>
            <w:tcBorders>
              <w:top w:val="nil"/>
              <w:bottom w:val="single" w:sz="4" w:space="0" w:color="auto"/>
            </w:tcBorders>
            <w:vAlign w:val="center"/>
          </w:tcPr>
          <w:p w14:paraId="10E39185" w14:textId="77777777" w:rsidR="000A3462"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b/>
                <w:color w:val="000000"/>
              </w:rPr>
              <w:lastRenderedPageBreak/>
              <w:t>Supplementary Table S2. Primer sets for qRT-PCR</w:t>
            </w:r>
          </w:p>
        </w:tc>
      </w:tr>
      <w:tr w:rsidR="00E4365E" w14:paraId="2335EAB7" w14:textId="77777777">
        <w:trPr>
          <w:trHeight w:val="454"/>
        </w:trPr>
        <w:tc>
          <w:tcPr>
            <w:tcW w:w="2358" w:type="dxa"/>
            <w:gridSpan w:val="2"/>
            <w:tcBorders>
              <w:top w:val="single" w:sz="4" w:space="0" w:color="auto"/>
              <w:bottom w:val="double" w:sz="4" w:space="0" w:color="auto"/>
            </w:tcBorders>
            <w:vAlign w:val="center"/>
          </w:tcPr>
          <w:p w14:paraId="44269694" w14:textId="77777777" w:rsidR="000A3462"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qRT-PCR primer description</w:t>
            </w:r>
          </w:p>
        </w:tc>
        <w:tc>
          <w:tcPr>
            <w:tcW w:w="4436" w:type="dxa"/>
            <w:tcBorders>
              <w:top w:val="single" w:sz="4" w:space="0" w:color="auto"/>
              <w:bottom w:val="double" w:sz="4" w:space="0" w:color="auto"/>
            </w:tcBorders>
            <w:vAlign w:val="center"/>
          </w:tcPr>
          <w:p w14:paraId="176B86E2" w14:textId="77777777" w:rsidR="000A3462"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Sequence (5′ </w:t>
            </w:r>
            <w:r>
              <w:rPr>
                <w:rFonts w:ascii="Symbol" w:eastAsia="Symbol" w:hAnsi="Symbol" w:cs="Symbol"/>
                <w:color w:val="000000"/>
                <w:sz w:val="16"/>
              </w:rPr>
              <w:t>®</w:t>
            </w:r>
            <w:r>
              <w:rPr>
                <w:rFonts w:ascii="Times New Roman" w:eastAsia="Times New Roman" w:hAnsi="Times New Roman" w:cs="Times New Roman"/>
                <w:color w:val="000000"/>
                <w:sz w:val="16"/>
              </w:rPr>
              <w:t xml:space="preserve"> 3′)</w:t>
            </w:r>
          </w:p>
        </w:tc>
        <w:tc>
          <w:tcPr>
            <w:tcW w:w="2095" w:type="dxa"/>
            <w:tcBorders>
              <w:top w:val="single" w:sz="4" w:space="0" w:color="auto"/>
              <w:bottom w:val="double" w:sz="4" w:space="0" w:color="auto"/>
            </w:tcBorders>
            <w:vAlign w:val="center"/>
          </w:tcPr>
          <w:p w14:paraId="13223AC9" w14:textId="77777777" w:rsidR="000A3462" w:rsidRDefault="00000000" w:rsidP="00212216">
            <w:pPr>
              <w:spacing w:line="480" w:lineRule="auto"/>
              <w:jc w:val="left"/>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Reference</w:t>
            </w:r>
          </w:p>
        </w:tc>
      </w:tr>
      <w:tr w:rsidR="00E4365E" w14:paraId="108A53C3" w14:textId="77777777">
        <w:trPr>
          <w:trHeight w:val="454"/>
        </w:trPr>
        <w:tc>
          <w:tcPr>
            <w:tcW w:w="1179" w:type="dxa"/>
            <w:vMerge w:val="restart"/>
            <w:tcBorders>
              <w:top w:val="double" w:sz="4" w:space="0" w:color="auto"/>
              <w:bottom w:val="single" w:sz="4" w:space="0" w:color="auto"/>
            </w:tcBorders>
            <w:vAlign w:val="center"/>
          </w:tcPr>
          <w:p w14:paraId="667A4313"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dcuS</w:t>
            </w:r>
          </w:p>
        </w:tc>
        <w:tc>
          <w:tcPr>
            <w:tcW w:w="1179" w:type="dxa"/>
            <w:tcBorders>
              <w:top w:val="double" w:sz="4" w:space="0" w:color="auto"/>
              <w:bottom w:val="single" w:sz="4" w:space="0" w:color="auto"/>
            </w:tcBorders>
            <w:vAlign w:val="center"/>
          </w:tcPr>
          <w:p w14:paraId="7B6C0C83"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FW primer</w:t>
            </w:r>
          </w:p>
        </w:tc>
        <w:tc>
          <w:tcPr>
            <w:tcW w:w="4436" w:type="dxa"/>
            <w:tcBorders>
              <w:top w:val="double" w:sz="4" w:space="0" w:color="auto"/>
              <w:bottom w:val="single" w:sz="8" w:space="0" w:color="auto"/>
            </w:tcBorders>
            <w:vAlign w:val="center"/>
          </w:tcPr>
          <w:p w14:paraId="7B28EAE8"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TGCGGTACTGTTCTCGGTGC</w:t>
            </w:r>
          </w:p>
        </w:tc>
        <w:tc>
          <w:tcPr>
            <w:tcW w:w="2095" w:type="dxa"/>
            <w:tcBorders>
              <w:top w:val="double" w:sz="4" w:space="0" w:color="auto"/>
              <w:bottom w:val="single" w:sz="8" w:space="0" w:color="auto"/>
            </w:tcBorders>
            <w:vAlign w:val="center"/>
          </w:tcPr>
          <w:p w14:paraId="6BC8C715"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This study</w:t>
            </w:r>
          </w:p>
        </w:tc>
      </w:tr>
      <w:tr w:rsidR="00E4365E" w14:paraId="69CC45DD" w14:textId="77777777">
        <w:trPr>
          <w:trHeight w:val="454"/>
        </w:trPr>
        <w:tc>
          <w:tcPr>
            <w:tcW w:w="1179" w:type="dxa"/>
            <w:vMerge/>
            <w:tcBorders>
              <w:top w:val="nil"/>
              <w:bottom w:val="single" w:sz="4" w:space="0" w:color="auto"/>
            </w:tcBorders>
          </w:tcPr>
          <w:p w14:paraId="25BC1F4E" w14:textId="77777777" w:rsidR="000A3462" w:rsidRDefault="000A3462" w:rsidP="00212216">
            <w:pPr>
              <w:spacing w:line="480" w:lineRule="auto"/>
            </w:pPr>
          </w:p>
        </w:tc>
        <w:tc>
          <w:tcPr>
            <w:tcW w:w="1179" w:type="dxa"/>
            <w:tcBorders>
              <w:top w:val="single" w:sz="4" w:space="0" w:color="auto"/>
              <w:bottom w:val="single" w:sz="4" w:space="0" w:color="auto"/>
            </w:tcBorders>
            <w:vAlign w:val="center"/>
          </w:tcPr>
          <w:p w14:paraId="3D09C768"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RV primer</w:t>
            </w:r>
          </w:p>
        </w:tc>
        <w:tc>
          <w:tcPr>
            <w:tcW w:w="4436" w:type="dxa"/>
            <w:tcBorders>
              <w:top w:val="single" w:sz="8" w:space="0" w:color="auto"/>
              <w:bottom w:val="single" w:sz="8" w:space="0" w:color="auto"/>
            </w:tcBorders>
            <w:vAlign w:val="center"/>
          </w:tcPr>
          <w:p w14:paraId="3B33B2FA"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CACTGCCAGTGCCTTGTTGG</w:t>
            </w:r>
          </w:p>
        </w:tc>
        <w:tc>
          <w:tcPr>
            <w:tcW w:w="2095" w:type="dxa"/>
            <w:tcBorders>
              <w:top w:val="single" w:sz="8" w:space="0" w:color="auto"/>
              <w:bottom w:val="single" w:sz="8" w:space="0" w:color="auto"/>
            </w:tcBorders>
            <w:vAlign w:val="center"/>
          </w:tcPr>
          <w:p w14:paraId="496604A0"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This study</w:t>
            </w:r>
          </w:p>
        </w:tc>
      </w:tr>
      <w:tr w:rsidR="00E4365E" w14:paraId="0A06A74C" w14:textId="77777777">
        <w:trPr>
          <w:trHeight w:val="454"/>
        </w:trPr>
        <w:tc>
          <w:tcPr>
            <w:tcW w:w="1179" w:type="dxa"/>
            <w:vMerge w:val="restart"/>
            <w:tcBorders>
              <w:top w:val="single" w:sz="4" w:space="0" w:color="auto"/>
              <w:bottom w:val="single" w:sz="4" w:space="0" w:color="auto"/>
            </w:tcBorders>
            <w:vAlign w:val="center"/>
          </w:tcPr>
          <w:p w14:paraId="5CA12406"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aspA</w:t>
            </w:r>
          </w:p>
        </w:tc>
        <w:tc>
          <w:tcPr>
            <w:tcW w:w="1179" w:type="dxa"/>
            <w:tcBorders>
              <w:top w:val="single" w:sz="4" w:space="0" w:color="auto"/>
              <w:bottom w:val="single" w:sz="4" w:space="0" w:color="auto"/>
            </w:tcBorders>
            <w:vAlign w:val="center"/>
          </w:tcPr>
          <w:p w14:paraId="2CEFD3DF"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FW primer</w:t>
            </w:r>
          </w:p>
        </w:tc>
        <w:tc>
          <w:tcPr>
            <w:tcW w:w="4436" w:type="dxa"/>
            <w:tcBorders>
              <w:top w:val="single" w:sz="8" w:space="0" w:color="auto"/>
              <w:bottom w:val="single" w:sz="8" w:space="0" w:color="auto"/>
            </w:tcBorders>
            <w:vAlign w:val="center"/>
          </w:tcPr>
          <w:p w14:paraId="079FD5C0"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ATGTCAAACA ACATTCGTAT</w:t>
            </w:r>
          </w:p>
        </w:tc>
        <w:tc>
          <w:tcPr>
            <w:tcW w:w="2095" w:type="dxa"/>
            <w:tcBorders>
              <w:top w:val="single" w:sz="8" w:space="0" w:color="auto"/>
              <w:bottom w:val="single" w:sz="8" w:space="0" w:color="auto"/>
            </w:tcBorders>
            <w:vAlign w:val="center"/>
          </w:tcPr>
          <w:p w14:paraId="19D7E205"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This study</w:t>
            </w:r>
          </w:p>
        </w:tc>
      </w:tr>
      <w:tr w:rsidR="00E4365E" w14:paraId="2BC687FA" w14:textId="77777777">
        <w:trPr>
          <w:trHeight w:val="454"/>
        </w:trPr>
        <w:tc>
          <w:tcPr>
            <w:tcW w:w="1179" w:type="dxa"/>
            <w:vMerge/>
            <w:tcBorders>
              <w:top w:val="nil"/>
              <w:bottom w:val="single" w:sz="4" w:space="0" w:color="auto"/>
            </w:tcBorders>
          </w:tcPr>
          <w:p w14:paraId="3C4CBB0B" w14:textId="77777777" w:rsidR="000A3462" w:rsidRDefault="000A3462" w:rsidP="00212216">
            <w:pPr>
              <w:spacing w:line="480" w:lineRule="auto"/>
            </w:pPr>
          </w:p>
        </w:tc>
        <w:tc>
          <w:tcPr>
            <w:tcW w:w="1179" w:type="dxa"/>
            <w:tcBorders>
              <w:top w:val="single" w:sz="4" w:space="0" w:color="auto"/>
              <w:bottom w:val="single" w:sz="4" w:space="0" w:color="auto"/>
            </w:tcBorders>
            <w:vAlign w:val="center"/>
          </w:tcPr>
          <w:p w14:paraId="66B063D2"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RV primer</w:t>
            </w:r>
          </w:p>
        </w:tc>
        <w:tc>
          <w:tcPr>
            <w:tcW w:w="4436" w:type="dxa"/>
            <w:tcBorders>
              <w:top w:val="single" w:sz="8" w:space="0" w:color="auto"/>
              <w:bottom w:val="single" w:sz="8" w:space="0" w:color="auto"/>
            </w:tcBorders>
            <w:vAlign w:val="center"/>
          </w:tcPr>
          <w:p w14:paraId="17F24C6D"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AGTTTTCAATCGCTCTCAGA</w:t>
            </w:r>
          </w:p>
        </w:tc>
        <w:tc>
          <w:tcPr>
            <w:tcW w:w="2095" w:type="dxa"/>
            <w:tcBorders>
              <w:top w:val="single" w:sz="8" w:space="0" w:color="auto"/>
              <w:bottom w:val="single" w:sz="8" w:space="0" w:color="auto"/>
            </w:tcBorders>
            <w:vAlign w:val="center"/>
          </w:tcPr>
          <w:p w14:paraId="456AC2F8"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This study</w:t>
            </w:r>
          </w:p>
        </w:tc>
      </w:tr>
      <w:tr w:rsidR="00E4365E" w14:paraId="43D97E9F" w14:textId="77777777">
        <w:trPr>
          <w:trHeight w:val="454"/>
        </w:trPr>
        <w:tc>
          <w:tcPr>
            <w:tcW w:w="1179" w:type="dxa"/>
            <w:vMerge w:val="restart"/>
            <w:tcBorders>
              <w:top w:val="single" w:sz="4" w:space="0" w:color="auto"/>
              <w:bottom w:val="single" w:sz="4" w:space="0" w:color="auto"/>
            </w:tcBorders>
            <w:vAlign w:val="center"/>
          </w:tcPr>
          <w:p w14:paraId="7A5B3A2A"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dcuB</w:t>
            </w:r>
          </w:p>
        </w:tc>
        <w:tc>
          <w:tcPr>
            <w:tcW w:w="1179" w:type="dxa"/>
            <w:tcBorders>
              <w:top w:val="single" w:sz="4" w:space="0" w:color="auto"/>
              <w:bottom w:val="single" w:sz="4" w:space="0" w:color="auto"/>
            </w:tcBorders>
            <w:vAlign w:val="center"/>
          </w:tcPr>
          <w:p w14:paraId="18D34DE1"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FW primer</w:t>
            </w:r>
          </w:p>
        </w:tc>
        <w:tc>
          <w:tcPr>
            <w:tcW w:w="4436" w:type="dxa"/>
            <w:tcBorders>
              <w:top w:val="single" w:sz="8" w:space="0" w:color="auto"/>
              <w:bottom w:val="single" w:sz="8" w:space="0" w:color="auto"/>
            </w:tcBorders>
            <w:vAlign w:val="center"/>
          </w:tcPr>
          <w:p w14:paraId="7D5F6483"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AGAAAGGGTGGTATCGCGCT</w:t>
            </w:r>
          </w:p>
        </w:tc>
        <w:tc>
          <w:tcPr>
            <w:tcW w:w="2095" w:type="dxa"/>
            <w:tcBorders>
              <w:top w:val="single" w:sz="8" w:space="0" w:color="auto"/>
              <w:bottom w:val="single" w:sz="8" w:space="0" w:color="auto"/>
            </w:tcBorders>
            <w:vAlign w:val="center"/>
          </w:tcPr>
          <w:p w14:paraId="4F9FE322"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This study</w:t>
            </w:r>
          </w:p>
        </w:tc>
      </w:tr>
      <w:tr w:rsidR="00E4365E" w14:paraId="296F129D" w14:textId="77777777">
        <w:trPr>
          <w:trHeight w:val="454"/>
        </w:trPr>
        <w:tc>
          <w:tcPr>
            <w:tcW w:w="1179" w:type="dxa"/>
            <w:vMerge/>
            <w:tcBorders>
              <w:top w:val="nil"/>
              <w:bottom w:val="single" w:sz="4" w:space="0" w:color="auto"/>
            </w:tcBorders>
          </w:tcPr>
          <w:p w14:paraId="09DB697D" w14:textId="77777777" w:rsidR="000A3462" w:rsidRDefault="000A3462" w:rsidP="00212216">
            <w:pPr>
              <w:spacing w:line="480" w:lineRule="auto"/>
            </w:pPr>
          </w:p>
        </w:tc>
        <w:tc>
          <w:tcPr>
            <w:tcW w:w="1179" w:type="dxa"/>
            <w:tcBorders>
              <w:top w:val="single" w:sz="4" w:space="0" w:color="auto"/>
              <w:bottom w:val="single" w:sz="4" w:space="0" w:color="auto"/>
            </w:tcBorders>
            <w:vAlign w:val="center"/>
          </w:tcPr>
          <w:p w14:paraId="416A9E14"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RV primer</w:t>
            </w:r>
          </w:p>
        </w:tc>
        <w:tc>
          <w:tcPr>
            <w:tcW w:w="4436" w:type="dxa"/>
            <w:tcBorders>
              <w:top w:val="single" w:sz="8" w:space="0" w:color="auto"/>
              <w:bottom w:val="single" w:sz="8" w:space="0" w:color="auto"/>
            </w:tcBorders>
            <w:vAlign w:val="center"/>
          </w:tcPr>
          <w:p w14:paraId="323F2B8D"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CCACCACCGCAATGATAACC</w:t>
            </w:r>
          </w:p>
        </w:tc>
        <w:tc>
          <w:tcPr>
            <w:tcW w:w="2095" w:type="dxa"/>
            <w:tcBorders>
              <w:top w:val="single" w:sz="8" w:space="0" w:color="auto"/>
              <w:bottom w:val="single" w:sz="8" w:space="0" w:color="auto"/>
            </w:tcBorders>
            <w:vAlign w:val="center"/>
          </w:tcPr>
          <w:p w14:paraId="3C76823C"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This study</w:t>
            </w:r>
          </w:p>
        </w:tc>
      </w:tr>
      <w:tr w:rsidR="00E4365E" w14:paraId="571E62B1" w14:textId="77777777">
        <w:trPr>
          <w:trHeight w:val="454"/>
        </w:trPr>
        <w:tc>
          <w:tcPr>
            <w:tcW w:w="1179" w:type="dxa"/>
            <w:vMerge w:val="restart"/>
            <w:tcBorders>
              <w:top w:val="single" w:sz="4" w:space="0" w:color="auto"/>
              <w:bottom w:val="single" w:sz="4" w:space="0" w:color="auto"/>
            </w:tcBorders>
            <w:vAlign w:val="center"/>
          </w:tcPr>
          <w:p w14:paraId="2529CA35"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frdA</w:t>
            </w:r>
          </w:p>
        </w:tc>
        <w:tc>
          <w:tcPr>
            <w:tcW w:w="1179" w:type="dxa"/>
            <w:tcBorders>
              <w:top w:val="single" w:sz="4" w:space="0" w:color="auto"/>
              <w:bottom w:val="single" w:sz="4" w:space="0" w:color="auto"/>
            </w:tcBorders>
            <w:vAlign w:val="center"/>
          </w:tcPr>
          <w:p w14:paraId="4F3F1D6F"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FW primer</w:t>
            </w:r>
          </w:p>
        </w:tc>
        <w:tc>
          <w:tcPr>
            <w:tcW w:w="4436" w:type="dxa"/>
            <w:tcBorders>
              <w:top w:val="single" w:sz="8" w:space="0" w:color="auto"/>
              <w:bottom w:val="single" w:sz="8" w:space="0" w:color="auto"/>
            </w:tcBorders>
            <w:vAlign w:val="center"/>
          </w:tcPr>
          <w:p w14:paraId="4358FE6B"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GCGCAGGCAAATCCGAATGC</w:t>
            </w:r>
          </w:p>
        </w:tc>
        <w:tc>
          <w:tcPr>
            <w:tcW w:w="2095" w:type="dxa"/>
            <w:tcBorders>
              <w:top w:val="single" w:sz="8" w:space="0" w:color="auto"/>
              <w:bottom w:val="single" w:sz="8" w:space="0" w:color="auto"/>
            </w:tcBorders>
            <w:vAlign w:val="center"/>
          </w:tcPr>
          <w:p w14:paraId="48253992"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This study</w:t>
            </w:r>
          </w:p>
        </w:tc>
      </w:tr>
      <w:tr w:rsidR="00E4365E" w14:paraId="4452C4C6" w14:textId="77777777">
        <w:trPr>
          <w:trHeight w:val="454"/>
        </w:trPr>
        <w:tc>
          <w:tcPr>
            <w:tcW w:w="1179" w:type="dxa"/>
            <w:vMerge/>
            <w:tcBorders>
              <w:top w:val="nil"/>
              <w:bottom w:val="single" w:sz="4" w:space="0" w:color="auto"/>
            </w:tcBorders>
          </w:tcPr>
          <w:p w14:paraId="43BCF32C" w14:textId="77777777" w:rsidR="000A3462" w:rsidRDefault="000A3462" w:rsidP="00212216">
            <w:pPr>
              <w:spacing w:line="480" w:lineRule="auto"/>
            </w:pPr>
          </w:p>
        </w:tc>
        <w:tc>
          <w:tcPr>
            <w:tcW w:w="1179" w:type="dxa"/>
            <w:tcBorders>
              <w:top w:val="single" w:sz="4" w:space="0" w:color="auto"/>
              <w:bottom w:val="single" w:sz="4" w:space="0" w:color="auto"/>
            </w:tcBorders>
            <w:vAlign w:val="center"/>
          </w:tcPr>
          <w:p w14:paraId="42C9B4C7"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RV primer</w:t>
            </w:r>
          </w:p>
        </w:tc>
        <w:tc>
          <w:tcPr>
            <w:tcW w:w="4436" w:type="dxa"/>
            <w:tcBorders>
              <w:top w:val="single" w:sz="8" w:space="0" w:color="auto"/>
              <w:bottom w:val="single" w:sz="8" w:space="0" w:color="auto"/>
            </w:tcBorders>
            <w:vAlign w:val="center"/>
          </w:tcPr>
          <w:p w14:paraId="4F290F4F"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CATGATCCTGCGCGACAGCG</w:t>
            </w:r>
          </w:p>
        </w:tc>
        <w:tc>
          <w:tcPr>
            <w:tcW w:w="2095" w:type="dxa"/>
            <w:tcBorders>
              <w:top w:val="single" w:sz="8" w:space="0" w:color="auto"/>
              <w:bottom w:val="single" w:sz="8" w:space="0" w:color="auto"/>
            </w:tcBorders>
            <w:vAlign w:val="center"/>
          </w:tcPr>
          <w:p w14:paraId="753D1B71"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This study</w:t>
            </w:r>
          </w:p>
        </w:tc>
      </w:tr>
      <w:tr w:rsidR="00E4365E" w14:paraId="4D9C900A" w14:textId="77777777">
        <w:trPr>
          <w:trHeight w:val="454"/>
        </w:trPr>
        <w:tc>
          <w:tcPr>
            <w:tcW w:w="1179" w:type="dxa"/>
            <w:vMerge w:val="restart"/>
            <w:tcBorders>
              <w:top w:val="single" w:sz="4" w:space="0" w:color="auto"/>
              <w:bottom w:val="single" w:sz="4" w:space="0" w:color="auto"/>
            </w:tcBorders>
            <w:vAlign w:val="center"/>
          </w:tcPr>
          <w:p w14:paraId="3653AA09"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dctA</w:t>
            </w:r>
          </w:p>
        </w:tc>
        <w:tc>
          <w:tcPr>
            <w:tcW w:w="1179" w:type="dxa"/>
            <w:tcBorders>
              <w:top w:val="single" w:sz="4" w:space="0" w:color="auto"/>
              <w:bottom w:val="single" w:sz="4" w:space="0" w:color="auto"/>
            </w:tcBorders>
            <w:vAlign w:val="center"/>
          </w:tcPr>
          <w:p w14:paraId="42AEE766"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FW primer</w:t>
            </w:r>
          </w:p>
        </w:tc>
        <w:tc>
          <w:tcPr>
            <w:tcW w:w="4436" w:type="dxa"/>
            <w:tcBorders>
              <w:top w:val="single" w:sz="8" w:space="0" w:color="auto"/>
              <w:bottom w:val="single" w:sz="8" w:space="0" w:color="auto"/>
            </w:tcBorders>
            <w:vAlign w:val="center"/>
          </w:tcPr>
          <w:p w14:paraId="4AEFFC83"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GGTCCTGACAGCGATAGCCA</w:t>
            </w:r>
          </w:p>
        </w:tc>
        <w:tc>
          <w:tcPr>
            <w:tcW w:w="2095" w:type="dxa"/>
            <w:tcBorders>
              <w:top w:val="single" w:sz="8" w:space="0" w:color="auto"/>
              <w:bottom w:val="single" w:sz="8" w:space="0" w:color="auto"/>
            </w:tcBorders>
            <w:vAlign w:val="center"/>
          </w:tcPr>
          <w:p w14:paraId="73B6F9DD"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This study</w:t>
            </w:r>
          </w:p>
        </w:tc>
      </w:tr>
      <w:tr w:rsidR="00E4365E" w14:paraId="33D71D67" w14:textId="77777777">
        <w:trPr>
          <w:trHeight w:val="454"/>
        </w:trPr>
        <w:tc>
          <w:tcPr>
            <w:tcW w:w="1179" w:type="dxa"/>
            <w:vMerge/>
            <w:tcBorders>
              <w:top w:val="nil"/>
              <w:bottom w:val="single" w:sz="4" w:space="0" w:color="auto"/>
            </w:tcBorders>
          </w:tcPr>
          <w:p w14:paraId="0A4EBA1C" w14:textId="77777777" w:rsidR="000A3462" w:rsidRDefault="000A3462" w:rsidP="00212216">
            <w:pPr>
              <w:spacing w:line="480" w:lineRule="auto"/>
            </w:pPr>
          </w:p>
        </w:tc>
        <w:tc>
          <w:tcPr>
            <w:tcW w:w="1179" w:type="dxa"/>
            <w:tcBorders>
              <w:top w:val="single" w:sz="4" w:space="0" w:color="auto"/>
              <w:bottom w:val="single" w:sz="4" w:space="0" w:color="auto"/>
            </w:tcBorders>
            <w:vAlign w:val="center"/>
          </w:tcPr>
          <w:p w14:paraId="09467BEC"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RV primer</w:t>
            </w:r>
          </w:p>
        </w:tc>
        <w:tc>
          <w:tcPr>
            <w:tcW w:w="4436" w:type="dxa"/>
            <w:tcBorders>
              <w:top w:val="single" w:sz="8" w:space="0" w:color="auto"/>
              <w:bottom w:val="single" w:sz="8" w:space="0" w:color="auto"/>
            </w:tcBorders>
            <w:vAlign w:val="center"/>
          </w:tcPr>
          <w:p w14:paraId="700CC59A"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CCGCAATGCCCGTTACGACG</w:t>
            </w:r>
          </w:p>
        </w:tc>
        <w:tc>
          <w:tcPr>
            <w:tcW w:w="2095" w:type="dxa"/>
            <w:tcBorders>
              <w:top w:val="single" w:sz="8" w:space="0" w:color="auto"/>
              <w:bottom w:val="single" w:sz="8" w:space="0" w:color="auto"/>
            </w:tcBorders>
            <w:vAlign w:val="center"/>
          </w:tcPr>
          <w:p w14:paraId="35059FFB"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This study</w:t>
            </w:r>
          </w:p>
        </w:tc>
      </w:tr>
      <w:tr w:rsidR="00E4365E" w14:paraId="57B53E4C" w14:textId="77777777">
        <w:trPr>
          <w:trHeight w:val="454"/>
        </w:trPr>
        <w:tc>
          <w:tcPr>
            <w:tcW w:w="1179" w:type="dxa"/>
            <w:vMerge w:val="restart"/>
            <w:tcBorders>
              <w:top w:val="single" w:sz="4" w:space="0" w:color="auto"/>
              <w:bottom w:val="single" w:sz="4" w:space="0" w:color="auto"/>
            </w:tcBorders>
            <w:vAlign w:val="center"/>
          </w:tcPr>
          <w:p w14:paraId="5E8FBB41"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16S rRNA</w:t>
            </w:r>
          </w:p>
        </w:tc>
        <w:tc>
          <w:tcPr>
            <w:tcW w:w="1179" w:type="dxa"/>
            <w:tcBorders>
              <w:top w:val="single" w:sz="4" w:space="0" w:color="auto"/>
              <w:bottom w:val="single" w:sz="4" w:space="0" w:color="auto"/>
            </w:tcBorders>
            <w:vAlign w:val="center"/>
          </w:tcPr>
          <w:p w14:paraId="4B0F875A"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FW primer</w:t>
            </w:r>
          </w:p>
        </w:tc>
        <w:tc>
          <w:tcPr>
            <w:tcW w:w="4436" w:type="dxa"/>
            <w:tcBorders>
              <w:top w:val="single" w:sz="8" w:space="0" w:color="auto"/>
              <w:bottom w:val="single" w:sz="8" w:space="0" w:color="auto"/>
            </w:tcBorders>
            <w:vAlign w:val="center"/>
          </w:tcPr>
          <w:p w14:paraId="2DC86043"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CATGCCGCGTGTATGAAGAA</w:t>
            </w:r>
          </w:p>
        </w:tc>
        <w:tc>
          <w:tcPr>
            <w:tcW w:w="2095" w:type="dxa"/>
            <w:tcBorders>
              <w:top w:val="single" w:sz="8" w:space="0" w:color="auto"/>
              <w:bottom w:val="single" w:sz="8" w:space="0" w:color="auto"/>
            </w:tcBorders>
            <w:vAlign w:val="center"/>
          </w:tcPr>
          <w:p w14:paraId="7B21B8A3" w14:textId="77777777" w:rsidR="000A3462" w:rsidRPr="007B3ABA" w:rsidRDefault="00000000" w:rsidP="00212216">
            <w:pPr>
              <w:spacing w:line="480" w:lineRule="auto"/>
              <w:jc w:val="left"/>
              <w:rPr>
                <w:rFonts w:ascii="Times New Roman" w:eastAsia="Times New Roman" w:hAnsi="Times New Roman" w:cs="Times New Roman"/>
                <w:color w:val="000000"/>
                <w:sz w:val="14"/>
              </w:rPr>
            </w:pPr>
            <w:r w:rsidRPr="007B3ABA">
              <w:rPr>
                <w:rFonts w:ascii="Times New Roman" w:hAnsi="Times New Roman" w:cs="Times New Roman"/>
                <w:color w:val="000000" w:themeColor="text1"/>
                <w:sz w:val="14"/>
                <w:szCs w:val="14"/>
              </w:rPr>
              <w:fldChar w:fldCharType="begin"/>
            </w:r>
            <w:r w:rsidRPr="007B3ABA">
              <w:rPr>
                <w:rFonts w:ascii="Times New Roman" w:hAnsi="Times New Roman" w:cs="Times New Roman"/>
                <w:color w:val="000000" w:themeColor="text1"/>
                <w:sz w:val="14"/>
                <w:szCs w:val="14"/>
              </w:rPr>
              <w:instrText xml:space="preserve"> ADDIN ZOTERO_ITEM CSL_CITATION {"citationID":"IgqJV5HO","properties":{"formattedCitation":"\\super 42\\nosupersub{}","plainCitation":"42","noteIndex":0},"citationItems":[{"id":134,"uris":["http://zotero.org/users/local/icTe30IC/items/KVJ9A73F"],"itemData":{"id":134,"type":"article-journal","abstract":"The use of real-time quantitative PCR (5' nuclease PCR assay) as a tool to study the gastrointestinal microflora that adheres to the colonic mucosa was evaluated. We developed primers and probes based on the 16S ribosomal DNA gene sequences for the detection of Escherichia coli and Bacteroides vulgatus. DNA was isolated from pure cultures and from gut biopsy specimens and quantified by the 5' nuclease PCR assay. The assay showed a very high sensitivity: as little as 1 CFU of E. coli and 9 CFU of B. vulgatus could be detected. The specificities of the primer-probe combinations were evaluated with samples that were spiked with the species most closely related to E. coli and B. vulgatus and with eight other gut microflora species. Mucosal samples spiked with known amounts of E. coli or B. vulgatus DNA showed no PCR inhibition. We conclude that the 5' nuclease PCR assay may be a useful alternative to conventional culture techniques to study the actual in vivo composition of a complex microbial community like the gut microflora.","container-title":"Journal of Clinical Microbiology","DOI":"10.1128/JCM.40.12.4423-4427.2002","ISSN":"0095-1137","issue":"12","journalAbbreviation":"J Clin Microbiol","language":"eng","note":"PMID: 12454130\nPMCID: PMC154607","page":"4423-4427","source":"PubMed","title":"Quantification of bacteria adherent to gastrointestinal mucosa by real-time PCR","volume":"40","author":[{"family":"Huijsdens","given":"Xander W."},{"family":"Linskens","given":"Ronald K."},{"family":"Mak","given":"Mariëtte"},{"family":"Meuwissen","given":"Stephan G. M."},{"family":"Vandenbroucke-Grauls","given":"Christina M. J. E."},{"family":"Savelkoul","given":"Paul H. M."}],"issued":{"date-parts":[["2002",12]]}}}],"schema":"https://github.com/citation-style-language/schema/raw/master/csl-citation.json"} </w:instrText>
            </w:r>
            <w:r w:rsidRPr="007B3ABA">
              <w:rPr>
                <w:rFonts w:ascii="Times New Roman" w:hAnsi="Times New Roman" w:cs="Times New Roman"/>
                <w:color w:val="000000" w:themeColor="text1"/>
                <w:sz w:val="14"/>
                <w:szCs w:val="14"/>
              </w:rPr>
              <w:fldChar w:fldCharType="separate"/>
            </w:r>
            <w:r w:rsidRPr="007B3ABA">
              <w:rPr>
                <w:rFonts w:ascii="Times New Roman" w:eastAsia="Times New Roman" w:hAnsi="Times New Roman" w:cs="Times New Roman"/>
                <w:color w:val="000000"/>
                <w:sz w:val="14"/>
              </w:rPr>
              <w:t>42</w:t>
            </w:r>
            <w:r w:rsidRPr="007B3ABA">
              <w:rPr>
                <w:rFonts w:ascii="Times New Roman" w:eastAsia="Times New Roman" w:hAnsi="Times New Roman" w:cs="Times New Roman"/>
                <w:color w:val="000000"/>
                <w:sz w:val="14"/>
              </w:rPr>
              <w:fldChar w:fldCharType="end"/>
            </w:r>
          </w:p>
        </w:tc>
      </w:tr>
      <w:tr w:rsidR="00E4365E" w14:paraId="2AF1D8D3" w14:textId="77777777">
        <w:trPr>
          <w:trHeight w:val="454"/>
        </w:trPr>
        <w:tc>
          <w:tcPr>
            <w:tcW w:w="1179" w:type="dxa"/>
            <w:vMerge/>
            <w:tcBorders>
              <w:top w:val="nil"/>
              <w:bottom w:val="single" w:sz="4" w:space="0" w:color="auto"/>
            </w:tcBorders>
          </w:tcPr>
          <w:p w14:paraId="5F23D7D4" w14:textId="77777777" w:rsidR="000A3462" w:rsidRDefault="000A3462" w:rsidP="00212216">
            <w:pPr>
              <w:spacing w:line="480" w:lineRule="auto"/>
            </w:pPr>
          </w:p>
        </w:tc>
        <w:tc>
          <w:tcPr>
            <w:tcW w:w="1179" w:type="dxa"/>
            <w:tcBorders>
              <w:top w:val="single" w:sz="4" w:space="0" w:color="auto"/>
              <w:bottom w:val="single" w:sz="4" w:space="0" w:color="auto"/>
            </w:tcBorders>
            <w:vAlign w:val="center"/>
          </w:tcPr>
          <w:p w14:paraId="7D1BC145"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RV primer</w:t>
            </w:r>
          </w:p>
        </w:tc>
        <w:tc>
          <w:tcPr>
            <w:tcW w:w="4436" w:type="dxa"/>
            <w:tcBorders>
              <w:top w:val="single" w:sz="8" w:space="0" w:color="auto"/>
              <w:bottom w:val="single" w:sz="4" w:space="0" w:color="auto"/>
            </w:tcBorders>
            <w:vAlign w:val="center"/>
          </w:tcPr>
          <w:p w14:paraId="2CD26B6E" w14:textId="77777777" w:rsidR="000A3462" w:rsidRDefault="00000000" w:rsidP="00212216">
            <w:pPr>
              <w:spacing w:line="480" w:lineRule="auto"/>
              <w:jc w:val="left"/>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CGGGTAACGTCAATGAGCAAA</w:t>
            </w:r>
          </w:p>
        </w:tc>
        <w:tc>
          <w:tcPr>
            <w:tcW w:w="2095" w:type="dxa"/>
            <w:tcBorders>
              <w:top w:val="single" w:sz="8" w:space="0" w:color="auto"/>
              <w:bottom w:val="single" w:sz="4" w:space="0" w:color="auto"/>
            </w:tcBorders>
            <w:vAlign w:val="center"/>
          </w:tcPr>
          <w:p w14:paraId="1F701C13" w14:textId="77777777" w:rsidR="000A3462" w:rsidRPr="007B3ABA" w:rsidRDefault="00000000" w:rsidP="00212216">
            <w:pPr>
              <w:spacing w:line="480" w:lineRule="auto"/>
              <w:jc w:val="left"/>
              <w:rPr>
                <w:rFonts w:ascii="Times New Roman" w:eastAsia="Times New Roman" w:hAnsi="Times New Roman" w:cs="Times New Roman"/>
                <w:color w:val="000000"/>
                <w:sz w:val="14"/>
              </w:rPr>
            </w:pPr>
            <w:r w:rsidRPr="007B3ABA">
              <w:rPr>
                <w:rFonts w:ascii="Times New Roman" w:hAnsi="Times New Roman" w:cs="Times New Roman"/>
                <w:color w:val="000000" w:themeColor="text1"/>
                <w:sz w:val="14"/>
                <w:szCs w:val="14"/>
              </w:rPr>
              <w:fldChar w:fldCharType="begin"/>
            </w:r>
            <w:r w:rsidRPr="007B3ABA">
              <w:rPr>
                <w:rFonts w:ascii="Times New Roman" w:hAnsi="Times New Roman" w:cs="Times New Roman"/>
                <w:color w:val="000000" w:themeColor="text1"/>
                <w:sz w:val="14"/>
                <w:szCs w:val="14"/>
              </w:rPr>
              <w:instrText xml:space="preserve"> ADDIN ZOTERO_ITEM CSL_CITATION {"citationID":"dZc2iqGa","properties":{"formattedCitation":"\\super 42\\nosupersub{}","plainCitation":"42","noteIndex":0},"citationItems":[{"id":134,"uris":["http://zotero.org/users/local/icTe30IC/items/KVJ9A73F"],"itemData":{"id":134,"type":"article-journal","abstract":"The use of real-time quantitative PCR (5' nuclease PCR assay) as a tool to study the gastrointestinal microflora that adheres to the colonic mucosa was evaluated. We developed primers and probes based on the 16S ribosomal DNA gene sequences for the detection of Escherichia coli and Bacteroides vulgatus. DNA was isolated from pure cultures and from gut biopsy specimens and quantified by the 5' nuclease PCR assay. The assay showed a very high sensitivity: as little as 1 CFU of E. coli and 9 CFU of B. vulgatus could be detected. The specificities of the primer-probe combinations were evaluated with samples that were spiked with the species most closely related to E. coli and B. vulgatus and with eight other gut microflora species. Mucosal samples spiked with known amounts of E. coli or B. vulgatus DNA showed no PCR inhibition. We conclude that the 5' nuclease PCR assay may be a useful alternative to conventional culture techniques to study the actual in vivo composition of a complex microbial community like the gut microflora.","container-title":"Journal of Clinical Microbiology","DOI":"10.1128/JCM.40.12.4423-4427.2002","ISSN":"0095-1137","issue":"12","journalAbbreviation":"J Clin Microbiol","language":"eng","note":"PMID: 12454130\nPMCID: PMC154607","page":"4423-4427","source":"PubMed","title":"Quantification of bacteria adherent to gastrointestinal mucosa by real-time PCR","volume":"40","author":[{"family":"Huijsdens","given":"Xander W."},{"family":"Linskens","given":"Ronald K."},{"family":"Mak","given":"Mariëtte"},{"family":"Meuwissen","given":"Stephan G. M."},{"family":"Vandenbroucke-Grauls","given":"Christina M. J. E."},{"family":"Savelkoul","given":"Paul H. M."}],"issued":{"date-parts":[["2002",12]]}}}],"schema":"https://github.com/citation-style-language/schema/raw/master/csl-citation.json"} </w:instrText>
            </w:r>
            <w:r w:rsidRPr="007B3ABA">
              <w:rPr>
                <w:rFonts w:ascii="Times New Roman" w:hAnsi="Times New Roman" w:cs="Times New Roman"/>
                <w:color w:val="000000" w:themeColor="text1"/>
                <w:sz w:val="14"/>
                <w:szCs w:val="14"/>
              </w:rPr>
              <w:fldChar w:fldCharType="separate"/>
            </w:r>
            <w:r w:rsidRPr="007B3ABA">
              <w:rPr>
                <w:rFonts w:ascii="Times New Roman" w:eastAsia="Times New Roman" w:hAnsi="Times New Roman" w:cs="Times New Roman"/>
                <w:color w:val="000000"/>
                <w:sz w:val="14"/>
              </w:rPr>
              <w:t>42</w:t>
            </w:r>
            <w:r w:rsidRPr="007B3ABA">
              <w:rPr>
                <w:rFonts w:ascii="Times New Roman" w:eastAsia="Times New Roman" w:hAnsi="Times New Roman" w:cs="Times New Roman"/>
                <w:color w:val="000000"/>
                <w:sz w:val="14"/>
              </w:rPr>
              <w:fldChar w:fldCharType="end"/>
            </w:r>
          </w:p>
        </w:tc>
      </w:tr>
    </w:tbl>
    <w:p w14:paraId="1B17DAEA" w14:textId="77777777" w:rsidR="000A3462" w:rsidRDefault="000A3462" w:rsidP="00212216">
      <w:pPr>
        <w:widowControl/>
        <w:spacing w:after="160" w:line="480" w:lineRule="auto"/>
        <w:jc w:val="left"/>
        <w:rPr>
          <w:rFonts w:ascii="Times New Roman" w:eastAsia="Times New Roman" w:hAnsi="Times New Roman" w:cs="Times New Roman"/>
        </w:rPr>
      </w:pPr>
    </w:p>
    <w:p w14:paraId="7D3608B0" w14:textId="77777777" w:rsidR="000A3462" w:rsidRDefault="00000000" w:rsidP="00212216">
      <w:pPr>
        <w:widowControl/>
        <w:spacing w:after="160" w:line="480" w:lineRule="auto"/>
        <w:jc w:val="left"/>
        <w:rPr>
          <w:rFonts w:ascii="Times New Roman" w:eastAsia="Times New Roman" w:hAnsi="Times New Roman" w:cs="Times New Roman"/>
        </w:rPr>
      </w:pPr>
      <w:r>
        <w:rPr>
          <w:rFonts w:ascii="Times New Roman" w:eastAsia="Times New Roman" w:hAnsi="Times New Roman" w:cs="Times New Roman"/>
          <w:color w:val="000000"/>
        </w:rPr>
        <w:br w:type="page"/>
      </w:r>
    </w:p>
    <w:p w14:paraId="1CF8454C" w14:textId="77777777" w:rsidR="000A3462" w:rsidRDefault="00000000" w:rsidP="00212216">
      <w:pPr>
        <w:widowControl/>
        <w:spacing w:line="480" w:lineRule="auto"/>
        <w:rPr>
          <w:rFonts w:ascii="Times New Roman" w:eastAsia="Times New Roman" w:hAnsi="Times New Roman" w:cs="Times New Roman"/>
          <w:color w:val="000000"/>
        </w:rPr>
      </w:pPr>
      <w:r>
        <w:rPr>
          <w:rFonts w:ascii="Times New Roman" w:eastAsia="Times New Roman" w:hAnsi="Times New Roman" w:cs="Times New Roman"/>
          <w:noProof/>
          <w:color w:val="000000"/>
          <w:sz w:val="22"/>
        </w:rPr>
        <w:lastRenderedPageBreak/>
        <w:drawing>
          <wp:inline distT="0" distB="0" distL="0" distR="0" wp14:anchorId="4E8FA3D8" wp14:editId="4217BD0E">
            <wp:extent cx="5930900" cy="2413000"/>
            <wp:effectExtent l="0" t="0" r="0" b="0"/>
            <wp:docPr id="1" name="Picture 1" descr="A graph of different sizes an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sizes and shape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30900" cy="2413000"/>
                    </a:xfrm>
                    <a:prstGeom prst="rect">
                      <a:avLst/>
                    </a:prstGeom>
                  </pic:spPr>
                </pic:pic>
              </a:graphicData>
            </a:graphic>
          </wp:inline>
        </w:drawing>
      </w:r>
      <w:r>
        <w:rPr>
          <w:rFonts w:ascii="Times New Roman" w:eastAsia="Times New Roman" w:hAnsi="Times New Roman" w:cs="Times New Roman"/>
          <w:b/>
          <w:color w:val="000000"/>
          <w:sz w:val="22"/>
        </w:rPr>
        <w:t>Supplementary Figure S1. Growth environment-dependent P</w:t>
      </w:r>
      <w:r>
        <w:rPr>
          <w:rFonts w:ascii="Times New Roman" w:eastAsia="Times New Roman" w:hAnsi="Times New Roman" w:cs="Times New Roman"/>
          <w:b/>
          <w:color w:val="000000"/>
          <w:sz w:val="22"/>
          <w:vertAlign w:val="subscript"/>
        </w:rPr>
        <w:t>aspA</w:t>
      </w:r>
      <w:r>
        <w:rPr>
          <w:rFonts w:ascii="Times New Roman" w:eastAsia="Times New Roman" w:hAnsi="Times New Roman" w:cs="Times New Roman"/>
          <w:b/>
          <w:color w:val="000000"/>
          <w:sz w:val="22"/>
        </w:rPr>
        <w:t xml:space="preserve"> activity.</w:t>
      </w:r>
    </w:p>
    <w:p w14:paraId="7B8723BC" w14:textId="77777777" w:rsidR="000A3462" w:rsidRDefault="00000000" w:rsidP="00212216">
      <w:pPr>
        <w:spacing w:line="480" w:lineRule="auto"/>
        <w:rPr>
          <w:rFonts w:ascii="Times New Roman" w:eastAsia="Times New Roman" w:hAnsi="Times New Roman" w:cs="Times New Roman"/>
          <w:color w:val="000000"/>
          <w:sz w:val="22"/>
        </w:rPr>
      </w:pPr>
      <w:r>
        <w:rPr>
          <w:rFonts w:ascii="Times New Roman" w:eastAsia="Times New Roman" w:hAnsi="Times New Roman" w:cs="Times New Roman"/>
          <w:b/>
          <w:color w:val="000000"/>
          <w:sz w:val="22"/>
        </w:rPr>
        <w:t xml:space="preserve"> (A and B) </w:t>
      </w:r>
      <w:r>
        <w:rPr>
          <w:rFonts w:ascii="Times New Roman" w:eastAsia="Times New Roman" w:hAnsi="Times New Roman" w:cs="Times New Roman"/>
          <w:i/>
          <w:color w:val="000000"/>
          <w:sz w:val="22"/>
        </w:rPr>
        <w:t>E. coli</w:t>
      </w:r>
      <w:r>
        <w:rPr>
          <w:rFonts w:ascii="Times New Roman" w:eastAsia="Times New Roman" w:hAnsi="Times New Roman" w:cs="Times New Roman"/>
          <w:color w:val="000000"/>
          <w:sz w:val="22"/>
        </w:rPr>
        <w:t xml:space="preserve"> carrying pA-gfpOVA were cultured in M9 medium supplemented with the indicated carbon source in an anaerobic bag. </w:t>
      </w:r>
      <w:r>
        <w:rPr>
          <w:rFonts w:ascii="Times New Roman" w:eastAsia="Times New Roman" w:hAnsi="Times New Roman" w:cs="Times New Roman"/>
          <w:b/>
          <w:color w:val="000000"/>
          <w:sz w:val="22"/>
        </w:rPr>
        <w:t xml:space="preserve">(A) </w:t>
      </w:r>
      <w:r>
        <w:rPr>
          <w:rFonts w:ascii="Times New Roman" w:eastAsia="Times New Roman" w:hAnsi="Times New Roman" w:cs="Times New Roman"/>
          <w:color w:val="000000"/>
          <w:sz w:val="22"/>
        </w:rPr>
        <w:t>Bacterial growth was monitored by measuring</w:t>
      </w:r>
      <w:r w:rsidR="00586914">
        <w:rPr>
          <w:rFonts w:ascii="Times New Roman" w:eastAsia="Times New Roman" w:hAnsi="Times New Roman" w:cs="Times New Roman"/>
          <w:color w:val="000000"/>
          <w:sz w:val="22"/>
        </w:rPr>
        <w:t xml:space="preserve"> the</w:t>
      </w:r>
      <w:r>
        <w:rPr>
          <w:rFonts w:ascii="Times New Roman" w:eastAsia="Times New Roman" w:hAnsi="Times New Roman" w:cs="Times New Roman"/>
          <w:color w:val="000000"/>
          <w:sz w:val="22"/>
        </w:rPr>
        <w:t xml:space="preserve"> absorbance at 600 nm hourly. </w:t>
      </w:r>
      <w:r>
        <w:rPr>
          <w:rFonts w:ascii="Times New Roman" w:eastAsia="Times New Roman" w:hAnsi="Times New Roman" w:cs="Times New Roman"/>
          <w:b/>
          <w:color w:val="000000"/>
          <w:sz w:val="22"/>
        </w:rPr>
        <w:t>(B)</w:t>
      </w:r>
      <w:r>
        <w:rPr>
          <w:rFonts w:ascii="Times New Roman" w:eastAsia="Times New Roman" w:hAnsi="Times New Roman" w:cs="Times New Roman"/>
          <w:color w:val="000000"/>
          <w:sz w:val="22"/>
        </w:rPr>
        <w:t xml:space="preserve"> </w:t>
      </w:r>
      <w:r>
        <w:rPr>
          <w:rFonts w:ascii="Times New Roman" w:eastAsia="Times New Roman" w:hAnsi="Times New Roman" w:cs="Times New Roman"/>
          <w:i/>
          <w:color w:val="000000"/>
          <w:sz w:val="22"/>
        </w:rPr>
        <w:t>aspA</w:t>
      </w:r>
      <w:r>
        <w:rPr>
          <w:rFonts w:ascii="Times New Roman" w:eastAsia="Times New Roman" w:hAnsi="Times New Roman" w:cs="Times New Roman"/>
          <w:color w:val="000000"/>
          <w:sz w:val="22"/>
        </w:rPr>
        <w:t xml:space="preserve"> promoter activity was evaluated by utilizing an unstable variant of green fluorescent protein (gfpOVA), with fluorescence detected at excitation and emission wavelengths of 488 nm and 513 nm, respectively. Fluorescence intensity was normalized to absorbance at 600 nm.</w:t>
      </w:r>
    </w:p>
    <w:p w14:paraId="0A72ED2B" w14:textId="77777777" w:rsidR="000A3462" w:rsidRDefault="00000000" w:rsidP="00212216">
      <w:pPr>
        <w:widowControl/>
        <w:spacing w:line="48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0894F422" wp14:editId="55666EC7">
            <wp:extent cx="5252085" cy="8229600"/>
            <wp:effectExtent l="0" t="0" r="5715" b="0"/>
            <wp:docPr id="2"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screen&#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52085" cy="8229600"/>
                    </a:xfrm>
                    <a:prstGeom prst="rect">
                      <a:avLst/>
                    </a:prstGeom>
                  </pic:spPr>
                </pic:pic>
              </a:graphicData>
            </a:graphic>
          </wp:inline>
        </w:drawing>
      </w:r>
    </w:p>
    <w:p w14:paraId="7601467C" w14:textId="77777777" w:rsidR="000A3462" w:rsidRDefault="00000000" w:rsidP="00212216">
      <w:pPr>
        <w:widowControl/>
        <w:spacing w:line="480" w:lineRule="auto"/>
        <w:rPr>
          <w:rFonts w:ascii="Times New Roman" w:eastAsia="Times New Roman" w:hAnsi="Times New Roman" w:cs="Times New Roman"/>
          <w:color w:val="000000"/>
          <w:sz w:val="22"/>
        </w:rPr>
      </w:pPr>
      <w:r>
        <w:rPr>
          <w:rFonts w:ascii="Times New Roman" w:eastAsia="Times New Roman" w:hAnsi="Times New Roman" w:cs="Times New Roman"/>
          <w:b/>
          <w:color w:val="000000"/>
          <w:sz w:val="22"/>
        </w:rPr>
        <w:lastRenderedPageBreak/>
        <w:t xml:space="preserve">Supplementary Figure S2. </w:t>
      </w:r>
      <w:r w:rsidR="00586914">
        <w:rPr>
          <w:rFonts w:ascii="Times New Roman" w:eastAsia="Times New Roman" w:hAnsi="Times New Roman" w:cs="Times New Roman"/>
          <w:b/>
          <w:color w:val="000000"/>
          <w:sz w:val="22"/>
        </w:rPr>
        <w:t>C</w:t>
      </w:r>
      <w:r>
        <w:rPr>
          <w:rFonts w:ascii="Times New Roman" w:eastAsia="Times New Roman" w:hAnsi="Times New Roman" w:cs="Times New Roman"/>
          <w:b/>
          <w:color w:val="000000"/>
          <w:sz w:val="22"/>
        </w:rPr>
        <w:t xml:space="preserve">omplete set of tumor-bearing mouse images expanded from those shown in Figure 4B. </w:t>
      </w:r>
      <w:r>
        <w:rPr>
          <w:rFonts w:ascii="Times New Roman" w:eastAsia="Times New Roman" w:hAnsi="Times New Roman" w:cs="Times New Roman"/>
          <w:color w:val="000000"/>
          <w:sz w:val="22"/>
        </w:rPr>
        <w:t>BALB/c mice were subcutaneously implanted with 1 × 10</w:t>
      </w:r>
      <w:r>
        <w:rPr>
          <w:rFonts w:ascii="Times New Roman" w:eastAsia="Times New Roman" w:hAnsi="Times New Roman" w:cs="Times New Roman"/>
          <w:color w:val="000000"/>
          <w:sz w:val="22"/>
          <w:vertAlign w:val="superscript"/>
        </w:rPr>
        <w:t>6</w:t>
      </w:r>
      <w:r w:rsidRPr="00586914">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t>CT26 colon carcinoma cells on the right thigh.</w:t>
      </w:r>
      <w:r>
        <w:rPr>
          <w:rFonts w:ascii="Times New Roman" w:eastAsia="Times New Roman" w:hAnsi="Times New Roman" w:cs="Times New Roman"/>
          <w:b/>
          <w:color w:val="000000"/>
          <w:sz w:val="22"/>
        </w:rPr>
        <w:t xml:space="preserve"> </w:t>
      </w:r>
      <w:r>
        <w:rPr>
          <w:rFonts w:ascii="Times New Roman" w:eastAsia="Times New Roman" w:hAnsi="Times New Roman" w:cs="Times New Roman"/>
          <w:color w:val="000000"/>
          <w:sz w:val="22"/>
        </w:rPr>
        <w:t xml:space="preserve">CT26 tumor-bearing mice were intravenously injected with PBS (Mock; black line), wild-type </w:t>
      </w:r>
      <w:r>
        <w:rPr>
          <w:rFonts w:ascii="Times New Roman" w:eastAsia="Times New Roman" w:hAnsi="Times New Roman" w:cs="Times New Roman"/>
          <w:i/>
          <w:color w:val="000000"/>
          <w:sz w:val="22"/>
        </w:rPr>
        <w:t>E. coli</w:t>
      </w:r>
      <w:r>
        <w:rPr>
          <w:rFonts w:ascii="Times New Roman" w:eastAsia="Times New Roman" w:hAnsi="Times New Roman" w:cs="Times New Roman"/>
          <w:color w:val="000000"/>
          <w:sz w:val="22"/>
        </w:rPr>
        <w:t xml:space="preserve"> (</w:t>
      </w:r>
      <w:r>
        <w:rPr>
          <w:rFonts w:ascii="Times New Roman" w:eastAsia="Times New Roman" w:hAnsi="Times New Roman" w:cs="Times New Roman"/>
          <w:i/>
          <w:color w:val="000000"/>
          <w:sz w:val="22"/>
        </w:rPr>
        <w:t>E. coli</w:t>
      </w:r>
      <w:r>
        <w:rPr>
          <w:rFonts w:ascii="Times New Roman" w:eastAsia="Times New Roman" w:hAnsi="Times New Roman" w:cs="Times New Roman"/>
          <w:color w:val="000000"/>
          <w:sz w:val="22"/>
        </w:rPr>
        <w:t xml:space="preserve"> only; green line), or MDG003 (pA-TP; blue line) (n = 5 per group; 10</w:t>
      </w:r>
      <w:r>
        <w:rPr>
          <w:rFonts w:ascii="Times New Roman" w:eastAsia="Times New Roman" w:hAnsi="Times New Roman" w:cs="Times New Roman"/>
          <w:color w:val="000000"/>
          <w:sz w:val="22"/>
          <w:vertAlign w:val="superscript"/>
        </w:rPr>
        <w:t>8</w:t>
      </w:r>
      <w:r>
        <w:rPr>
          <w:rFonts w:ascii="Times New Roman" w:eastAsia="Times New Roman" w:hAnsi="Times New Roman" w:cs="Times New Roman"/>
          <w:color w:val="000000"/>
          <w:sz w:val="22"/>
        </w:rPr>
        <w:t xml:space="preserve"> CFU/mouse) when the tumor size was 100–150 mm</w:t>
      </w:r>
      <w:r>
        <w:rPr>
          <w:rFonts w:ascii="Times New Roman" w:eastAsia="Times New Roman" w:hAnsi="Times New Roman" w:cs="Times New Roman"/>
          <w:color w:val="000000"/>
          <w:sz w:val="22"/>
          <w:vertAlign w:val="superscript"/>
        </w:rPr>
        <w:t>3</w:t>
      </w:r>
      <w:r>
        <w:rPr>
          <w:rFonts w:ascii="Times New Roman" w:eastAsia="Times New Roman" w:hAnsi="Times New Roman" w:cs="Times New Roman"/>
          <w:color w:val="000000"/>
          <w:sz w:val="22"/>
        </w:rPr>
        <w:t xml:space="preserve">. </w:t>
      </w:r>
    </w:p>
    <w:p w14:paraId="29FA0845" w14:textId="77777777" w:rsidR="000A3462" w:rsidRDefault="00000000" w:rsidP="00212216">
      <w:pPr>
        <w:widowControl/>
        <w:spacing w:after="160" w:line="480" w:lineRule="auto"/>
        <w:jc w:val="left"/>
        <w:rPr>
          <w:rFonts w:ascii="Times New Roman" w:eastAsia="Times New Roman" w:hAnsi="Times New Roman" w:cs="Times New Roman"/>
          <w:color w:val="000000"/>
          <w:sz w:val="22"/>
        </w:rPr>
      </w:pPr>
      <w:r>
        <w:rPr>
          <w:rFonts w:ascii="Times New Roman" w:eastAsia="Times New Roman" w:hAnsi="Times New Roman" w:cs="Times New Roman"/>
          <w:color w:val="000000"/>
        </w:rPr>
        <w:br w:type="page"/>
      </w:r>
    </w:p>
    <w:p w14:paraId="781C1741" w14:textId="66C93C44" w:rsidR="000A3462" w:rsidRDefault="00000000" w:rsidP="00212216">
      <w:pPr>
        <w:widowControl/>
        <w:spacing w:line="480" w:lineRule="auto"/>
        <w:rPr>
          <w:rFonts w:ascii="Times New Roman" w:eastAsia="Times New Roman" w:hAnsi="Times New Roman" w:cs="Times New Roman"/>
          <w:color w:val="000000"/>
        </w:rPr>
      </w:pPr>
      <w:r>
        <w:rPr>
          <w:rFonts w:ascii="Times New Roman" w:eastAsia="Times New Roman" w:hAnsi="Times New Roman" w:cs="Times New Roman"/>
          <w:noProof/>
          <w:color w:val="000000"/>
          <w:sz w:val="22"/>
        </w:rPr>
        <w:lastRenderedPageBreak/>
        <w:drawing>
          <wp:inline distT="0" distB="0" distL="0" distR="0" wp14:anchorId="55B4AB7F" wp14:editId="5B8CC2BD">
            <wp:extent cx="5943600" cy="5143500"/>
            <wp:effectExtent l="0" t="0" r="0" b="0"/>
            <wp:docPr id="3" name="그림 1" descr="스크린샷, 텍스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1" descr="스크린샷, 텍스트이(가) 표시된 사진&#10;&#10;AI 생성 콘텐츠는 정확하지 않을 수 있습니다."/>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143500"/>
                    </a:xfrm>
                    <a:prstGeom prst="rect">
                      <a:avLst/>
                    </a:prstGeom>
                  </pic:spPr>
                </pic:pic>
              </a:graphicData>
            </a:graphic>
          </wp:inline>
        </w:drawing>
      </w:r>
    </w:p>
    <w:p w14:paraId="68B510CC" w14:textId="77777777" w:rsidR="000A3462" w:rsidRDefault="00000000" w:rsidP="00212216">
      <w:pPr>
        <w:widowControl/>
        <w:spacing w:line="480" w:lineRule="auto"/>
        <w:rPr>
          <w:rFonts w:ascii="Times New Roman" w:eastAsia="Times New Roman" w:hAnsi="Times New Roman" w:cs="Times New Roman"/>
          <w:b/>
          <w:color w:val="000000"/>
          <w:sz w:val="22"/>
        </w:rPr>
      </w:pPr>
      <w:r>
        <w:rPr>
          <w:rFonts w:ascii="Times New Roman" w:eastAsia="Times New Roman" w:hAnsi="Times New Roman" w:cs="Times New Roman"/>
          <w:b/>
          <w:color w:val="000000"/>
          <w:sz w:val="22"/>
        </w:rPr>
        <w:t xml:space="preserve">Supplementary Figure S3. Assessment of </w:t>
      </w:r>
      <w:r w:rsidR="0006733C">
        <w:rPr>
          <w:rFonts w:ascii="Times New Roman" w:eastAsia="Times New Roman" w:hAnsi="Times New Roman" w:cs="Times New Roman"/>
          <w:b/>
          <w:color w:val="000000"/>
          <w:sz w:val="22"/>
        </w:rPr>
        <w:t xml:space="preserve">the </w:t>
      </w:r>
      <w:r>
        <w:rPr>
          <w:rFonts w:ascii="Times New Roman" w:eastAsia="Times New Roman" w:hAnsi="Times New Roman" w:cs="Times New Roman"/>
          <w:b/>
          <w:color w:val="000000"/>
          <w:sz w:val="22"/>
        </w:rPr>
        <w:t>host response upon bacterial injection.</w:t>
      </w:r>
    </w:p>
    <w:p w14:paraId="413D5E9D" w14:textId="073960DE" w:rsidR="00751B62" w:rsidRDefault="00000000" w:rsidP="000243CE">
      <w:pPr>
        <w:widowControl/>
        <w:spacing w:line="480" w:lineRule="auto"/>
        <w:rPr>
          <w:rFonts w:ascii="Times New Roman" w:eastAsia="Times New Roman" w:hAnsi="Times New Roman" w:cs="Times New Roman"/>
          <w:color w:val="000000"/>
          <w:sz w:val="22"/>
        </w:rPr>
      </w:pPr>
      <w:r>
        <w:rPr>
          <w:rFonts w:ascii="Times New Roman" w:eastAsia="Times New Roman" w:hAnsi="Times New Roman" w:cs="Times New Roman"/>
          <w:b/>
          <w:color w:val="000000"/>
          <w:sz w:val="22"/>
        </w:rPr>
        <w:t xml:space="preserve"> (A–C) </w:t>
      </w:r>
      <w:r>
        <w:rPr>
          <w:rFonts w:ascii="Times New Roman" w:eastAsia="Times New Roman" w:hAnsi="Times New Roman" w:cs="Times New Roman"/>
          <w:color w:val="000000"/>
          <w:sz w:val="22"/>
        </w:rPr>
        <w:t>BALB/c mice were subcutaneously implanted with 1 × 10</w:t>
      </w:r>
      <w:r>
        <w:rPr>
          <w:rFonts w:ascii="Times New Roman" w:eastAsia="Times New Roman" w:hAnsi="Times New Roman" w:cs="Times New Roman"/>
          <w:color w:val="000000"/>
          <w:sz w:val="22"/>
          <w:vertAlign w:val="superscript"/>
        </w:rPr>
        <w:t>6</w:t>
      </w:r>
      <w:r w:rsidRPr="00586914">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t xml:space="preserve">CT26 colon carcinoma cells on the thigh. To assess the toxicity of bacterial injection, CT26-bearing BALB/c mice were treated with PBS (Mock; black line circle), wild-type </w:t>
      </w:r>
      <w:r>
        <w:rPr>
          <w:rFonts w:ascii="Times New Roman" w:eastAsia="Times New Roman" w:hAnsi="Times New Roman" w:cs="Times New Roman"/>
          <w:i/>
          <w:color w:val="000000"/>
          <w:sz w:val="22"/>
        </w:rPr>
        <w:t xml:space="preserve">E. coli </w:t>
      </w:r>
      <w:r>
        <w:rPr>
          <w:rFonts w:ascii="Times New Roman" w:eastAsia="Times New Roman" w:hAnsi="Times New Roman" w:cs="Times New Roman"/>
          <w:color w:val="000000"/>
          <w:sz w:val="22"/>
        </w:rPr>
        <w:t>(</w:t>
      </w:r>
      <w:r>
        <w:rPr>
          <w:rFonts w:ascii="Times New Roman" w:eastAsia="Times New Roman" w:hAnsi="Times New Roman" w:cs="Times New Roman"/>
          <w:i/>
          <w:color w:val="000000"/>
          <w:sz w:val="22"/>
        </w:rPr>
        <w:t>E. coli</w:t>
      </w:r>
      <w:r>
        <w:rPr>
          <w:rFonts w:ascii="Times New Roman" w:eastAsia="Times New Roman" w:hAnsi="Times New Roman" w:cs="Times New Roman"/>
          <w:color w:val="000000"/>
          <w:sz w:val="22"/>
        </w:rPr>
        <w:t xml:space="preserve"> only; green line triangle), or MDG003 (pA-TP; blue line square) by intravenous injection at a dose of 1 × 10</w:t>
      </w:r>
      <w:r>
        <w:rPr>
          <w:rFonts w:ascii="Times New Roman" w:eastAsia="Times New Roman" w:hAnsi="Times New Roman" w:cs="Times New Roman"/>
          <w:color w:val="000000"/>
          <w:sz w:val="22"/>
          <w:vertAlign w:val="superscript"/>
        </w:rPr>
        <w:t>8</w:t>
      </w:r>
      <w:r>
        <w:rPr>
          <w:rFonts w:ascii="Times New Roman" w:eastAsia="Times New Roman" w:hAnsi="Times New Roman" w:cs="Times New Roman"/>
          <w:color w:val="000000"/>
          <w:sz w:val="22"/>
        </w:rPr>
        <w:t xml:space="preserve"> CFU/mouse when the tumor size was 100–150 mm</w:t>
      </w:r>
      <w:r>
        <w:rPr>
          <w:rFonts w:ascii="Times New Roman" w:eastAsia="Times New Roman" w:hAnsi="Times New Roman" w:cs="Times New Roman"/>
          <w:color w:val="000000"/>
          <w:sz w:val="22"/>
          <w:vertAlign w:val="superscript"/>
        </w:rPr>
        <w:t>3</w:t>
      </w:r>
      <w:r>
        <w:rPr>
          <w:rFonts w:ascii="Times New Roman" w:eastAsia="Times New Roman" w:hAnsi="Times New Roman" w:cs="Times New Roman"/>
          <w:color w:val="000000"/>
          <w:sz w:val="22"/>
        </w:rPr>
        <w:t xml:space="preserve">. </w:t>
      </w:r>
      <w:r>
        <w:rPr>
          <w:rFonts w:ascii="Times New Roman" w:eastAsia="Times New Roman" w:hAnsi="Times New Roman" w:cs="Times New Roman"/>
          <w:b/>
          <w:color w:val="000000"/>
          <w:sz w:val="22"/>
        </w:rPr>
        <w:t xml:space="preserve">(A) </w:t>
      </w:r>
      <w:r>
        <w:rPr>
          <w:rFonts w:ascii="Times New Roman" w:eastAsia="Times New Roman" w:hAnsi="Times New Roman" w:cs="Times New Roman"/>
          <w:color w:val="000000"/>
          <w:sz w:val="22"/>
        </w:rPr>
        <w:t>The body weight changes in mice grafted with CT26 were measured every 2 d</w:t>
      </w:r>
      <w:r w:rsidR="00586914">
        <w:rPr>
          <w:rFonts w:ascii="Times New Roman" w:eastAsia="Times New Roman" w:hAnsi="Times New Roman" w:cs="Times New Roman"/>
          <w:color w:val="000000"/>
          <w:sz w:val="22"/>
        </w:rPr>
        <w:t>ays</w:t>
      </w:r>
      <w:r>
        <w:rPr>
          <w:rFonts w:ascii="Times New Roman" w:eastAsia="Times New Roman" w:hAnsi="Times New Roman" w:cs="Times New Roman"/>
          <w:color w:val="000000"/>
          <w:sz w:val="22"/>
        </w:rPr>
        <w:t xml:space="preserve"> after bacterial injection.</w:t>
      </w:r>
      <w:r>
        <w:rPr>
          <w:rFonts w:ascii="Times New Roman" w:eastAsia="Times New Roman" w:hAnsi="Times New Roman" w:cs="Times New Roman"/>
          <w:b/>
          <w:color w:val="000000"/>
          <w:sz w:val="22"/>
        </w:rPr>
        <w:t xml:space="preserve"> (B) </w:t>
      </w:r>
      <w:r>
        <w:rPr>
          <w:rFonts w:ascii="Times New Roman" w:eastAsia="Times New Roman" w:hAnsi="Times New Roman" w:cs="Times New Roman"/>
          <w:color w:val="000000"/>
          <w:sz w:val="22"/>
        </w:rPr>
        <w:t xml:space="preserve">Bacterial counts were measured at 1, 3, 5, and 30 dpi in the described tissue. </w:t>
      </w:r>
      <w:r>
        <w:rPr>
          <w:rFonts w:ascii="Times New Roman" w:eastAsia="Times New Roman" w:hAnsi="Times New Roman" w:cs="Times New Roman"/>
          <w:b/>
          <w:color w:val="000000"/>
          <w:sz w:val="22"/>
        </w:rPr>
        <w:t xml:space="preserve">(C) </w:t>
      </w:r>
      <w:r>
        <w:rPr>
          <w:rFonts w:ascii="Times New Roman" w:eastAsia="Times New Roman" w:hAnsi="Times New Roman" w:cs="Times New Roman"/>
          <w:color w:val="000000"/>
          <w:sz w:val="22"/>
        </w:rPr>
        <w:t>The serum cytokine level was measured at the indicated days.</w:t>
      </w:r>
    </w:p>
    <w:p w14:paraId="62CFDDC9" w14:textId="77777777" w:rsidR="00F508F5" w:rsidRDefault="00F508F5" w:rsidP="000243CE">
      <w:pPr>
        <w:widowControl/>
        <w:spacing w:line="480" w:lineRule="auto"/>
        <w:rPr>
          <w:rFonts w:ascii="Times New Roman" w:eastAsia="Times New Roman" w:hAnsi="Times New Roman" w:cs="Times New Roman"/>
          <w:color w:val="000000"/>
          <w:sz w:val="22"/>
        </w:rPr>
      </w:pPr>
    </w:p>
    <w:p w14:paraId="43C01E67" w14:textId="330DD1B0" w:rsidR="00F508F5" w:rsidRDefault="00F508F5" w:rsidP="000243CE">
      <w:pPr>
        <w:widowControl/>
        <w:spacing w:line="480" w:lineRule="auto"/>
        <w:rPr>
          <w:rFonts w:ascii="Times New Roman" w:eastAsia="Times New Roman" w:hAnsi="Times New Roman" w:cs="Times New Roman"/>
          <w:color w:val="000000"/>
          <w:sz w:val="22"/>
        </w:rPr>
      </w:pPr>
      <w:r w:rsidRPr="00F508F5">
        <w:rPr>
          <w:rFonts w:ascii="Times New Roman" w:eastAsia="Times New Roman" w:hAnsi="Times New Roman" w:cs="Times New Roman"/>
          <w:color w:val="000000"/>
          <w:sz w:val="22"/>
        </w:rPr>
        <w:lastRenderedPageBreak/>
        <w:drawing>
          <wp:inline distT="0" distB="0" distL="0" distR="0" wp14:anchorId="34322880" wp14:editId="03488EFF">
            <wp:extent cx="2222500" cy="3035300"/>
            <wp:effectExtent l="0" t="0" r="0" b="0"/>
            <wp:docPr id="493549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499" name=""/>
                    <pic:cNvPicPr/>
                  </pic:nvPicPr>
                  <pic:blipFill>
                    <a:blip r:embed="rId7"/>
                    <a:stretch>
                      <a:fillRect/>
                    </a:stretch>
                  </pic:blipFill>
                  <pic:spPr>
                    <a:xfrm>
                      <a:off x="0" y="0"/>
                      <a:ext cx="2222500" cy="3035300"/>
                    </a:xfrm>
                    <a:prstGeom prst="rect">
                      <a:avLst/>
                    </a:prstGeom>
                  </pic:spPr>
                </pic:pic>
              </a:graphicData>
            </a:graphic>
          </wp:inline>
        </w:drawing>
      </w:r>
    </w:p>
    <w:p w14:paraId="21383D58" w14:textId="2A99176D" w:rsidR="00F508F5" w:rsidRDefault="00F508F5" w:rsidP="00F508F5">
      <w:pPr>
        <w:widowControl/>
        <w:spacing w:line="480" w:lineRule="auto"/>
        <w:rPr>
          <w:rFonts w:ascii="Times New Roman" w:eastAsia="Times New Roman" w:hAnsi="Times New Roman" w:cs="Times New Roman"/>
          <w:b/>
          <w:color w:val="000000"/>
          <w:sz w:val="22"/>
        </w:rPr>
      </w:pPr>
      <w:r>
        <w:rPr>
          <w:rFonts w:ascii="Times New Roman" w:eastAsia="Times New Roman" w:hAnsi="Times New Roman" w:cs="Times New Roman"/>
          <w:b/>
          <w:color w:val="000000"/>
          <w:sz w:val="22"/>
        </w:rPr>
        <w:t>Supplementary Figure S</w:t>
      </w:r>
      <w:r>
        <w:rPr>
          <w:rFonts w:ascii="Times New Roman" w:eastAsia="Times New Roman" w:hAnsi="Times New Roman" w:cs="Times New Roman"/>
          <w:b/>
          <w:color w:val="000000"/>
          <w:sz w:val="22"/>
        </w:rPr>
        <w:t>4</w:t>
      </w:r>
      <w:r>
        <w:rPr>
          <w:rFonts w:ascii="Times New Roman" w:eastAsia="Times New Roman" w:hAnsi="Times New Roman" w:cs="Times New Roman"/>
          <w:b/>
          <w:color w:val="000000"/>
          <w:sz w:val="22"/>
        </w:rPr>
        <w:t>. Assessment of t</w:t>
      </w:r>
      <w:r>
        <w:rPr>
          <w:rFonts w:ascii="Times New Roman" w:eastAsia="Times New Roman" w:hAnsi="Times New Roman" w:cs="Times New Roman"/>
          <w:b/>
          <w:color w:val="000000"/>
          <w:sz w:val="22"/>
        </w:rPr>
        <w:t xml:space="preserve">he plasmid stability </w:t>
      </w:r>
      <w:r w:rsidRPr="00F508F5">
        <w:rPr>
          <w:rFonts w:ascii="Times New Roman" w:eastAsia="Times New Roman" w:hAnsi="Times New Roman" w:cs="Times New Roman"/>
          <w:b/>
          <w:i/>
          <w:iCs/>
          <w:color w:val="000000"/>
          <w:sz w:val="22"/>
        </w:rPr>
        <w:t>in vivo</w:t>
      </w:r>
      <w:r>
        <w:rPr>
          <w:rFonts w:ascii="Times New Roman" w:eastAsia="Times New Roman" w:hAnsi="Times New Roman" w:cs="Times New Roman"/>
          <w:b/>
          <w:color w:val="000000"/>
          <w:sz w:val="22"/>
        </w:rPr>
        <w:t>.</w:t>
      </w:r>
    </w:p>
    <w:p w14:paraId="7B44BA03" w14:textId="5D3D4DBB" w:rsidR="00F508F5" w:rsidRPr="00F508F5" w:rsidRDefault="00F508F5" w:rsidP="00F508F5">
      <w:pPr>
        <w:widowControl/>
        <w:spacing w:line="480" w:lineRule="auto"/>
        <w:rPr>
          <w:rFonts w:ascii="Times New Roman" w:eastAsia="Times New Roman" w:hAnsi="Times New Roman" w:cs="Times New Roman" w:hint="eastAsia"/>
          <w:color w:val="000000"/>
          <w:sz w:val="22"/>
        </w:rPr>
      </w:pPr>
      <w:r>
        <w:rPr>
          <w:rFonts w:ascii="Times New Roman" w:eastAsia="Times New Roman" w:hAnsi="Times New Roman" w:cs="Times New Roman"/>
          <w:b/>
          <w:color w:val="000000"/>
          <w:sz w:val="22"/>
        </w:rPr>
        <w:t xml:space="preserve"> </w:t>
      </w:r>
      <w:r>
        <w:rPr>
          <w:rFonts w:ascii="Times New Roman" w:eastAsia="Times New Roman" w:hAnsi="Times New Roman" w:cs="Times New Roman"/>
          <w:color w:val="000000"/>
          <w:sz w:val="22"/>
        </w:rPr>
        <w:t>BALB/c mice were subcutaneously implanted with 1 × 10</w:t>
      </w:r>
      <w:r>
        <w:rPr>
          <w:rFonts w:ascii="Times New Roman" w:eastAsia="Times New Roman" w:hAnsi="Times New Roman" w:cs="Times New Roman"/>
          <w:color w:val="000000"/>
          <w:sz w:val="22"/>
          <w:vertAlign w:val="superscript"/>
        </w:rPr>
        <w:t>6</w:t>
      </w:r>
      <w:r w:rsidRPr="00586914">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t>CT26 colon carcinoma cells on the thigh. To assess the toxicity of bacterial injection, CT26-bearing BALB/c mice were treated with MDG003 by intravenous injection at a dose of 1 × 10</w:t>
      </w:r>
      <w:r>
        <w:rPr>
          <w:rFonts w:ascii="Times New Roman" w:eastAsia="Times New Roman" w:hAnsi="Times New Roman" w:cs="Times New Roman"/>
          <w:color w:val="000000"/>
          <w:sz w:val="22"/>
          <w:vertAlign w:val="superscript"/>
        </w:rPr>
        <w:t>8</w:t>
      </w:r>
      <w:r>
        <w:rPr>
          <w:rFonts w:ascii="Times New Roman" w:eastAsia="Times New Roman" w:hAnsi="Times New Roman" w:cs="Times New Roman"/>
          <w:color w:val="000000"/>
          <w:sz w:val="22"/>
        </w:rPr>
        <w:t xml:space="preserve"> CFU/mouse when the tumor size was 100–150 mm</w:t>
      </w:r>
      <w:r>
        <w:rPr>
          <w:rFonts w:ascii="Times New Roman" w:eastAsia="Times New Roman" w:hAnsi="Times New Roman" w:cs="Times New Roman"/>
          <w:color w:val="000000"/>
          <w:sz w:val="22"/>
          <w:vertAlign w:val="superscript"/>
        </w:rPr>
        <w:t>3</w:t>
      </w:r>
      <w:r>
        <w:rPr>
          <w:rFonts w:ascii="Times New Roman" w:eastAsia="Times New Roman" w:hAnsi="Times New Roman" w:cs="Times New Roman"/>
          <w:color w:val="000000"/>
          <w:sz w:val="22"/>
        </w:rPr>
        <w:t xml:space="preserve">. Bacterial counts were measured at 1, 3, </w:t>
      </w:r>
      <w:r>
        <w:rPr>
          <w:rFonts w:ascii="Times New Roman" w:eastAsia="Times New Roman" w:hAnsi="Times New Roman" w:cs="Times New Roman"/>
          <w:color w:val="000000"/>
          <w:sz w:val="22"/>
        </w:rPr>
        <w:t xml:space="preserve">and </w:t>
      </w:r>
      <w:r>
        <w:rPr>
          <w:rFonts w:ascii="Times New Roman" w:eastAsia="Times New Roman" w:hAnsi="Times New Roman" w:cs="Times New Roman"/>
          <w:color w:val="000000"/>
          <w:sz w:val="22"/>
        </w:rPr>
        <w:t>5</w:t>
      </w:r>
      <w:r>
        <w:rPr>
          <w:rFonts w:ascii="Times New Roman" w:eastAsia="Times New Roman" w:hAnsi="Times New Roman" w:cs="Times New Roman"/>
          <w:color w:val="000000"/>
          <w:sz w:val="22"/>
        </w:rPr>
        <w:t xml:space="preserve"> dpi </w:t>
      </w:r>
      <w:r>
        <w:rPr>
          <w:rFonts w:ascii="Times New Roman" w:eastAsia="Times New Roman" w:hAnsi="Times New Roman" w:cs="Times New Roman"/>
          <w:color w:val="000000"/>
          <w:sz w:val="22"/>
        </w:rPr>
        <w:t xml:space="preserve">in the </w:t>
      </w:r>
      <w:r>
        <w:rPr>
          <w:rFonts w:ascii="Times New Roman" w:eastAsia="Times New Roman" w:hAnsi="Times New Roman" w:cs="Times New Roman"/>
          <w:color w:val="000000"/>
          <w:sz w:val="22"/>
        </w:rPr>
        <w:t>tumor</w:t>
      </w:r>
      <w:r>
        <w:rPr>
          <w:rFonts w:ascii="Times New Roman" w:eastAsia="Times New Roman" w:hAnsi="Times New Roman" w:cs="Times New Roman"/>
          <w:color w:val="000000"/>
          <w:sz w:val="22"/>
        </w:rPr>
        <w:t xml:space="preserve"> tissue.</w:t>
      </w:r>
      <w:r>
        <w:rPr>
          <w:rFonts w:ascii="Times New Roman" w:eastAsia="Times New Roman" w:hAnsi="Times New Roman" w:cs="Times New Roman"/>
          <w:color w:val="000000"/>
          <w:sz w:val="22"/>
        </w:rPr>
        <w:t xml:space="preserve"> </w:t>
      </w:r>
      <w:r w:rsidR="00AB790B" w:rsidRPr="00AB790B">
        <w:rPr>
          <w:rFonts w:ascii="Times New Roman" w:eastAsia="Times New Roman" w:hAnsi="Times New Roman" w:cs="Times New Roman"/>
          <w:color w:val="000000"/>
          <w:sz w:val="22"/>
        </w:rPr>
        <w:t>To assess plasmid stability, recovered bacteria were plated on both non-selective LB agar and antibiotic-containing LB agar. Plasmid</w:t>
      </w:r>
      <w:r w:rsidR="00AB790B">
        <w:rPr>
          <w:rFonts w:ascii="Times New Roman" w:eastAsia="Times New Roman" w:hAnsi="Times New Roman" w:cs="Times New Roman"/>
          <w:color w:val="000000"/>
          <w:sz w:val="22"/>
        </w:rPr>
        <w:t xml:space="preserve">-bearing fraction </w:t>
      </w:r>
      <w:r w:rsidR="00AB790B" w:rsidRPr="00AB790B">
        <w:rPr>
          <w:rFonts w:ascii="Times New Roman" w:eastAsia="Times New Roman" w:hAnsi="Times New Roman" w:cs="Times New Roman"/>
          <w:color w:val="000000"/>
          <w:sz w:val="22"/>
        </w:rPr>
        <w:t xml:space="preserve">was calculated as the percentage of CFUs grown on </w:t>
      </w:r>
      <w:r w:rsidR="00AB790B">
        <w:rPr>
          <w:rFonts w:ascii="Times New Roman" w:eastAsia="Times New Roman" w:hAnsi="Times New Roman" w:cs="Times New Roman"/>
          <w:color w:val="000000"/>
          <w:sz w:val="22"/>
        </w:rPr>
        <w:t>amp</w:t>
      </w:r>
      <w:r w:rsidR="00AB790B" w:rsidRPr="00AB790B">
        <w:rPr>
          <w:rFonts w:ascii="Times New Roman" w:eastAsia="Times New Roman" w:hAnsi="Times New Roman" w:cs="Times New Roman"/>
          <w:color w:val="000000"/>
          <w:sz w:val="22"/>
        </w:rPr>
        <w:t>-containing plates relative to total CFUs grown on non-selective LB plates.</w:t>
      </w:r>
    </w:p>
    <w:sectPr w:rsidR="00F508F5" w:rsidRPr="00F508F5">
      <w:pgSz w:w="12240" w:h="15840"/>
      <w:pgMar w:top="1440" w:right="1440" w:bottom="144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bordersDoNotSurroundHeader/>
  <w:bordersDoNotSurroundFooter/>
  <w:proofState w:spelling="clean" w:grammar="clean"/>
  <w:doNotTrackMov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462"/>
    <w:rsid w:val="000243CE"/>
    <w:rsid w:val="0006733C"/>
    <w:rsid w:val="000A3462"/>
    <w:rsid w:val="00212216"/>
    <w:rsid w:val="0026236B"/>
    <w:rsid w:val="002D54B3"/>
    <w:rsid w:val="00343C37"/>
    <w:rsid w:val="00586914"/>
    <w:rsid w:val="005B224B"/>
    <w:rsid w:val="00751B62"/>
    <w:rsid w:val="007B3ABA"/>
    <w:rsid w:val="00825333"/>
    <w:rsid w:val="0098725B"/>
    <w:rsid w:val="009B532E"/>
    <w:rsid w:val="00A748E6"/>
    <w:rsid w:val="00AB790B"/>
    <w:rsid w:val="00BB55F0"/>
    <w:rsid w:val="00BC1F98"/>
    <w:rsid w:val="00CA4CB2"/>
    <w:rsid w:val="00E4365E"/>
    <w:rsid w:val="00E82D4D"/>
    <w:rsid w:val="00F2603F"/>
    <w:rsid w:val="00F508F5"/>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CC81C"/>
  <w15:docId w15:val="{6C4F05FD-2276-F44C-8501-565268F0F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a">
    <w:name w:val="Normal"/>
    <w:qFormat/>
    <w:pPr>
      <w:widowControl w:val="0"/>
      <w:spacing w:after="0" w:line="240" w:lineRule="auto"/>
      <w:jc w:val="both"/>
    </w:pPr>
    <w:rPr>
      <w:sz w:val="20"/>
    </w:rPr>
  </w:style>
  <w:style w:type="paragraph" w:styleId="1">
    <w:name w:val="heading 1"/>
    <w:basedOn w:val="a"/>
    <w:next w:val="a"/>
    <w:qFormat/>
    <w:pPr>
      <w:keepNext/>
      <w:keepLines/>
      <w:widowControl/>
      <w:spacing w:before="360" w:after="80" w:line="278" w:lineRule="auto"/>
      <w:jc w:val="left"/>
      <w:outlineLvl w:val="0"/>
    </w:pPr>
    <w:rPr>
      <w:rFonts w:ascii="Aptos Display" w:eastAsia="Aptos Display" w:hAnsi="Aptos Display" w:cs="Aptos Display"/>
      <w:color w:val="0F4761"/>
      <w:sz w:val="40"/>
    </w:rPr>
  </w:style>
  <w:style w:type="paragraph" w:styleId="2">
    <w:name w:val="heading 2"/>
    <w:basedOn w:val="a"/>
    <w:next w:val="a"/>
    <w:qFormat/>
    <w:pPr>
      <w:keepNext/>
      <w:keepLines/>
      <w:widowControl/>
      <w:spacing w:before="160" w:after="80" w:line="278" w:lineRule="auto"/>
      <w:jc w:val="left"/>
      <w:outlineLvl w:val="1"/>
    </w:pPr>
    <w:rPr>
      <w:rFonts w:ascii="Aptos Display" w:eastAsia="Aptos Display" w:hAnsi="Aptos Display" w:cs="Aptos Display"/>
      <w:color w:val="0F4761"/>
      <w:sz w:val="32"/>
    </w:rPr>
  </w:style>
  <w:style w:type="paragraph" w:styleId="3">
    <w:name w:val="heading 3"/>
    <w:basedOn w:val="a"/>
    <w:next w:val="a"/>
    <w:qFormat/>
    <w:pPr>
      <w:keepNext/>
      <w:keepLines/>
      <w:widowControl/>
      <w:spacing w:before="160" w:after="80" w:line="278" w:lineRule="auto"/>
      <w:jc w:val="left"/>
      <w:outlineLvl w:val="2"/>
    </w:pPr>
    <w:rPr>
      <w:color w:val="0F4761"/>
      <w:sz w:val="28"/>
    </w:rPr>
  </w:style>
  <w:style w:type="paragraph" w:styleId="4">
    <w:name w:val="heading 4"/>
    <w:basedOn w:val="a"/>
    <w:next w:val="a"/>
    <w:pPr>
      <w:keepNext/>
      <w:keepLines/>
      <w:widowControl/>
      <w:spacing w:before="80" w:after="40" w:line="278" w:lineRule="auto"/>
      <w:jc w:val="left"/>
      <w:outlineLvl w:val="3"/>
    </w:pPr>
    <w:rPr>
      <w:i/>
      <w:color w:val="0F4761"/>
      <w:sz w:val="24"/>
    </w:rPr>
  </w:style>
  <w:style w:type="paragraph" w:styleId="5">
    <w:name w:val="heading 5"/>
    <w:basedOn w:val="a"/>
    <w:next w:val="a"/>
    <w:pPr>
      <w:keepNext/>
      <w:keepLines/>
      <w:widowControl/>
      <w:spacing w:before="80" w:after="40" w:line="278" w:lineRule="auto"/>
      <w:jc w:val="left"/>
      <w:outlineLvl w:val="4"/>
    </w:pPr>
    <w:rPr>
      <w:color w:val="0F4761"/>
      <w:sz w:val="24"/>
    </w:rPr>
  </w:style>
  <w:style w:type="paragraph" w:styleId="6">
    <w:name w:val="heading 6"/>
    <w:basedOn w:val="a"/>
    <w:next w:val="a"/>
    <w:pPr>
      <w:keepNext/>
      <w:keepLines/>
      <w:widowControl/>
      <w:spacing w:before="40" w:line="278" w:lineRule="auto"/>
      <w:jc w:val="left"/>
      <w:outlineLvl w:val="5"/>
    </w:pPr>
    <w:rPr>
      <w:i/>
      <w:color w:val="595959"/>
      <w:sz w:val="24"/>
    </w:rPr>
  </w:style>
  <w:style w:type="paragraph" w:styleId="7">
    <w:name w:val="heading 7"/>
    <w:basedOn w:val="a"/>
    <w:next w:val="a"/>
    <w:pPr>
      <w:keepNext/>
      <w:keepLines/>
      <w:widowControl/>
      <w:spacing w:before="40" w:line="278" w:lineRule="auto"/>
      <w:jc w:val="left"/>
      <w:outlineLvl w:val="6"/>
    </w:pPr>
    <w:rPr>
      <w:color w:val="595959"/>
      <w:sz w:val="24"/>
    </w:rPr>
  </w:style>
  <w:style w:type="paragraph" w:styleId="8">
    <w:name w:val="heading 8"/>
    <w:basedOn w:val="a"/>
    <w:next w:val="a"/>
    <w:pPr>
      <w:keepNext/>
      <w:keepLines/>
      <w:widowControl/>
      <w:spacing w:line="278" w:lineRule="auto"/>
      <w:jc w:val="left"/>
      <w:outlineLvl w:val="7"/>
    </w:pPr>
    <w:rPr>
      <w:i/>
      <w:color w:val="272727"/>
      <w:sz w:val="24"/>
    </w:rPr>
  </w:style>
  <w:style w:type="paragraph" w:styleId="9">
    <w:name w:val="heading 9"/>
    <w:basedOn w:val="a"/>
    <w:next w:val="a"/>
    <w:pPr>
      <w:keepNext/>
      <w:keepLines/>
      <w:widowControl/>
      <w:spacing w:line="278" w:lineRule="auto"/>
      <w:jc w:val="left"/>
      <w:outlineLvl w:val="8"/>
    </w:pPr>
    <w:rPr>
      <w:color w:val="272727"/>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pPr>
      <w:spacing w:line="305" w:lineRule="auto"/>
    </w:pPr>
    <w:rPr>
      <w:rFonts w:ascii="Calibri" w:eastAsia="Calibri" w:hAnsi="Calibri" w:cs="Calibri"/>
      <w:sz w:val="26"/>
    </w:rPr>
  </w:style>
  <w:style w:type="paragraph" w:styleId="20">
    <w:name w:val="toc 2"/>
    <w:basedOn w:val="a"/>
    <w:pPr>
      <w:spacing w:line="330" w:lineRule="auto"/>
    </w:pPr>
    <w:rPr>
      <w:rFonts w:ascii="Calibri" w:eastAsia="Calibri" w:hAnsi="Calibri" w:cs="Calibri"/>
      <w:sz w:val="24"/>
    </w:rPr>
  </w:style>
  <w:style w:type="paragraph" w:styleId="30">
    <w:name w:val="toc 3"/>
    <w:basedOn w:val="a"/>
    <w:pPr>
      <w:spacing w:line="360" w:lineRule="auto"/>
    </w:pPr>
    <w:rPr>
      <w:rFonts w:ascii="Calibri" w:eastAsia="Calibri" w:hAnsi="Calibri" w:cs="Calibri"/>
      <w:sz w:val="22"/>
    </w:rPr>
  </w:style>
  <w:style w:type="paragraph" w:styleId="40">
    <w:name w:val="toc 4"/>
    <w:basedOn w:val="a"/>
    <w:pPr>
      <w:spacing w:line="330" w:lineRule="exact"/>
    </w:pPr>
    <w:rPr>
      <w:rFonts w:ascii="Calibri" w:eastAsia="Calibri" w:hAnsi="Calibri" w:cs="Calibri"/>
    </w:rPr>
  </w:style>
  <w:style w:type="paragraph" w:styleId="50">
    <w:name w:val="toc 5"/>
    <w:basedOn w:val="a"/>
    <w:pPr>
      <w:spacing w:line="330" w:lineRule="exact"/>
    </w:pPr>
    <w:rPr>
      <w:rFonts w:ascii="Calibri" w:eastAsia="Calibri" w:hAnsi="Calibri" w:cs="Calibri"/>
    </w:rPr>
  </w:style>
  <w:style w:type="paragraph" w:styleId="60">
    <w:name w:val="toc 6"/>
    <w:basedOn w:val="a"/>
    <w:pPr>
      <w:spacing w:line="330" w:lineRule="exact"/>
    </w:pPr>
    <w:rPr>
      <w:rFonts w:ascii="Calibri" w:eastAsia="Calibri" w:hAnsi="Calibri" w:cs="Calibri"/>
    </w:rPr>
  </w:style>
  <w:style w:type="paragraph" w:styleId="70">
    <w:name w:val="toc 7"/>
    <w:basedOn w:val="a"/>
    <w:pPr>
      <w:spacing w:line="330" w:lineRule="exact"/>
    </w:pPr>
    <w:rPr>
      <w:rFonts w:ascii="Calibri" w:eastAsia="Calibri" w:hAnsi="Calibri" w:cs="Calibri"/>
    </w:rPr>
  </w:style>
  <w:style w:type="paragraph" w:styleId="80">
    <w:name w:val="toc 8"/>
    <w:basedOn w:val="a"/>
    <w:pPr>
      <w:spacing w:line="330" w:lineRule="exact"/>
    </w:pPr>
    <w:rPr>
      <w:rFonts w:ascii="Calibri" w:eastAsia="Calibri" w:hAnsi="Calibri" w:cs="Calibri"/>
    </w:rPr>
  </w:style>
  <w:style w:type="paragraph" w:styleId="90">
    <w:name w:val="toc 9"/>
    <w:basedOn w:val="a"/>
    <w:pPr>
      <w:spacing w:line="330" w:lineRule="exact"/>
    </w:pPr>
    <w:rPr>
      <w:rFonts w:ascii="Calibri" w:eastAsia="Calibri" w:hAnsi="Calibri" w:cs="Calibri"/>
    </w:rPr>
  </w:style>
  <w:style w:type="table" w:styleId="a3">
    <w:name w:val="Table Grid"/>
    <w:basedOn w:val="a1"/>
    <w:pPr>
      <w:spacing w:after="0" w:line="240" w:lineRule="auto"/>
      <w:jc w:val="both"/>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ldDefaultTableStyle">
    <w:name w:val="Old Default Table Style"/>
    <w:tblPr>
      <w:tblOverlap w:val="never"/>
      <w:tblCellMar>
        <w:top w:w="0" w:type="dxa"/>
        <w:left w:w="10" w:type="dxa"/>
        <w:bottom w:w="0" w:type="dxa"/>
        <w:right w:w="10" w:type="dxa"/>
      </w:tblCellMar>
    </w:tblPr>
  </w:style>
  <w:style w:type="character" w:styleId="a4">
    <w:name w:val="annotation reference"/>
    <w:basedOn w:val="a0"/>
    <w:rPr>
      <w:sz w:val="18"/>
    </w:rPr>
  </w:style>
  <w:style w:type="character" w:styleId="a5">
    <w:name w:val="endnote reference"/>
    <w:basedOn w:val="a0"/>
    <w:rPr>
      <w:vertAlign w:val="superscript"/>
    </w:rPr>
  </w:style>
  <w:style w:type="character" w:styleId="a6">
    <w:name w:val="footnote reference"/>
    <w:basedOn w:val="a0"/>
    <w:rPr>
      <w:vertAlign w:val="superscript"/>
    </w:rPr>
  </w:style>
  <w:style w:type="paragraph" w:styleId="a7">
    <w:name w:val="Title"/>
    <w:basedOn w:val="a"/>
    <w:next w:val="a"/>
    <w:qFormat/>
    <w:pPr>
      <w:widowControl/>
      <w:spacing w:after="80"/>
      <w:contextualSpacing/>
      <w:jc w:val="left"/>
    </w:pPr>
    <w:rPr>
      <w:rFonts w:ascii="Aptos Display" w:eastAsia="Aptos Display" w:hAnsi="Aptos Display" w:cs="Aptos Display"/>
      <w:sz w:val="56"/>
    </w:rPr>
  </w:style>
  <w:style w:type="paragraph" w:styleId="a8">
    <w:name w:val="Subtitle"/>
    <w:basedOn w:val="a"/>
    <w:next w:val="a"/>
    <w:qFormat/>
    <w:pPr>
      <w:widowControl/>
      <w:spacing w:after="160" w:line="278" w:lineRule="auto"/>
      <w:jc w:val="left"/>
    </w:pPr>
    <w:rPr>
      <w:color w:val="595959"/>
      <w:sz w:val="28"/>
    </w:rPr>
  </w:style>
  <w:style w:type="paragraph" w:styleId="a9">
    <w:name w:val="Quote"/>
    <w:basedOn w:val="a"/>
    <w:next w:val="a"/>
    <w:qFormat/>
    <w:pPr>
      <w:widowControl/>
      <w:spacing w:before="160" w:after="160" w:line="278" w:lineRule="auto"/>
      <w:jc w:val="center"/>
    </w:pPr>
    <w:rPr>
      <w:i/>
      <w:color w:val="404040"/>
      <w:sz w:val="24"/>
    </w:rPr>
  </w:style>
  <w:style w:type="paragraph" w:styleId="aa">
    <w:name w:val="List Paragraph"/>
    <w:basedOn w:val="a"/>
    <w:pPr>
      <w:widowControl/>
      <w:spacing w:after="160" w:line="278" w:lineRule="auto"/>
      <w:ind w:left="720"/>
      <w:contextualSpacing/>
      <w:jc w:val="left"/>
    </w:pPr>
    <w:rPr>
      <w:sz w:val="24"/>
    </w:rPr>
  </w:style>
  <w:style w:type="character" w:styleId="ab">
    <w:name w:val="Intense Emphasis"/>
    <w:basedOn w:val="a0"/>
    <w:qFormat/>
    <w:rPr>
      <w:i/>
      <w:color w:val="0F4761"/>
    </w:rPr>
  </w:style>
  <w:style w:type="paragraph" w:styleId="ac">
    <w:name w:val="Intense Quote"/>
    <w:basedOn w:val="a"/>
    <w:next w:val="a"/>
    <w:qFormat/>
    <w:pPr>
      <w:widowControl/>
      <w:pBdr>
        <w:top w:val="single" w:sz="4" w:space="10" w:color="0F4761"/>
        <w:bottom w:val="single" w:sz="4" w:space="10" w:color="0F4761"/>
      </w:pBdr>
      <w:spacing w:before="360" w:after="360" w:line="278" w:lineRule="auto"/>
      <w:ind w:left="864" w:right="864"/>
      <w:jc w:val="center"/>
    </w:pPr>
    <w:rPr>
      <w:i/>
      <w:color w:val="0F4761"/>
      <w:sz w:val="24"/>
    </w:rPr>
  </w:style>
  <w:style w:type="character" w:styleId="ad">
    <w:name w:val="Intense Reference"/>
    <w:basedOn w:val="a0"/>
    <w:rPr>
      <w:b/>
      <w:color w:val="0F4761"/>
    </w:rPr>
  </w:style>
  <w:style w:type="paragraph" w:styleId="ae">
    <w:name w:val="annotation text"/>
    <w:basedOn w:val="a"/>
    <w:pPr>
      <w:jc w:val="left"/>
    </w:pPr>
    <w:rPr>
      <w:rFonts w:ascii="Calibri" w:eastAsia="Calibri" w:hAnsi="Calibri" w:cs="Calibri"/>
    </w:rPr>
  </w:style>
  <w:style w:type="paragraph" w:styleId="af">
    <w:name w:val="annotation subject"/>
    <w:basedOn w:val="ae"/>
    <w:rPr>
      <w:b/>
    </w:rPr>
  </w:style>
  <w:style w:type="character" w:customStyle="1" w:styleId="VolumeNumber">
    <w:name w:val="Volume Number"/>
    <w:basedOn w:val="a0"/>
    <w:rPr>
      <w:shd w:val="clear" w:color="auto" w:fill="EDF0FF"/>
    </w:rPr>
  </w:style>
  <w:style w:type="character" w:customStyle="1" w:styleId="FamilyName">
    <w:name w:val="Family Name"/>
    <w:basedOn w:val="a0"/>
    <w:rPr>
      <w:shd w:val="clear" w:color="auto" w:fill="88F4BE"/>
    </w:rPr>
  </w:style>
  <w:style w:type="character" w:customStyle="1" w:styleId="DatabaseLink">
    <w:name w:val="Database Link"/>
    <w:basedOn w:val="a0"/>
    <w:rPr>
      <w:shd w:val="clear" w:color="auto" w:fill="AFBEFF"/>
    </w:rPr>
  </w:style>
  <w:style w:type="character" w:customStyle="1" w:styleId="NameScientific">
    <w:name w:val="Name Scientific"/>
    <w:basedOn w:val="a0"/>
    <w:rPr>
      <w:shd w:val="clear" w:color="auto" w:fill="91E0FF"/>
    </w:rPr>
  </w:style>
  <w:style w:type="paragraph" w:customStyle="1" w:styleId="Abstract">
    <w:name w:val="Abstract"/>
    <w:basedOn w:val="a"/>
    <w:pPr>
      <w:spacing w:after="160" w:line="360" w:lineRule="auto"/>
      <w:ind w:left="1440" w:right="1440"/>
    </w:pPr>
    <w:rPr>
      <w:rFonts w:ascii="Calibri" w:eastAsia="Calibri" w:hAnsi="Calibri" w:cs="Calibri"/>
      <w:sz w:val="22"/>
    </w:rPr>
  </w:style>
  <w:style w:type="character" w:customStyle="1" w:styleId="PageNumbers">
    <w:name w:val="Page Numbers"/>
    <w:basedOn w:val="a0"/>
    <w:rPr>
      <w:shd w:val="clear" w:color="auto" w:fill="FFEDF0"/>
    </w:rPr>
  </w:style>
  <w:style w:type="paragraph" w:customStyle="1" w:styleId="Correspondence">
    <w:name w:val="Correspondence"/>
    <w:basedOn w:val="a"/>
    <w:pPr>
      <w:shd w:val="clear" w:color="auto" w:fill="F3F7F9"/>
      <w:spacing w:before="240" w:after="120" w:line="396" w:lineRule="auto"/>
      <w:ind w:left="400" w:hanging="400"/>
      <w:jc w:val="left"/>
    </w:pPr>
    <w:rPr>
      <w:rFonts w:ascii="Calibri" w:eastAsia="Calibri" w:hAnsi="Calibri" w:cs="Calibri"/>
      <w:shd w:val="clear" w:color="auto" w:fill="F3F7F9"/>
    </w:rPr>
  </w:style>
  <w:style w:type="character" w:customStyle="1" w:styleId="Organization">
    <w:name w:val="Organization"/>
    <w:basedOn w:val="a0"/>
    <w:rPr>
      <w:shd w:val="clear" w:color="auto" w:fill="D1FFB5"/>
    </w:rPr>
  </w:style>
  <w:style w:type="character" w:customStyle="1" w:styleId="GrantID">
    <w:name w:val="Grant ID"/>
    <w:basedOn w:val="a0"/>
    <w:rPr>
      <w:shd w:val="clear" w:color="auto" w:fill="DDA5FF"/>
    </w:rPr>
  </w:style>
  <w:style w:type="paragraph" w:customStyle="1" w:styleId="TableNote">
    <w:name w:val="Table Note"/>
    <w:basedOn w:val="a"/>
    <w:rPr>
      <w:rFonts w:ascii="Calibri" w:eastAsia="Calibri" w:hAnsi="Calibri" w:cs="Calibri"/>
      <w:sz w:val="18"/>
    </w:rPr>
  </w:style>
  <w:style w:type="paragraph" w:customStyle="1" w:styleId="Note">
    <w:name w:val="Note"/>
    <w:basedOn w:val="a"/>
    <w:pPr>
      <w:shd w:val="clear" w:color="auto" w:fill="EDF0FF"/>
      <w:spacing w:line="432" w:lineRule="auto"/>
    </w:pPr>
    <w:rPr>
      <w:rFonts w:ascii="Calibri" w:eastAsia="Calibri" w:hAnsi="Calibri" w:cs="Calibri"/>
      <w:shd w:val="clear" w:color="auto" w:fill="EDF0FF"/>
    </w:rPr>
  </w:style>
  <w:style w:type="paragraph" w:styleId="af0">
    <w:name w:val="footnote text"/>
    <w:basedOn w:val="a"/>
    <w:rPr>
      <w:rFonts w:ascii="Calibri" w:eastAsia="Calibri" w:hAnsi="Calibri" w:cs="Calibri"/>
    </w:rPr>
  </w:style>
  <w:style w:type="paragraph" w:customStyle="1" w:styleId="Biography">
    <w:name w:val="Biography"/>
    <w:basedOn w:val="a"/>
    <w:pPr>
      <w:shd w:val="clear" w:color="auto" w:fill="EEFEF4"/>
      <w:spacing w:after="160" w:line="396" w:lineRule="auto"/>
    </w:pPr>
    <w:rPr>
      <w:rFonts w:ascii="Calibri" w:eastAsia="Calibri" w:hAnsi="Calibri" w:cs="Calibri"/>
      <w:shd w:val="clear" w:color="auto" w:fill="EEFEF4"/>
    </w:rPr>
  </w:style>
  <w:style w:type="character" w:customStyle="1" w:styleId="IssueNumber">
    <w:name w:val="Issue Number"/>
    <w:basedOn w:val="a0"/>
    <w:rPr>
      <w:shd w:val="clear" w:color="auto" w:fill="CDD5FF"/>
    </w:rPr>
  </w:style>
  <w:style w:type="character" w:customStyle="1" w:styleId="GlossaryTerm">
    <w:name w:val="Glossary Term"/>
    <w:basedOn w:val="a0"/>
    <w:rPr>
      <w:shd w:val="clear" w:color="auto" w:fill="FFCFD7"/>
    </w:rPr>
  </w:style>
  <w:style w:type="character" w:styleId="af1">
    <w:name w:val="Hyperlink"/>
    <w:basedOn w:val="a0"/>
    <w:rPr>
      <w:color w:val="0563C1"/>
    </w:rPr>
  </w:style>
  <w:style w:type="paragraph" w:styleId="51">
    <w:name w:val="List 5"/>
    <w:basedOn w:val="a"/>
    <w:pPr>
      <w:spacing w:line="360" w:lineRule="auto"/>
      <w:ind w:left="1800" w:hanging="400"/>
    </w:pPr>
    <w:rPr>
      <w:rFonts w:ascii="Calibri" w:eastAsia="Calibri" w:hAnsi="Calibri" w:cs="Calibri"/>
      <w:sz w:val="22"/>
    </w:rPr>
  </w:style>
  <w:style w:type="character" w:customStyle="1" w:styleId="Region">
    <w:name w:val="Region"/>
    <w:basedOn w:val="a0"/>
    <w:rPr>
      <w:shd w:val="clear" w:color="auto" w:fill="D8E9EE"/>
    </w:rPr>
  </w:style>
  <w:style w:type="character" w:customStyle="1" w:styleId="Label">
    <w:name w:val="Label"/>
    <w:basedOn w:val="a0"/>
    <w:rPr>
      <w:shd w:val="clear" w:color="auto" w:fill="FFC391"/>
      <w:vertAlign w:val="baseline"/>
    </w:rPr>
  </w:style>
  <w:style w:type="paragraph" w:customStyle="1" w:styleId="TableBody">
    <w:name w:val="Table Body"/>
    <w:basedOn w:val="a"/>
    <w:pPr>
      <w:spacing w:after="160" w:line="396" w:lineRule="auto"/>
      <w:jc w:val="left"/>
    </w:pPr>
    <w:rPr>
      <w:rFonts w:ascii="Calibri" w:eastAsia="Calibri" w:hAnsi="Calibri" w:cs="Calibri"/>
    </w:rPr>
  </w:style>
  <w:style w:type="character" w:customStyle="1" w:styleId="City">
    <w:name w:val="City"/>
    <w:basedOn w:val="a0"/>
    <w:rPr>
      <w:shd w:val="clear" w:color="auto" w:fill="D7D7D7"/>
    </w:rPr>
  </w:style>
  <w:style w:type="character" w:customStyle="1" w:styleId="Edition">
    <w:name w:val="Edition"/>
    <w:basedOn w:val="a0"/>
    <w:rPr>
      <w:shd w:val="clear" w:color="auto" w:fill="FFF6A4"/>
    </w:rPr>
  </w:style>
  <w:style w:type="character" w:customStyle="1" w:styleId="Heading">
    <w:name w:val="Heading:"/>
    <w:basedOn w:val="a0"/>
    <w:rPr>
      <w:color w:val="5B89C1"/>
    </w:rPr>
  </w:style>
  <w:style w:type="character" w:customStyle="1" w:styleId="GeneSequence">
    <w:name w:val="Gene Sequence"/>
    <w:basedOn w:val="a0"/>
    <w:rPr>
      <w:shd w:val="clear" w:color="auto" w:fill="FFCDF2"/>
    </w:rPr>
  </w:style>
  <w:style w:type="paragraph" w:customStyle="1" w:styleId="QuotationSource">
    <w:name w:val="Quotation Source"/>
    <w:basedOn w:val="a"/>
    <w:pPr>
      <w:spacing w:after="170" w:line="360" w:lineRule="auto"/>
      <w:ind w:left="1200"/>
      <w:jc w:val="right"/>
    </w:pPr>
    <w:rPr>
      <w:rFonts w:ascii="Calibri" w:eastAsia="Calibri" w:hAnsi="Calibri" w:cs="Calibri"/>
      <w:sz w:val="22"/>
    </w:rPr>
  </w:style>
  <w:style w:type="paragraph" w:customStyle="1" w:styleId="Reference">
    <w:name w:val="Reference"/>
    <w:basedOn w:val="a"/>
    <w:pPr>
      <w:spacing w:after="320" w:line="360" w:lineRule="auto"/>
      <w:ind w:left="400" w:hanging="400"/>
    </w:pPr>
    <w:rPr>
      <w:rFonts w:ascii="Calibri" w:eastAsia="Calibri" w:hAnsi="Calibri" w:cs="Calibri"/>
      <w:sz w:val="22"/>
    </w:rPr>
  </w:style>
  <w:style w:type="paragraph" w:styleId="af2">
    <w:name w:val="List"/>
    <w:basedOn w:val="a"/>
    <w:pPr>
      <w:spacing w:line="360" w:lineRule="auto"/>
      <w:ind w:left="400" w:hanging="400"/>
    </w:pPr>
    <w:rPr>
      <w:rFonts w:ascii="Calibri" w:eastAsia="Calibri" w:hAnsi="Calibri" w:cs="Calibri"/>
      <w:sz w:val="22"/>
    </w:rPr>
  </w:style>
  <w:style w:type="character" w:customStyle="1" w:styleId="Source">
    <w:name w:val="Source"/>
    <w:basedOn w:val="a0"/>
    <w:rPr>
      <w:shd w:val="clear" w:color="auto" w:fill="C1EDFF"/>
    </w:rPr>
  </w:style>
  <w:style w:type="paragraph" w:customStyle="1" w:styleId="Formula">
    <w:name w:val="Formula"/>
    <w:basedOn w:val="a"/>
    <w:pPr>
      <w:shd w:val="clear" w:color="auto" w:fill="FFF5ED"/>
      <w:spacing w:before="120" w:after="120" w:line="360" w:lineRule="auto"/>
      <w:jc w:val="left"/>
    </w:pPr>
    <w:rPr>
      <w:rFonts w:ascii="Calibri" w:eastAsia="Calibri" w:hAnsi="Calibri" w:cs="Calibri"/>
      <w:sz w:val="22"/>
      <w:shd w:val="clear" w:color="auto" w:fill="FFF5ED"/>
    </w:rPr>
  </w:style>
  <w:style w:type="character" w:customStyle="1" w:styleId="Conference">
    <w:name w:val="Conference"/>
    <w:basedOn w:val="a0"/>
    <w:rPr>
      <w:shd w:val="clear" w:color="auto" w:fill="FFAFBC"/>
    </w:rPr>
  </w:style>
  <w:style w:type="paragraph" w:customStyle="1" w:styleId="Statement">
    <w:name w:val="Statement"/>
    <w:basedOn w:val="a"/>
    <w:pPr>
      <w:ind w:left="900"/>
    </w:pPr>
    <w:rPr>
      <w:rFonts w:ascii="Calibri" w:eastAsia="Calibri" w:hAnsi="Calibri" w:cs="Calibri"/>
      <w:sz w:val="22"/>
    </w:rPr>
  </w:style>
  <w:style w:type="paragraph" w:customStyle="1" w:styleId="Surtitle">
    <w:name w:val="Surtitle"/>
    <w:basedOn w:val="a"/>
    <w:qFormat/>
    <w:pPr>
      <w:spacing w:after="160" w:line="208" w:lineRule="auto"/>
      <w:jc w:val="left"/>
    </w:pPr>
    <w:rPr>
      <w:rFonts w:ascii="Calibri" w:eastAsia="Calibri" w:hAnsi="Calibri" w:cs="Calibri"/>
      <w:sz w:val="38"/>
    </w:rPr>
  </w:style>
  <w:style w:type="character" w:customStyle="1" w:styleId="Cross-reference">
    <w:name w:val="Cross-reference"/>
    <w:basedOn w:val="a0"/>
    <w:rPr>
      <w:shd w:val="clear" w:color="auto" w:fill="FFE3C9"/>
    </w:rPr>
  </w:style>
  <w:style w:type="character" w:customStyle="1" w:styleId="GivenName">
    <w:name w:val="Given Name"/>
    <w:basedOn w:val="a0"/>
    <w:rPr>
      <w:shd w:val="clear" w:color="auto" w:fill="D0FCE2"/>
    </w:rPr>
  </w:style>
  <w:style w:type="paragraph" w:styleId="af3">
    <w:name w:val="Block Text"/>
    <w:basedOn w:val="a"/>
    <w:pPr>
      <w:spacing w:after="160" w:line="360" w:lineRule="auto"/>
      <w:ind w:left="1200"/>
    </w:pPr>
    <w:rPr>
      <w:rFonts w:ascii="Calibri" w:eastAsia="Calibri" w:hAnsi="Calibri" w:cs="Calibri"/>
      <w:sz w:val="22"/>
    </w:rPr>
  </w:style>
  <w:style w:type="paragraph" w:customStyle="1" w:styleId="Copyright">
    <w:name w:val="Copyright"/>
    <w:basedOn w:val="a"/>
    <w:pPr>
      <w:shd w:val="clear" w:color="auto" w:fill="E9F9FF"/>
    </w:pPr>
    <w:rPr>
      <w:rFonts w:ascii="Calibri" w:eastAsia="Calibri" w:hAnsi="Calibri" w:cs="Calibri"/>
      <w:sz w:val="18"/>
      <w:shd w:val="clear" w:color="auto" w:fill="E9F9FF"/>
    </w:rPr>
  </w:style>
  <w:style w:type="paragraph" w:customStyle="1" w:styleId="Authors">
    <w:name w:val="Authors"/>
    <w:basedOn w:val="a"/>
    <w:pPr>
      <w:spacing w:before="360" w:after="120" w:line="283" w:lineRule="auto"/>
      <w:jc w:val="left"/>
    </w:pPr>
    <w:rPr>
      <w:rFonts w:ascii="Calibri" w:eastAsia="Calibri" w:hAnsi="Calibri" w:cs="Calibri"/>
      <w:sz w:val="28"/>
    </w:rPr>
  </w:style>
  <w:style w:type="character" w:customStyle="1" w:styleId="Postcode">
    <w:name w:val="Postcode"/>
    <w:basedOn w:val="a0"/>
    <w:rPr>
      <w:shd w:val="clear" w:color="auto" w:fill="BEBEBE"/>
    </w:rPr>
  </w:style>
  <w:style w:type="paragraph" w:customStyle="1" w:styleId="TableList">
    <w:name w:val="Table List"/>
    <w:basedOn w:val="a"/>
    <w:pPr>
      <w:ind w:left="300" w:hanging="300"/>
      <w:jc w:val="left"/>
    </w:pPr>
  </w:style>
  <w:style w:type="character" w:customStyle="1" w:styleId="Year">
    <w:name w:val="Year"/>
    <w:basedOn w:val="a0"/>
    <w:rPr>
      <w:shd w:val="clear" w:color="auto" w:fill="FFF9C9"/>
    </w:rPr>
  </w:style>
  <w:style w:type="paragraph" w:customStyle="1" w:styleId="List8">
    <w:name w:val="List 8"/>
    <w:basedOn w:val="a"/>
    <w:pPr>
      <w:spacing w:line="360" w:lineRule="auto"/>
      <w:ind w:left="1980" w:hanging="400"/>
    </w:pPr>
    <w:rPr>
      <w:rFonts w:ascii="Calibri" w:eastAsia="Calibri" w:hAnsi="Calibri" w:cs="Calibri"/>
      <w:sz w:val="22"/>
    </w:rPr>
  </w:style>
  <w:style w:type="paragraph" w:customStyle="1" w:styleId="List7">
    <w:name w:val="List 7"/>
    <w:basedOn w:val="a"/>
    <w:pPr>
      <w:spacing w:line="360" w:lineRule="auto"/>
      <w:ind w:left="1920" w:hanging="400"/>
    </w:pPr>
    <w:rPr>
      <w:rFonts w:ascii="Calibri" w:eastAsia="Calibri" w:hAnsi="Calibri" w:cs="Calibri"/>
      <w:sz w:val="22"/>
    </w:rPr>
  </w:style>
  <w:style w:type="paragraph" w:styleId="41">
    <w:name w:val="List 4"/>
    <w:basedOn w:val="a"/>
    <w:pPr>
      <w:spacing w:line="360" w:lineRule="auto"/>
      <w:ind w:left="1600" w:hanging="400"/>
    </w:pPr>
    <w:rPr>
      <w:rFonts w:ascii="Calibri" w:eastAsia="Calibri" w:hAnsi="Calibri" w:cs="Calibri"/>
      <w:sz w:val="22"/>
    </w:rPr>
  </w:style>
  <w:style w:type="paragraph" w:customStyle="1" w:styleId="Quotation">
    <w:name w:val="Quotation"/>
    <w:basedOn w:val="a"/>
    <w:pPr>
      <w:spacing w:after="160" w:line="360" w:lineRule="auto"/>
      <w:ind w:left="1200" w:right="1200"/>
    </w:pPr>
    <w:rPr>
      <w:rFonts w:ascii="Calibri" w:eastAsia="Calibri" w:hAnsi="Calibri" w:cs="Calibri"/>
      <w:sz w:val="22"/>
    </w:rPr>
  </w:style>
  <w:style w:type="paragraph" w:customStyle="1" w:styleId="Acknowledgements">
    <w:name w:val="Acknowledgements"/>
    <w:basedOn w:val="a"/>
    <w:pPr>
      <w:shd w:val="clear" w:color="auto" w:fill="F9EDFF"/>
      <w:spacing w:after="160" w:line="396" w:lineRule="auto"/>
    </w:pPr>
    <w:rPr>
      <w:rFonts w:ascii="Calibri" w:eastAsia="Calibri" w:hAnsi="Calibri" w:cs="Calibri"/>
      <w:shd w:val="clear" w:color="auto" w:fill="F9EDFF"/>
    </w:rPr>
  </w:style>
  <w:style w:type="paragraph" w:customStyle="1" w:styleId="ChapterNumber">
    <w:name w:val="Chapter Number"/>
    <w:basedOn w:val="a"/>
    <w:rPr>
      <w:rFonts w:ascii="Calibri" w:eastAsia="Calibri" w:hAnsi="Calibri" w:cs="Calibri"/>
    </w:rPr>
  </w:style>
  <w:style w:type="character" w:customStyle="1" w:styleId="Country">
    <w:name w:val="Country"/>
    <w:basedOn w:val="a0"/>
    <w:rPr>
      <w:shd w:val="clear" w:color="auto" w:fill="97C5D1"/>
    </w:rPr>
  </w:style>
  <w:style w:type="paragraph" w:customStyle="1" w:styleId="Affiliation">
    <w:name w:val="Affiliation"/>
    <w:basedOn w:val="a"/>
    <w:pPr>
      <w:shd w:val="clear" w:color="auto" w:fill="F4FFED"/>
      <w:spacing w:before="240" w:after="120" w:line="396" w:lineRule="auto"/>
      <w:ind w:left="400" w:hanging="400"/>
      <w:jc w:val="left"/>
    </w:pPr>
    <w:rPr>
      <w:rFonts w:ascii="Calibri" w:eastAsia="Calibri" w:hAnsi="Calibri" w:cs="Calibri"/>
      <w:shd w:val="clear" w:color="auto" w:fill="F4FFED"/>
    </w:rPr>
  </w:style>
  <w:style w:type="paragraph" w:customStyle="1" w:styleId="Glossary">
    <w:name w:val="Glossary"/>
    <w:basedOn w:val="a"/>
    <w:pPr>
      <w:shd w:val="clear" w:color="auto" w:fill="FFEDF0"/>
      <w:spacing w:before="120" w:after="120" w:line="432" w:lineRule="auto"/>
    </w:pPr>
    <w:rPr>
      <w:rFonts w:ascii="Calibri" w:eastAsia="Calibri" w:hAnsi="Calibri" w:cs="Calibri"/>
      <w:shd w:val="clear" w:color="auto" w:fill="FFEDF0"/>
    </w:rPr>
  </w:style>
  <w:style w:type="character" w:customStyle="1" w:styleId="Location">
    <w:name w:val="Location"/>
    <w:basedOn w:val="a0"/>
    <w:rPr>
      <w:shd w:val="clear" w:color="auto" w:fill="F9EDFF"/>
    </w:rPr>
  </w:style>
  <w:style w:type="paragraph" w:customStyle="1" w:styleId="TableHead">
    <w:name w:val="Table Head"/>
    <w:basedOn w:val="a"/>
    <w:pPr>
      <w:shd w:val="clear" w:color="auto" w:fill="FFEDFA"/>
      <w:jc w:val="left"/>
    </w:pPr>
    <w:rPr>
      <w:rFonts w:ascii="Calibri" w:eastAsia="Calibri" w:hAnsi="Calibri" w:cs="Calibri"/>
      <w:shd w:val="clear" w:color="auto" w:fill="FFEDFA"/>
    </w:rPr>
  </w:style>
  <w:style w:type="character" w:customStyle="1" w:styleId="ArticleTitle">
    <w:name w:val="Article Title"/>
    <w:basedOn w:val="a0"/>
    <w:qFormat/>
    <w:rPr>
      <w:shd w:val="clear" w:color="auto" w:fill="E9F9FF"/>
    </w:rPr>
  </w:style>
  <w:style w:type="paragraph" w:styleId="31">
    <w:name w:val="List 3"/>
    <w:basedOn w:val="a"/>
    <w:pPr>
      <w:spacing w:line="360" w:lineRule="auto"/>
      <w:ind w:left="1200" w:hanging="400"/>
    </w:pPr>
    <w:rPr>
      <w:rFonts w:ascii="Calibri" w:eastAsia="Calibri" w:hAnsi="Calibri" w:cs="Calibri"/>
      <w:sz w:val="22"/>
    </w:rPr>
  </w:style>
  <w:style w:type="paragraph" w:customStyle="1" w:styleId="Keywords">
    <w:name w:val="Keywords"/>
    <w:basedOn w:val="a"/>
    <w:pPr>
      <w:spacing w:line="396" w:lineRule="auto"/>
      <w:ind w:left="1000"/>
      <w:jc w:val="left"/>
    </w:pPr>
    <w:rPr>
      <w:rFonts w:ascii="Calibri" w:eastAsia="Calibri" w:hAnsi="Calibri" w:cs="Calibri"/>
    </w:rPr>
  </w:style>
  <w:style w:type="character" w:customStyle="1" w:styleId="Miscellaneous">
    <w:name w:val="Miscellaneous"/>
    <w:basedOn w:val="a0"/>
    <w:rPr>
      <w:shd w:val="clear" w:color="auto" w:fill="F0F0F0"/>
    </w:rPr>
  </w:style>
  <w:style w:type="paragraph" w:styleId="21">
    <w:name w:val="List 2"/>
    <w:basedOn w:val="a"/>
    <w:pPr>
      <w:spacing w:line="360" w:lineRule="auto"/>
      <w:ind w:left="800" w:hanging="400"/>
    </w:pPr>
    <w:rPr>
      <w:rFonts w:ascii="Calibri" w:eastAsia="Calibri" w:hAnsi="Calibri" w:cs="Calibri"/>
      <w:sz w:val="22"/>
    </w:rPr>
  </w:style>
  <w:style w:type="paragraph" w:styleId="af4">
    <w:name w:val="endnote text"/>
    <w:basedOn w:val="a"/>
    <w:rPr>
      <w:rFonts w:ascii="Calibri" w:eastAsia="Calibri" w:hAnsi="Calibri" w:cs="Calibri"/>
    </w:rPr>
  </w:style>
  <w:style w:type="paragraph" w:customStyle="1" w:styleId="Annotation">
    <w:name w:val="Annotation"/>
    <w:basedOn w:val="a"/>
    <w:pPr>
      <w:spacing w:after="160" w:line="360" w:lineRule="auto"/>
      <w:ind w:left="400"/>
      <w:jc w:val="left"/>
    </w:pPr>
    <w:rPr>
      <w:rFonts w:ascii="Calibri" w:eastAsia="Calibri" w:hAnsi="Calibri" w:cs="Calibri"/>
      <w:sz w:val="22"/>
    </w:rPr>
  </w:style>
  <w:style w:type="character" w:customStyle="1" w:styleId="Publisher">
    <w:name w:val="Publisher"/>
    <w:basedOn w:val="a0"/>
    <w:rPr>
      <w:shd w:val="clear" w:color="auto" w:fill="F2DDFF"/>
    </w:rPr>
  </w:style>
  <w:style w:type="paragraph" w:customStyle="1" w:styleId="List6">
    <w:name w:val="List 6"/>
    <w:basedOn w:val="a"/>
    <w:pPr>
      <w:spacing w:line="360" w:lineRule="auto"/>
      <w:ind w:left="1860" w:hanging="400"/>
    </w:pPr>
    <w:rPr>
      <w:rFonts w:ascii="Calibri" w:eastAsia="Calibri" w:hAnsi="Calibri" w:cs="Calibri"/>
      <w:sz w:val="22"/>
    </w:rPr>
  </w:style>
  <w:style w:type="paragraph" w:styleId="af5">
    <w:name w:val="caption"/>
    <w:basedOn w:val="a"/>
    <w:pPr>
      <w:shd w:val="clear" w:color="auto" w:fill="FFF5ED"/>
      <w:spacing w:before="240" w:line="349" w:lineRule="auto"/>
    </w:pPr>
    <w:rPr>
      <w:rFonts w:ascii="Calibri" w:eastAsia="Calibri" w:hAnsi="Calibri" w:cs="Calibri"/>
      <w:sz w:val="22"/>
      <w:shd w:val="clear" w:color="auto" w:fill="FFF5ED"/>
    </w:rPr>
  </w:style>
  <w:style w:type="paragraph" w:customStyle="1" w:styleId="AbstractSubheading">
    <w:name w:val="Abstract Subheading"/>
    <w:basedOn w:val="a"/>
    <w:next w:val="a"/>
    <w:pPr>
      <w:keepNext/>
      <w:keepLines/>
      <w:numPr>
        <w:ilvl w:val="8"/>
      </w:numPr>
      <w:ind w:left="1440"/>
      <w:outlineLvl w:val="8"/>
    </w:pPr>
    <w:rPr>
      <w:sz w:val="22"/>
    </w:rPr>
  </w:style>
  <w:style w:type="paragraph" w:customStyle="1" w:styleId="List9">
    <w:name w:val="List 9"/>
    <w:basedOn w:val="a"/>
    <w:pPr>
      <w:ind w:left="1200" w:hanging="600"/>
    </w:pPr>
    <w:rPr>
      <w:rFonts w:ascii="Times New Roman" w:eastAsia="Times New Roman" w:hAnsi="Times New Roman" w:cs="Times New Roman"/>
      <w:sz w:val="22"/>
    </w:rPr>
  </w:style>
  <w:style w:type="paragraph" w:customStyle="1" w:styleId="List1">
    <w:name w:val="List 1"/>
    <w:basedOn w:val="a"/>
    <w:pPr>
      <w:ind w:left="1200" w:hanging="600"/>
    </w:pPr>
    <w:rPr>
      <w:rFonts w:ascii="Times New Roman" w:eastAsia="Times New Roman" w:hAnsi="Times New Roman" w:cs="Times New Roman"/>
      <w:sz w:val="22"/>
    </w:rPr>
  </w:style>
  <w:style w:type="paragraph" w:styleId="af6">
    <w:name w:val="Revision"/>
    <w:hidden/>
    <w:uiPriority w:val="99"/>
    <w:rsid w:val="00586914"/>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46</TotalTime>
  <Pages>7</Pages>
  <Words>1100</Words>
  <Characters>6944</Characters>
  <Application>Microsoft Office Word</Application>
  <DocSecurity>0</DocSecurity>
  <Lines>315</Lines>
  <Paragraphs>251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도근 이</cp:lastModifiedBy>
  <cp:revision>12</cp:revision>
  <dcterms:created xsi:type="dcterms:W3CDTF">2025-08-11T11:17:00Z</dcterms:created>
  <dcterms:modified xsi:type="dcterms:W3CDTF">2026-04-24T08:21:00Z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eptedDate">
    <vt:lpwstr/>
  </property>
  <property fmtid="{D5CDD505-2E9C-101B-9397-08002B2CF9AE}" pid="3" name="DOI">
    <vt:lpwstr/>
  </property>
  <property fmtid="{D5CDD505-2E9C-101B-9397-08002B2CF9AE}" pid="4" name="epub">
    <vt:lpwstr/>
  </property>
  <property fmtid="{D5CDD505-2E9C-101B-9397-08002B2CF9AE}" pid="5" name="JournalID">
    <vt:lpwstr/>
  </property>
  <property fmtid="{D5CDD505-2E9C-101B-9397-08002B2CF9AE}" pid="6" name="Merops -Original extension">
    <vt:lpwstr>docx</vt:lpwstr>
  </property>
  <property fmtid="{D5CDD505-2E9C-101B-9397-08002B2CF9AE}" pid="7" name="Merops change count">
    <vt:lpwstr>4</vt:lpwstr>
  </property>
  <property fmtid="{D5CDD505-2E9C-101B-9397-08002B2CF9AE}" pid="8" name="Merops client version">
    <vt:lpwstr/>
  </property>
  <property fmtid="{D5CDD505-2E9C-101B-9397-08002B2CF9AE}" pid="9" name="Merops comment count">
    <vt:lpwstr>3</vt:lpwstr>
  </property>
  <property fmtid="{D5CDD505-2E9C-101B-9397-08002B2CF9AE}" pid="10" name="Merops DOI links count">
    <vt:lpwstr>0</vt:lpwstr>
  </property>
  <property fmtid="{D5CDD505-2E9C-101B-9397-08002B2CF9AE}" pid="11" name="Merops email addresses count">
    <vt:lpwstr>0</vt:lpwstr>
  </property>
  <property fmtid="{D5CDD505-2E9C-101B-9397-08002B2CF9AE}" pid="12" name="Merops figures count">
    <vt:lpwstr>3</vt:lpwstr>
  </property>
  <property fmtid="{D5CDD505-2E9C-101B-9397-08002B2CF9AE}" pid="13" name="Merops footnotes/endnotes count">
    <vt:lpwstr>0</vt:lpwstr>
  </property>
  <property fmtid="{D5CDD505-2E9C-101B-9397-08002B2CF9AE}" pid="14" name="Merops graphics count">
    <vt:lpwstr>3</vt:lpwstr>
  </property>
  <property fmtid="{D5CDD505-2E9C-101B-9397-08002B2CF9AE}" pid="15" name="Merops input file path">
    <vt:lpwstr>807e836b-ce69-4c5c-bb5c-ce6202f6b780.docx</vt:lpwstr>
  </property>
  <property fmtid="{D5CDD505-2E9C-101B-9397-08002B2CF9AE}" pid="16" name="Merops intra-document links count">
    <vt:lpwstr>0</vt:lpwstr>
  </property>
  <property fmtid="{D5CDD505-2E9C-101B-9397-08002B2CF9AE}" pid="17" name="Merops item path">
    <vt:lpwstr>MG-Session/On-20250808/I:6f346690-3699-45a8-aa2b-141ef792c611</vt:lpwstr>
  </property>
  <property fmtid="{D5CDD505-2E9C-101B-9397-08002B2CF9AE}" pid="18" name="Merops processed date">
    <vt:lpwstr>2025/08/08 01:50:02 AM</vt:lpwstr>
  </property>
  <property fmtid="{D5CDD505-2E9C-101B-9397-08002B2CF9AE}" pid="19" name="Merops PubMed links count">
    <vt:lpwstr>0</vt:lpwstr>
  </property>
  <property fmtid="{D5CDD505-2E9C-101B-9397-08002B2CF9AE}" pid="20" name="Merops references count">
    <vt:lpwstr>0</vt:lpwstr>
  </property>
  <property fmtid="{D5CDD505-2E9C-101B-9397-08002B2CF9AE}" pid="21" name="Merops Scopus links count">
    <vt:lpwstr>0</vt:lpwstr>
  </property>
  <property fmtid="{D5CDD505-2E9C-101B-9397-08002B2CF9AE}" pid="22" name="Merops server path">
    <vt:lpwstr/>
  </property>
  <property fmtid="{D5CDD505-2E9C-101B-9397-08002B2CF9AE}" pid="23" name="Merops Standard Set">
    <vt:lpwstr>merops/preset-v1/nature-publishing-group-vancouver</vt:lpwstr>
  </property>
  <property fmtid="{D5CDD505-2E9C-101B-9397-08002B2CF9AE}" pid="24" name="Merops Standard Set modified">
    <vt:lpwstr/>
  </property>
  <property fmtid="{D5CDD505-2E9C-101B-9397-08002B2CF9AE}" pid="25" name="Merops tables count">
    <vt:lpwstr>2</vt:lpwstr>
  </property>
  <property fmtid="{D5CDD505-2E9C-101B-9397-08002B2CF9AE}" pid="26" name="Merops word count">
    <vt:lpwstr>411</vt:lpwstr>
  </property>
  <property fmtid="{D5CDD505-2E9C-101B-9397-08002B2CF9AE}" pid="27" name="Merops WorldCat links count">
    <vt:lpwstr>0</vt:lpwstr>
  </property>
  <property fmtid="{D5CDD505-2E9C-101B-9397-08002B2CF9AE}" pid="28" name="ppub">
    <vt:lpwstr/>
  </property>
  <property fmtid="{D5CDD505-2E9C-101B-9397-08002B2CF9AE}" pid="29" name="Publisher">
    <vt:lpwstr/>
  </property>
  <property fmtid="{D5CDD505-2E9C-101B-9397-08002B2CF9AE}" pid="30" name="Publisher-location">
    <vt:lpwstr/>
  </property>
  <property fmtid="{D5CDD505-2E9C-101B-9397-08002B2CF9AE}" pid="31" name="ReceivedDate">
    <vt:lpwstr/>
  </property>
  <property fmtid="{D5CDD505-2E9C-101B-9397-08002B2CF9AE}" pid="32" name="Reference citation style">
    <vt:lpwstr>numerical</vt:lpwstr>
  </property>
  <property fmtid="{D5CDD505-2E9C-101B-9397-08002B2CF9AE}" pid="33" name="Source">
    <vt:lpwstr/>
  </property>
  <property fmtid="{D5CDD505-2E9C-101B-9397-08002B2CF9AE}" pid="34" name="Source-abbreviated">
    <vt:lpwstr/>
  </property>
  <property fmtid="{D5CDD505-2E9C-101B-9397-08002B2CF9AE}" pid="35" name="Source-short">
    <vt:lpwstr/>
  </property>
  <property fmtid="{D5CDD505-2E9C-101B-9397-08002B2CF9AE}" pid="36" name="Subject">
    <vt:lpwstr/>
  </property>
</Properties>
</file>