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B70A0" w14:textId="77777777" w:rsidR="00EF7524" w:rsidRDefault="00EF7524" w:rsidP="00EF7524">
      <w:pPr>
        <w:jc w:val="left"/>
        <w:rPr>
          <w:rFonts w:ascii="Times New Roman" w:eastAsia="ＭＳ 明朝" w:hAnsi="Times New Roman" w:cs="Times New Roman"/>
          <w:b/>
          <w:sz w:val="28"/>
          <w:szCs w:val="28"/>
          <w:lang w:val="en-GB"/>
        </w:rPr>
      </w:pPr>
      <w:bookmarkStart w:id="0" w:name="_Hlk83042048"/>
    </w:p>
    <w:p w14:paraId="058EF79A" w14:textId="7165FC42" w:rsidR="00EF7524" w:rsidRPr="00EF7524" w:rsidRDefault="00EF7524" w:rsidP="00EF7524">
      <w:pPr>
        <w:jc w:val="left"/>
        <w:rPr>
          <w:rFonts w:ascii="Times New Roman" w:eastAsia="ＭＳ 明朝" w:hAnsi="Times New Roman" w:cs="Times New Roman"/>
          <w:b/>
          <w:sz w:val="28"/>
          <w:szCs w:val="28"/>
          <w:lang w:val="en-GB"/>
        </w:rPr>
      </w:pPr>
      <w:r w:rsidRPr="00EF7524">
        <w:rPr>
          <w:rFonts w:ascii="Times New Roman" w:eastAsia="ＭＳ 明朝" w:hAnsi="Times New Roman" w:cs="Times New Roman"/>
          <w:b/>
          <w:sz w:val="28"/>
          <w:szCs w:val="28"/>
          <w:lang w:val="en-GB"/>
        </w:rPr>
        <w:t>Usefulness of patency capsule prior to small-bowel capsule endoscopy in clinical practice: Validity of the modified method of patency judgement</w:t>
      </w:r>
    </w:p>
    <w:bookmarkEnd w:id="0"/>
    <w:p w14:paraId="58BD874A" w14:textId="77777777" w:rsidR="00EF7524" w:rsidRPr="00EF7524" w:rsidRDefault="00EF7524" w:rsidP="00EF7524">
      <w:pPr>
        <w:jc w:val="left"/>
        <w:rPr>
          <w:rFonts w:ascii="Times New Roman" w:eastAsia="ＭＳ 明朝" w:hAnsi="Times New Roman" w:cs="Times New Roman"/>
          <w:sz w:val="24"/>
          <w:szCs w:val="24"/>
          <w:lang w:val="en-GB"/>
        </w:rPr>
      </w:pPr>
    </w:p>
    <w:p w14:paraId="79FC127F" w14:textId="0A4CB83D" w:rsidR="00EF7524" w:rsidRPr="00EF7524" w:rsidRDefault="00EF7524" w:rsidP="00EF7524">
      <w:pPr>
        <w:jc w:val="left"/>
        <w:rPr>
          <w:rFonts w:ascii="Times New Roman" w:eastAsia="ＭＳ 明朝" w:hAnsi="Times New Roman" w:cs="Times New Roman"/>
          <w:sz w:val="24"/>
          <w:szCs w:val="24"/>
          <w:lang w:val="en-GB"/>
        </w:rPr>
      </w:pP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Takahiro Miyazu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1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, Satoshi Osawa</w:t>
      </w:r>
      <w:proofErr w:type="gramStart"/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2,*</w:t>
      </w:r>
      <w:proofErr w:type="gramEnd"/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, </w:t>
      </w:r>
      <w:bookmarkStart w:id="1" w:name="_Hlk513192936"/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Satoshi Tamura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2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, Shinya Tani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1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, </w:t>
      </w:r>
      <w:bookmarkEnd w:id="1"/>
      <w:proofErr w:type="spellStart"/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Natsuki</w:t>
      </w:r>
      <w:proofErr w:type="spellEnd"/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 Ishida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1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500257">
        <w:rPr>
          <w:rFonts w:ascii="Times New Roman" w:eastAsia="ＭＳ 明朝" w:hAnsi="Times New Roman" w:cs="Times New Roman"/>
          <w:sz w:val="24"/>
          <w:szCs w:val="24"/>
          <w:lang w:val="en-GB"/>
        </w:rPr>
        <w:t>Tomoharu</w:t>
      </w:r>
      <w:proofErr w:type="spellEnd"/>
      <w:r w:rsidR="00500257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 Matsuura</w:t>
      </w:r>
      <w:r w:rsidR="00500257" w:rsidRPr="00500257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1</w:t>
      </w:r>
      <w:r w:rsidR="00500257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, 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Mihoko Yamade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1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, Moriya Iwaizumi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3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, Yasushi Hamaya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1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, Takahisa Furuta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4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 and Ken Sugimoto</w:t>
      </w: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1</w:t>
      </w:r>
    </w:p>
    <w:p w14:paraId="565E9290" w14:textId="77777777" w:rsidR="00EF7524" w:rsidRPr="00EF7524" w:rsidRDefault="00EF7524" w:rsidP="00EF7524">
      <w:pPr>
        <w:jc w:val="left"/>
        <w:rPr>
          <w:rFonts w:ascii="Times New Roman" w:eastAsia="ＭＳ 明朝" w:hAnsi="Times New Roman" w:cs="Times New Roman"/>
          <w:sz w:val="24"/>
          <w:szCs w:val="24"/>
          <w:lang w:val="en-GB"/>
        </w:rPr>
      </w:pPr>
    </w:p>
    <w:p w14:paraId="0529850B" w14:textId="77777777" w:rsidR="00EF7524" w:rsidRPr="00EF7524" w:rsidRDefault="00EF7524" w:rsidP="00EF7524">
      <w:pPr>
        <w:jc w:val="left"/>
        <w:rPr>
          <w:rFonts w:ascii="Times New Roman" w:eastAsia="ＭＳ 明朝" w:hAnsi="Times New Roman" w:cs="Times New Roman"/>
          <w:sz w:val="24"/>
          <w:szCs w:val="24"/>
          <w:lang w:val="en-GB"/>
        </w:rPr>
      </w:pP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1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 First Department of Medicine, Hamamatsu University School of Medicine, Hamamatsu, Japan</w:t>
      </w:r>
    </w:p>
    <w:p w14:paraId="24E1AB99" w14:textId="77777777" w:rsidR="00EF7524" w:rsidRPr="00EF7524" w:rsidRDefault="00EF7524" w:rsidP="00EF7524">
      <w:pPr>
        <w:jc w:val="left"/>
        <w:rPr>
          <w:rFonts w:ascii="Times New Roman" w:eastAsia="ＭＳ 明朝" w:hAnsi="Times New Roman" w:cs="Times New Roman"/>
          <w:sz w:val="24"/>
          <w:szCs w:val="24"/>
          <w:lang w:val="en-GB"/>
        </w:rPr>
      </w:pP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2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 Department of Endoscopic and Photodynamic Medicine, Hamamatsu University School of Medicine, Hamamatsu, Japan</w:t>
      </w:r>
    </w:p>
    <w:p w14:paraId="0080D3B1" w14:textId="77777777" w:rsidR="00EF7524" w:rsidRPr="00EF7524" w:rsidRDefault="00EF7524" w:rsidP="00EF7524">
      <w:pPr>
        <w:jc w:val="left"/>
        <w:rPr>
          <w:rFonts w:ascii="Times New Roman" w:eastAsia="ＭＳ 明朝" w:hAnsi="Times New Roman" w:cs="Times New Roman"/>
          <w:sz w:val="24"/>
          <w:szCs w:val="24"/>
          <w:lang w:val="en-GB"/>
        </w:rPr>
      </w:pP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3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 Department of Laboratory Medicine, Hamamatsu University School of Medicine, Hamamatsu, Japan</w:t>
      </w:r>
    </w:p>
    <w:p w14:paraId="6945EF3C" w14:textId="77777777" w:rsidR="00EF7524" w:rsidRPr="00EF7524" w:rsidRDefault="00EF7524" w:rsidP="00EF7524">
      <w:pPr>
        <w:jc w:val="left"/>
        <w:rPr>
          <w:rFonts w:ascii="Times New Roman" w:eastAsia="ＭＳ 明朝" w:hAnsi="Times New Roman" w:cs="Times New Roman"/>
          <w:sz w:val="24"/>
          <w:szCs w:val="24"/>
          <w:lang w:val="en-GB"/>
        </w:rPr>
      </w:pPr>
      <w:r w:rsidRPr="00EF7524">
        <w:rPr>
          <w:rFonts w:ascii="Times New Roman" w:eastAsia="ＭＳ 明朝" w:hAnsi="Times New Roman" w:cs="Times New Roman"/>
          <w:sz w:val="24"/>
          <w:szCs w:val="24"/>
          <w:vertAlign w:val="superscript"/>
          <w:lang w:val="en-GB"/>
        </w:rPr>
        <w:t>4</w:t>
      </w:r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>Center</w:t>
      </w:r>
      <w:proofErr w:type="spellEnd"/>
      <w:r w:rsidRPr="00EF7524">
        <w:rPr>
          <w:rFonts w:ascii="Times New Roman" w:eastAsia="ＭＳ 明朝" w:hAnsi="Times New Roman" w:cs="Times New Roman"/>
          <w:sz w:val="24"/>
          <w:szCs w:val="24"/>
          <w:lang w:val="en-GB"/>
        </w:rPr>
        <w:t xml:space="preserve"> for Clinical Research, Hamamatsu University School of Medicine, Hamamatsu, Japan</w:t>
      </w:r>
    </w:p>
    <w:p w14:paraId="3AF7CB02" w14:textId="77777777" w:rsidR="00EF7524" w:rsidRPr="00EF7524" w:rsidRDefault="00EF7524" w:rsidP="00EF7524">
      <w:pPr>
        <w:widowControl/>
        <w:jc w:val="left"/>
        <w:rPr>
          <w:rFonts w:ascii="Times New Roman" w:eastAsia="ＭＳ 明朝" w:hAnsi="Times New Roman" w:cs="Times New Roman"/>
          <w:color w:val="000000"/>
          <w:sz w:val="24"/>
          <w:szCs w:val="24"/>
          <w:lang w:val="en-GB"/>
        </w:rPr>
      </w:pPr>
    </w:p>
    <w:p w14:paraId="4F33D47B" w14:textId="77777777" w:rsidR="00EF7524" w:rsidRPr="00EF7524" w:rsidRDefault="00EF7524" w:rsidP="00EF7524">
      <w:pPr>
        <w:widowControl/>
        <w:jc w:val="left"/>
        <w:rPr>
          <w:rFonts w:ascii="Times New Roman" w:eastAsia="ＭＳ 明朝" w:hAnsi="Times New Roman" w:cs="Times New Roman"/>
          <w:color w:val="000000"/>
          <w:sz w:val="24"/>
          <w:szCs w:val="24"/>
          <w:lang w:val="en-GB"/>
        </w:rPr>
      </w:pPr>
    </w:p>
    <w:p w14:paraId="126B5AD6" w14:textId="77777777" w:rsidR="00EF7524" w:rsidRPr="00EF7524" w:rsidRDefault="00EF7524" w:rsidP="00EF7524">
      <w:pPr>
        <w:widowControl/>
        <w:jc w:val="left"/>
        <w:rPr>
          <w:rFonts w:ascii="Times New Roman" w:eastAsia="ＭＳ 明朝" w:hAnsi="Times New Roman" w:cs="Times New Roman"/>
          <w:color w:val="000000"/>
          <w:sz w:val="24"/>
          <w:szCs w:val="24"/>
          <w:lang w:val="en-GB"/>
        </w:rPr>
      </w:pPr>
      <w:r w:rsidRPr="00EF7524">
        <w:rPr>
          <w:rFonts w:ascii="Times New Roman" w:eastAsia="ＭＳ 明朝" w:hAnsi="Times New Roman" w:cs="Times New Roman"/>
          <w:color w:val="000000"/>
          <w:sz w:val="24"/>
          <w:szCs w:val="24"/>
          <w:lang w:val="en-GB"/>
        </w:rPr>
        <w:br w:type="page"/>
      </w:r>
    </w:p>
    <w:p w14:paraId="3B8889A7" w14:textId="77777777" w:rsidR="00EF7524" w:rsidRPr="00EF7524" w:rsidRDefault="00EF7524" w:rsidP="00EF7524">
      <w:pPr>
        <w:widowControl/>
        <w:jc w:val="center"/>
        <w:rPr>
          <w:rFonts w:ascii="Times New Roman" w:eastAsia="ＭＳ 明朝" w:hAnsi="Times New Roman" w:cs="Times New Roman"/>
          <w:b/>
          <w:bCs/>
          <w:color w:val="000000"/>
          <w:sz w:val="32"/>
          <w:szCs w:val="32"/>
          <w:lang w:val="en-GB"/>
        </w:rPr>
      </w:pPr>
      <w:r w:rsidRPr="00EF7524">
        <w:rPr>
          <w:rFonts w:ascii="Times New Roman" w:eastAsia="ＭＳ 明朝" w:hAnsi="Times New Roman" w:cs="Times New Roman"/>
          <w:b/>
          <w:bCs/>
          <w:color w:val="000000"/>
          <w:sz w:val="32"/>
          <w:szCs w:val="32"/>
          <w:lang w:val="en-GB"/>
        </w:rPr>
        <w:lastRenderedPageBreak/>
        <w:t>Supplementary Information</w:t>
      </w:r>
    </w:p>
    <w:p w14:paraId="00159135" w14:textId="77777777" w:rsidR="00EF7524" w:rsidRPr="00EF7524" w:rsidRDefault="00EF7524" w:rsidP="00EF7524">
      <w:pPr>
        <w:widowControl/>
        <w:jc w:val="left"/>
        <w:rPr>
          <w:rFonts w:ascii="Times New Roman" w:eastAsia="ＭＳ 明朝" w:hAnsi="Times New Roman" w:cs="Times New Roman"/>
          <w:b/>
          <w:bCs/>
          <w:color w:val="000000"/>
          <w:sz w:val="24"/>
          <w:szCs w:val="24"/>
          <w:lang w:val="en-GB"/>
        </w:rPr>
      </w:pPr>
    </w:p>
    <w:p w14:paraId="567040F2" w14:textId="77777777" w:rsidR="00EF7524" w:rsidRPr="00EF7524" w:rsidRDefault="00EF7524" w:rsidP="00EF7524">
      <w:pPr>
        <w:widowControl/>
        <w:jc w:val="left"/>
        <w:rPr>
          <w:rFonts w:ascii="Times New Roman" w:eastAsia="ＭＳ 明朝" w:hAnsi="Times New Roman" w:cs="Times New Roman"/>
          <w:b/>
          <w:bCs/>
          <w:color w:val="000000"/>
          <w:sz w:val="24"/>
          <w:szCs w:val="24"/>
          <w:lang w:val="en-GB"/>
        </w:rPr>
      </w:pPr>
      <w:r w:rsidRPr="00EF7524">
        <w:rPr>
          <w:rFonts w:ascii="Times New Roman" w:eastAsia="ＭＳ 明朝" w:hAnsi="Times New Roman" w:cs="Times New Roman"/>
          <w:b/>
          <w:bCs/>
          <w:color w:val="000000"/>
          <w:sz w:val="24"/>
          <w:szCs w:val="24"/>
          <w:lang w:val="en-GB"/>
        </w:rPr>
        <w:t xml:space="preserve">Supplementary Table S1. List of patients judged to have no </w:t>
      </w:r>
      <w:proofErr w:type="gramStart"/>
      <w:r w:rsidRPr="00EF7524">
        <w:rPr>
          <w:rFonts w:ascii="Times New Roman" w:eastAsia="ＭＳ 明朝" w:hAnsi="Times New Roman" w:cs="Times New Roman"/>
          <w:b/>
          <w:bCs/>
          <w:color w:val="000000"/>
          <w:sz w:val="24"/>
          <w:szCs w:val="24"/>
          <w:lang w:val="en-GB"/>
        </w:rPr>
        <w:t>patency by patency</w:t>
      </w:r>
      <w:proofErr w:type="gramEnd"/>
      <w:r w:rsidRPr="00EF7524">
        <w:rPr>
          <w:rFonts w:ascii="Times New Roman" w:eastAsia="ＭＳ 明朝" w:hAnsi="Times New Roman" w:cs="Times New Roman"/>
          <w:b/>
          <w:bCs/>
          <w:color w:val="000000"/>
          <w:sz w:val="24"/>
          <w:szCs w:val="24"/>
          <w:lang w:val="en-GB"/>
        </w:rPr>
        <w:t xml:space="preserve"> test</w:t>
      </w:r>
    </w:p>
    <w:tbl>
      <w:tblPr>
        <w:tblW w:w="5505" w:type="pct"/>
        <w:tblInd w:w="-42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68"/>
        <w:gridCol w:w="498"/>
        <w:gridCol w:w="367"/>
        <w:gridCol w:w="610"/>
        <w:gridCol w:w="1244"/>
        <w:gridCol w:w="992"/>
        <w:gridCol w:w="1035"/>
        <w:gridCol w:w="840"/>
        <w:gridCol w:w="580"/>
        <w:gridCol w:w="848"/>
        <w:gridCol w:w="1974"/>
      </w:tblGrid>
      <w:tr w:rsidR="00EF7524" w:rsidRPr="00A040B7" w14:paraId="35DBD8F2" w14:textId="77777777" w:rsidTr="00A040B7">
        <w:trPr>
          <w:trHeight w:val="141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B786194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4442DD4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69EE74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</w:tcPr>
          <w:p w14:paraId="191C1AD0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</w:p>
        </w:tc>
        <w:tc>
          <w:tcPr>
            <w:tcW w:w="2197" w:type="pct"/>
            <w:gridSpan w:val="4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63D6CF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Patency test</w:t>
            </w:r>
          </w:p>
        </w:tc>
        <w:tc>
          <w:tcPr>
            <w:tcW w:w="1818" w:type="pct"/>
            <w:gridSpan w:val="3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D8AEE1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Post-patency test</w:t>
            </w:r>
          </w:p>
        </w:tc>
      </w:tr>
      <w:tr w:rsidR="00A040B7" w:rsidRPr="00A040B7" w14:paraId="16688D9B" w14:textId="77777777" w:rsidTr="00A040B7">
        <w:trPr>
          <w:trHeight w:val="141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E1E7C6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Case</w:t>
            </w: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 xml:space="preserve">　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2984A80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Age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76ECF5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M/F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</w:tcPr>
          <w:p w14:paraId="61160BD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Inpatient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5D0F48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Reason for examination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</w:tcPr>
          <w:p w14:paraId="5C42769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Location at CT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</w:tcPr>
          <w:p w14:paraId="7CCCC05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Cause of no patency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</w:tcPr>
          <w:p w14:paraId="55FAE37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Adverse event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4F5A97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BAE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F742F60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Final diagnosis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F2F2F2"/>
            <w:tcMar>
              <w:top w:w="28" w:type="dxa"/>
              <w:bottom w:w="28" w:type="dxa"/>
            </w:tcMar>
          </w:tcPr>
          <w:p w14:paraId="174A3F3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Treatment</w:t>
            </w:r>
          </w:p>
        </w:tc>
      </w:tr>
      <w:tr w:rsidR="00A040B7" w:rsidRPr="00A040B7" w14:paraId="60E9EC51" w14:textId="77777777" w:rsidTr="00A040B7">
        <w:trPr>
          <w:trHeight w:val="191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40D3E9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1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B27D59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21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238EEE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6D32A60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B175F2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Established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5AA9956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6D5B2D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Adhesion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F3B9A5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C9C84B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B9D735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725FD13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Increase dose of immunomodulator</w:t>
            </w:r>
          </w:p>
        </w:tc>
      </w:tr>
      <w:tr w:rsidR="00A040B7" w:rsidRPr="00A040B7" w14:paraId="1A09EDA3" w14:textId="77777777" w:rsidTr="00A040B7">
        <w:trPr>
          <w:trHeight w:val="188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91BC84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2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9DE1D8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49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91EF16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31FA27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FA92D04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Established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6830AE3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E997EC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51A1749B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A032FC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74BE9F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265B5CF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Continuation of medication</w:t>
            </w:r>
          </w:p>
        </w:tc>
      </w:tr>
      <w:tr w:rsidR="00A040B7" w:rsidRPr="00A040B7" w14:paraId="61AAE312" w14:textId="77777777" w:rsidTr="00A040B7">
        <w:trPr>
          <w:trHeight w:val="188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9EE366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3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2A992AB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25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E6C52A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6CABDB2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8029AF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Established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6FFDA0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105D539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675D393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E6835D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EE64A8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63C6EE2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Follow-up</w:t>
            </w:r>
          </w:p>
        </w:tc>
      </w:tr>
      <w:tr w:rsidR="00A040B7" w:rsidRPr="00A040B7" w14:paraId="23D861B8" w14:textId="77777777" w:rsidTr="00A040B7">
        <w:trPr>
          <w:trHeight w:val="188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3D61D60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4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831E50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34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D2C592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1965AAC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C564EB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Established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615BC6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AEAC9F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C52C1D4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DE2A53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AE9794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ic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69DECFD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Continuation of medication</w:t>
            </w:r>
          </w:p>
        </w:tc>
      </w:tr>
      <w:tr w:rsidR="00A040B7" w:rsidRPr="00A040B7" w14:paraId="5A0EBE52" w14:textId="77777777" w:rsidTr="00A040B7">
        <w:trPr>
          <w:trHeight w:val="188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F2997E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5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9B62EE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69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D31F23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02503F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715DD1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Established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CD09F3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5A77E5B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Anastomic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 xml:space="preserve"> 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4B502F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Retention of the coating film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F40656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 xml:space="preserve">Yes 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47ECA7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5F299A3B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Endoscopic balloon dilation</w:t>
            </w:r>
          </w:p>
        </w:tc>
      </w:tr>
      <w:tr w:rsidR="00A040B7" w:rsidRPr="00A040B7" w14:paraId="104E5C41" w14:textId="77777777" w:rsidTr="00A040B7">
        <w:trPr>
          <w:trHeight w:val="188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2A8376B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6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A62BF5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63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954352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7E88900B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80AFA5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Established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833011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17BEE57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Intestinal obstruction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1175F2F4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4F6439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68D017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0A7D9F2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Continuation of medication</w:t>
            </w:r>
          </w:p>
        </w:tc>
      </w:tr>
      <w:tr w:rsidR="00A040B7" w:rsidRPr="00A040B7" w14:paraId="597945DD" w14:textId="77777777" w:rsidTr="00A040B7">
        <w:trPr>
          <w:trHeight w:val="188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935E3F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7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378012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30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DD02CD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65657B4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96F756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Established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3F892B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62205DB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0EB78E3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2D7CD4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BEB6CA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ic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31B3CAD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Follow-up</w:t>
            </w:r>
          </w:p>
        </w:tc>
      </w:tr>
      <w:tr w:rsidR="00A040B7" w:rsidRPr="00A040B7" w14:paraId="2CB91130" w14:textId="77777777" w:rsidTr="00A040B7">
        <w:trPr>
          <w:trHeight w:val="188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C7A0C20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8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12FDD2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47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442E29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4FCF15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6C3489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Established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7CC45BE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1405F28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336D20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924495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01E263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4FACA16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Continuation of medication</w:t>
            </w:r>
          </w:p>
        </w:tc>
      </w:tr>
      <w:tr w:rsidR="00A040B7" w:rsidRPr="00A040B7" w14:paraId="5FDFE5E1" w14:textId="77777777" w:rsidTr="00A040B7">
        <w:trPr>
          <w:trHeight w:val="207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2D5225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9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592935B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21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32BF5A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787C019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855529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Suspected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0C4F7F1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60CB93A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7CED83D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EE835E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D680A5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c-CD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4B60E93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Change of anti-TNFα therapy</w:t>
            </w:r>
          </w:p>
        </w:tc>
      </w:tr>
      <w:tr w:rsidR="00A040B7" w:rsidRPr="00A040B7" w14:paraId="2C66CAEE" w14:textId="77777777" w:rsidTr="00A040B7">
        <w:trPr>
          <w:trHeight w:val="207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B82CF1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10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44F83D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69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981AAD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E82FA5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1CB342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Suspected CD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B9C6D6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Stomach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7B1DA27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Ｐゴシック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Gastroparesis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AEF9DB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581EBD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4407A3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AGML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289D0F7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Follow-up</w:t>
            </w:r>
          </w:p>
        </w:tc>
      </w:tr>
      <w:tr w:rsidR="00A040B7" w:rsidRPr="00A040B7" w14:paraId="0B05162D" w14:textId="77777777" w:rsidTr="00A040B7">
        <w:trPr>
          <w:trHeight w:val="331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E83D49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11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280882B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56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7F49A4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DCFB2F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412974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NF-I, after surgery of GIST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841A8C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9F4A00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8ACF0A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Vomiting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D9A3AD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0D159E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NF-I</w:t>
            </w:r>
          </w:p>
          <w:p w14:paraId="4A73959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4F3DA58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Follow-up</w:t>
            </w:r>
          </w:p>
        </w:tc>
      </w:tr>
      <w:tr w:rsidR="00A040B7" w:rsidRPr="00A040B7" w14:paraId="58931A96" w14:textId="77777777" w:rsidTr="00A040B7">
        <w:trPr>
          <w:trHeight w:val="181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D306AC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12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57E2BF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60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46A69D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316C452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1A52150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OGIB, occult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56FBCC7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14E08365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041D851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B86D30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E5AF5C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Ileal ring ulcer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0292E620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Mucosal protective drug (</w:t>
            </w: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rebamipide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)</w:t>
            </w:r>
          </w:p>
        </w:tc>
      </w:tr>
      <w:tr w:rsidR="00A040B7" w:rsidRPr="00A040B7" w14:paraId="166A6EF7" w14:textId="77777777" w:rsidTr="00A040B7">
        <w:trPr>
          <w:trHeight w:val="171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E6FD8D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13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3DE939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78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CD1A9E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M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26FE1C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935677C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OGIB, occult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50CFD1D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Ｐゴシック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Oesophagus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FB318F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Ｐゴシック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Oesophageal</w:t>
            </w: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 xml:space="preserve"> motility disorder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4D1F4C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5A94F5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B55818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 definitive diagnosis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4A57692B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Change of gastric acid secretion inhibitor</w:t>
            </w:r>
          </w:p>
        </w:tc>
      </w:tr>
      <w:tr w:rsidR="00A040B7" w:rsidRPr="00A040B7" w14:paraId="06A332F3" w14:textId="77777777" w:rsidTr="00A040B7">
        <w:trPr>
          <w:trHeight w:val="147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C2FB32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14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CF7B1B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81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56959D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15A8C5A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6B3801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OGIB, overt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F46E0A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D264E9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51A31AA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94354C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718791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 definitive diagnosis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70EB1C2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Small-bowel resection</w:t>
            </w:r>
          </w:p>
        </w:tc>
      </w:tr>
      <w:tr w:rsidR="00A040B7" w:rsidRPr="00A040B7" w14:paraId="4BD3B97C" w14:textId="77777777" w:rsidTr="00A040B7">
        <w:trPr>
          <w:trHeight w:val="175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DE64BA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15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6F1020F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51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6E8E2B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F4EB4E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97F4974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Radiation enteritis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4331B5D1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6518E220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Unknown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06A7BF3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C606A4A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9DA7EA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Radiation enteritis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5E390077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Small-bowel resection</w:t>
            </w:r>
          </w:p>
        </w:tc>
      </w:tr>
      <w:tr w:rsidR="00A040B7" w:rsidRPr="00A040B7" w14:paraId="7AA3299C" w14:textId="77777777" w:rsidTr="00A040B7">
        <w:trPr>
          <w:trHeight w:val="177"/>
        </w:trPr>
        <w:tc>
          <w:tcPr>
            <w:tcW w:w="197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47FA53D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16</w:t>
            </w:r>
          </w:p>
        </w:tc>
        <w:tc>
          <w:tcPr>
            <w:tcW w:w="26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FF2CAC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68</w:t>
            </w:r>
          </w:p>
        </w:tc>
        <w:tc>
          <w:tcPr>
            <w:tcW w:w="19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05B432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F</w:t>
            </w:r>
          </w:p>
        </w:tc>
        <w:tc>
          <w:tcPr>
            <w:tcW w:w="326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682B6AC2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Yes</w:t>
            </w:r>
          </w:p>
        </w:tc>
        <w:tc>
          <w:tcPr>
            <w:tcW w:w="66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4AB7488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Hematochezia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53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20A2805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Ileum</w:t>
            </w:r>
          </w:p>
        </w:tc>
        <w:tc>
          <w:tcPr>
            <w:tcW w:w="5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15234C66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Anastomotic stenosis</w:t>
            </w:r>
          </w:p>
        </w:tc>
        <w:tc>
          <w:tcPr>
            <w:tcW w:w="449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</w:tcPr>
          <w:p w14:paraId="0636AC04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Non</w:t>
            </w:r>
          </w:p>
        </w:tc>
        <w:tc>
          <w:tcPr>
            <w:tcW w:w="310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A71C973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No</w:t>
            </w:r>
          </w:p>
        </w:tc>
        <w:tc>
          <w:tcPr>
            <w:tcW w:w="453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A4A4339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0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 xml:space="preserve">Rectal </w:t>
            </w: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angioectasia</w:t>
            </w:r>
            <w:proofErr w:type="spellEnd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055" w:type="pct"/>
            <w:tcBorders>
              <w:top w:val="single" w:sz="4" w:space="0" w:color="auto"/>
              <w:left w:val="dashSmallGap" w:sz="2" w:space="0" w:color="A6A6A6"/>
              <w:bottom w:val="single" w:sz="4" w:space="0" w:color="auto"/>
              <w:right w:val="dashSmallGap" w:sz="2" w:space="0" w:color="A6A6A6"/>
            </w:tcBorders>
            <w:tcMar>
              <w:top w:w="28" w:type="dxa"/>
              <w:bottom w:w="28" w:type="dxa"/>
            </w:tcMar>
          </w:tcPr>
          <w:p w14:paraId="0E01EB0E" w14:textId="77777777" w:rsidR="00EF7524" w:rsidRPr="00A040B7" w:rsidRDefault="00EF7524" w:rsidP="00EF7524">
            <w:pPr>
              <w:widowControl/>
              <w:spacing w:line="240" w:lineRule="exact"/>
              <w:jc w:val="left"/>
              <w:textAlignment w:val="center"/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</w:pPr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 xml:space="preserve">Argon plasma coagulation for </w:t>
            </w:r>
            <w:proofErr w:type="spellStart"/>
            <w:r w:rsidRPr="00A040B7">
              <w:rPr>
                <w:rFonts w:ascii="Times New Roman" w:eastAsia="ＭＳ 明朝" w:hAnsi="Times New Roman" w:cs="Times New Roman"/>
                <w:color w:val="000000"/>
                <w:kern w:val="24"/>
                <w:sz w:val="16"/>
                <w:szCs w:val="16"/>
                <w:lang w:val="en-GB"/>
              </w:rPr>
              <w:t>angioectasia</w:t>
            </w:r>
            <w:proofErr w:type="spellEnd"/>
          </w:p>
        </w:tc>
      </w:tr>
    </w:tbl>
    <w:p w14:paraId="6ABDE460" w14:textId="7F018DA0" w:rsidR="004F1EDB" w:rsidRPr="00EF7524" w:rsidRDefault="00EF7524" w:rsidP="00EF7524">
      <w:pPr>
        <w:widowControl/>
        <w:jc w:val="left"/>
        <w:rPr>
          <w:rFonts w:ascii="Times New Roman" w:eastAsia="ＭＳ 明朝" w:hAnsi="Times New Roman" w:cs="Times New Roman"/>
          <w:color w:val="000000"/>
          <w:szCs w:val="21"/>
          <w:lang w:val="en-GB"/>
        </w:rPr>
      </w:pPr>
      <w:r w:rsidRPr="00EF7524">
        <w:rPr>
          <w:rFonts w:ascii="Times New Roman" w:eastAsia="ＭＳ 明朝" w:hAnsi="Times New Roman" w:cs="Times New Roman"/>
          <w:color w:val="000000"/>
          <w:szCs w:val="21"/>
          <w:lang w:val="en-GB"/>
        </w:rPr>
        <w:t xml:space="preserve">AGML, acute gastric mucosal lesions; BAE, balloon-assisted </w:t>
      </w:r>
      <w:proofErr w:type="spellStart"/>
      <w:r w:rsidRPr="00EF7524">
        <w:rPr>
          <w:rFonts w:ascii="Times New Roman" w:eastAsia="ＭＳ 明朝" w:hAnsi="Times New Roman" w:cs="Times New Roman"/>
          <w:color w:val="000000"/>
          <w:szCs w:val="21"/>
          <w:lang w:val="en-GB"/>
        </w:rPr>
        <w:t>enteroscopy</w:t>
      </w:r>
      <w:proofErr w:type="spellEnd"/>
      <w:r w:rsidRPr="00EF7524">
        <w:rPr>
          <w:rFonts w:ascii="Times New Roman" w:eastAsia="ＭＳ 明朝" w:hAnsi="Times New Roman" w:cs="Times New Roman"/>
          <w:color w:val="000000"/>
          <w:szCs w:val="21"/>
          <w:lang w:val="en-GB"/>
        </w:rPr>
        <w:t xml:space="preserve">; c-CD, colonic Crohn’s disease; CD, Crohn’s disease; </w:t>
      </w:r>
      <w:proofErr w:type="spellStart"/>
      <w:r w:rsidRPr="00EF7524">
        <w:rPr>
          <w:rFonts w:ascii="Times New Roman" w:eastAsia="ＭＳ 明朝" w:hAnsi="Times New Roman" w:cs="Times New Roman"/>
          <w:color w:val="000000"/>
          <w:szCs w:val="21"/>
          <w:lang w:val="en-GB"/>
        </w:rPr>
        <w:t>i</w:t>
      </w:r>
      <w:proofErr w:type="spellEnd"/>
      <w:r w:rsidRPr="00EF7524">
        <w:rPr>
          <w:rFonts w:ascii="Times New Roman" w:eastAsia="ＭＳ 明朝" w:hAnsi="Times New Roman" w:cs="Times New Roman"/>
          <w:color w:val="000000"/>
          <w:szCs w:val="21"/>
          <w:lang w:val="en-GB"/>
        </w:rPr>
        <w:t xml:space="preserve">-CD, ileal Crohn’s disease; </w:t>
      </w:r>
      <w:bookmarkStart w:id="2" w:name="_Hlk81526365"/>
      <w:proofErr w:type="spellStart"/>
      <w:r w:rsidRPr="00EF7524">
        <w:rPr>
          <w:rFonts w:ascii="Times New Roman" w:eastAsia="ＭＳ 明朝" w:hAnsi="Times New Roman" w:cs="Times New Roman"/>
          <w:color w:val="000000"/>
          <w:szCs w:val="21"/>
          <w:lang w:val="en-GB"/>
        </w:rPr>
        <w:t>ic</w:t>
      </w:r>
      <w:proofErr w:type="spellEnd"/>
      <w:r w:rsidRPr="00EF7524">
        <w:rPr>
          <w:rFonts w:ascii="Times New Roman" w:eastAsia="ＭＳ 明朝" w:hAnsi="Times New Roman" w:cs="Times New Roman"/>
          <w:color w:val="000000"/>
          <w:szCs w:val="21"/>
          <w:lang w:val="en-GB"/>
        </w:rPr>
        <w:t xml:space="preserve">-CD, ileocolic Crohn’s disease; </w:t>
      </w:r>
      <w:bookmarkEnd w:id="2"/>
      <w:r w:rsidRPr="00EF7524">
        <w:rPr>
          <w:rFonts w:ascii="Times New Roman" w:eastAsia="ＭＳ 明朝" w:hAnsi="Times New Roman" w:cs="Times New Roman"/>
          <w:color w:val="000000"/>
          <w:szCs w:val="21"/>
          <w:lang w:val="en-GB"/>
        </w:rPr>
        <w:t>NF-I, neurofibromatosis type I; OGIB, obscure gastrointestinal bleedin</w:t>
      </w:r>
      <w:r w:rsidRPr="00EF7524">
        <w:rPr>
          <w:rFonts w:ascii="Times New Roman" w:eastAsia="ＭＳ 明朝" w:hAnsi="Times New Roman" w:cs="Times New Roman" w:hint="eastAsia"/>
          <w:color w:val="000000"/>
          <w:szCs w:val="21"/>
          <w:lang w:val="en-GB"/>
        </w:rPr>
        <w:t>g</w:t>
      </w:r>
    </w:p>
    <w:sectPr w:rsidR="004F1EDB" w:rsidRPr="00EF7524" w:rsidSect="00EF7524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51E43" w14:textId="77777777" w:rsidR="00EF4E95" w:rsidRDefault="00EF4E95" w:rsidP="00A040B7">
      <w:r>
        <w:separator/>
      </w:r>
    </w:p>
  </w:endnote>
  <w:endnote w:type="continuationSeparator" w:id="0">
    <w:p w14:paraId="7E36D810" w14:textId="77777777" w:rsidR="00EF4E95" w:rsidRDefault="00EF4E95" w:rsidP="00A04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5E70C" w14:textId="77777777" w:rsidR="00EF4E95" w:rsidRDefault="00EF4E95" w:rsidP="00A040B7">
      <w:r>
        <w:separator/>
      </w:r>
    </w:p>
  </w:footnote>
  <w:footnote w:type="continuationSeparator" w:id="0">
    <w:p w14:paraId="139A403A" w14:textId="77777777" w:rsidR="00EF4E95" w:rsidRDefault="00EF4E95" w:rsidP="00A040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524"/>
    <w:rsid w:val="004F1EDB"/>
    <w:rsid w:val="00500257"/>
    <w:rsid w:val="00A040B7"/>
    <w:rsid w:val="00E11D49"/>
    <w:rsid w:val="00EF4E95"/>
    <w:rsid w:val="00EF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ED0E44"/>
  <w15:chartTrackingRefBased/>
  <w15:docId w15:val="{2076524E-29F4-4BE7-9532-CD2167F72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40B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040B7"/>
  </w:style>
  <w:style w:type="paragraph" w:styleId="a5">
    <w:name w:val="footer"/>
    <w:basedOn w:val="a"/>
    <w:link w:val="a6"/>
    <w:uiPriority w:val="99"/>
    <w:unhideWhenUsed/>
    <w:rsid w:val="00A040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040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406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大澤 恵</dc:creator>
  <cp:keywords/>
  <dc:description/>
  <cp:lastModifiedBy>大澤 恵</cp:lastModifiedBy>
  <cp:revision>3</cp:revision>
  <dcterms:created xsi:type="dcterms:W3CDTF">2021-09-25T17:26:00Z</dcterms:created>
  <dcterms:modified xsi:type="dcterms:W3CDTF">2021-09-30T12:27:00Z</dcterms:modified>
</cp:coreProperties>
</file>