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2465" w14:textId="0F3F586D" w:rsidR="00C05C54" w:rsidRPr="001B3BB9" w:rsidRDefault="00C05C54" w:rsidP="00C05C54">
      <w:pPr>
        <w:pStyle w:val="Titel"/>
      </w:pPr>
      <w:r w:rsidRPr="001B3BB9">
        <w:rPr>
          <w:i/>
        </w:rPr>
        <w:t>Data Supplement for Barnes-Scheufler et al.,</w:t>
      </w:r>
      <w:r w:rsidRPr="001B3BB9">
        <w:t xml:space="preserve"> </w:t>
      </w:r>
      <w:r w:rsidR="00680FBF" w:rsidRPr="00680FBF">
        <w:t xml:space="preserve">History of Psychosis Matters: Deviation in Age-related Decline of Working Memory Across the </w:t>
      </w:r>
      <w:proofErr w:type="spellStart"/>
      <w:r w:rsidR="00680FBF" w:rsidRPr="00680FBF">
        <w:t>Schizo</w:t>
      </w:r>
      <w:proofErr w:type="spellEnd"/>
      <w:r w:rsidR="00680FBF" w:rsidRPr="00680FBF">
        <w:t>-bipolar Spectrum</w:t>
      </w:r>
    </w:p>
    <w:p w14:paraId="07FBF928" w14:textId="77777777" w:rsidR="00C05C54" w:rsidRDefault="00C05C54" w:rsidP="00C05C54">
      <w:pPr>
        <w:pStyle w:val="berschrift1"/>
        <w:rPr>
          <w:rStyle w:val="Kommentarzeichen"/>
          <w:sz w:val="24"/>
        </w:rPr>
      </w:pPr>
    </w:p>
    <w:p w14:paraId="68922B6D" w14:textId="77777777" w:rsidR="000B3E23" w:rsidRPr="000B3E23" w:rsidRDefault="00C05C54" w:rsidP="000B3E23">
      <w:pPr>
        <w:pStyle w:val="berschrift1"/>
      </w:pPr>
      <w:r w:rsidRPr="00506EAB">
        <w:rPr>
          <w:rStyle w:val="Kommentarzeichen"/>
          <w:sz w:val="24"/>
        </w:rPr>
        <w:t>Methods:</w:t>
      </w:r>
    </w:p>
    <w:p w14:paraId="4A98E1C5" w14:textId="77777777" w:rsidR="000B3E23" w:rsidRDefault="000B3E23" w:rsidP="00C05C54">
      <w:pPr>
        <w:rPr>
          <w:rFonts w:ascii="Arial" w:hAnsi="Arial" w:cs="Arial"/>
          <w:sz w:val="24"/>
          <w:szCs w:val="24"/>
          <w:u w:val="single"/>
          <w:lang w:val="en-US" w:eastAsia="de-DE"/>
        </w:rPr>
      </w:pPr>
    </w:p>
    <w:p w14:paraId="661A0EFE" w14:textId="77777777" w:rsidR="00C05C54" w:rsidRDefault="00582F67" w:rsidP="00C05C54">
      <w:pPr>
        <w:rPr>
          <w:rFonts w:ascii="Arial" w:hAnsi="Arial" w:cs="Arial"/>
          <w:sz w:val="24"/>
          <w:szCs w:val="24"/>
          <w:u w:val="single"/>
          <w:lang w:val="en-US" w:eastAsia="de-DE"/>
        </w:rPr>
      </w:pPr>
      <w:r>
        <w:rPr>
          <w:rFonts w:ascii="Arial" w:hAnsi="Arial" w:cs="Arial"/>
          <w:sz w:val="24"/>
          <w:szCs w:val="24"/>
          <w:u w:val="single"/>
          <w:lang w:val="en-US" w:eastAsia="de-DE"/>
        </w:rPr>
        <w:t>Linear regression simple model</w:t>
      </w:r>
    </w:p>
    <w:p w14:paraId="10BE0A9B" w14:textId="77777777" w:rsidR="00582F67" w:rsidRDefault="00582F67" w:rsidP="00582F67">
      <w:pPr>
        <w:spacing w:line="480" w:lineRule="auto"/>
        <w:jc w:val="both"/>
        <w:rPr>
          <w:rFonts w:ascii="Arial" w:eastAsia="Arial" w:hAnsi="Arial" w:cs="Arial"/>
          <w:color w:val="000000" w:themeColor="text1"/>
          <w:sz w:val="24"/>
          <w:lang w:val="en-US"/>
        </w:rPr>
      </w:pPr>
      <w:r w:rsidRPr="00582F67">
        <w:rPr>
          <w:rFonts w:ascii="Arial" w:eastAsia="Arial" w:hAnsi="Arial" w:cs="Arial"/>
          <w:color w:val="000000" w:themeColor="text1"/>
          <w:sz w:val="24"/>
          <w:lang w:val="en-US"/>
        </w:rPr>
        <w:t>We first examined simple models including only age, psychosis, and their interaction, then added premorbid IQ and gender as covariates to assess the robustness of our findings, as these variables differed between groups and have been associated with cognitive performance in prior literature.</w:t>
      </w:r>
    </w:p>
    <w:p w14:paraId="65A99819" w14:textId="77777777" w:rsidR="000B3E23" w:rsidRDefault="000B3E23" w:rsidP="000B3E23">
      <w:pPr>
        <w:spacing w:before="240" w:after="240" w:line="480" w:lineRule="auto"/>
        <w:jc w:val="both"/>
        <w:rPr>
          <w:rFonts w:ascii="Arial" w:eastAsia="Arial" w:hAnsi="Arial" w:cs="Arial"/>
          <w:color w:val="000000" w:themeColor="text1"/>
          <w:sz w:val="24"/>
          <w:lang w:val="en-US"/>
        </w:rPr>
      </w:pPr>
      <w:r w:rsidRPr="000B3E23">
        <w:rPr>
          <w:rFonts w:ascii="Arial" w:eastAsia="Arial" w:hAnsi="Arial" w:cs="Arial"/>
          <w:color w:val="000000" w:themeColor="text1"/>
          <w:sz w:val="24"/>
          <w:lang w:val="en-US"/>
        </w:rPr>
        <w:t xml:space="preserve">Model assumptions were verified through visual inspection of QQ-plots (confirming approximately normal distribution of residuals), Levene's tests for homoscedasticity (AC: </w:t>
      </w:r>
      <w:r w:rsidRPr="000B3E23">
        <w:rPr>
          <w:rFonts w:ascii="Arial" w:eastAsia="Arial" w:hAnsi="Arial" w:cs="Arial"/>
          <w:i/>
          <w:color w:val="000000" w:themeColor="text1"/>
          <w:sz w:val="24"/>
          <w:lang w:val="en-US"/>
        </w:rPr>
        <w:t xml:space="preserve">p </w:t>
      </w:r>
      <w:r w:rsidRPr="000B3E23">
        <w:rPr>
          <w:rFonts w:ascii="Arial" w:eastAsia="Arial" w:hAnsi="Arial" w:cs="Arial"/>
          <w:color w:val="000000" w:themeColor="text1"/>
          <w:sz w:val="24"/>
          <w:lang w:val="en-US"/>
        </w:rPr>
        <w:t xml:space="preserve">= 0.085; WMC: </w:t>
      </w:r>
      <w:r w:rsidRPr="000B3E23">
        <w:rPr>
          <w:rFonts w:ascii="Arial" w:eastAsia="Arial" w:hAnsi="Arial" w:cs="Arial"/>
          <w:i/>
          <w:color w:val="000000" w:themeColor="text1"/>
          <w:sz w:val="24"/>
          <w:lang w:val="en-US"/>
        </w:rPr>
        <w:t>p</w:t>
      </w:r>
      <w:r w:rsidRPr="000B3E23">
        <w:rPr>
          <w:rFonts w:ascii="Arial" w:eastAsia="Arial" w:hAnsi="Arial" w:cs="Arial"/>
          <w:color w:val="000000" w:themeColor="text1"/>
          <w:sz w:val="24"/>
          <w:lang w:val="en-US"/>
        </w:rPr>
        <w:t xml:space="preserve"> = 0.132), and generalized variance inflation factors to assess multicollinearity (all GVIF^(1/(2*</w:t>
      </w:r>
      <w:proofErr w:type="spellStart"/>
      <w:r w:rsidRPr="000B3E23">
        <w:rPr>
          <w:rFonts w:ascii="Arial" w:eastAsia="Arial" w:hAnsi="Arial" w:cs="Arial"/>
          <w:color w:val="000000" w:themeColor="text1"/>
          <w:sz w:val="24"/>
          <w:lang w:val="en-US"/>
        </w:rPr>
        <w:t>Df</w:t>
      </w:r>
      <w:proofErr w:type="spellEnd"/>
      <w:r w:rsidRPr="000B3E23">
        <w:rPr>
          <w:rFonts w:ascii="Arial" w:eastAsia="Arial" w:hAnsi="Arial" w:cs="Arial"/>
          <w:color w:val="000000" w:themeColor="text1"/>
          <w:sz w:val="24"/>
          <w:lang w:val="en-US"/>
        </w:rPr>
        <w:t>)) &lt; 1.1). To quantify effect sizes, we calculated partial eta-squared (</w:t>
      </w:r>
      <w:r w:rsidRPr="000B3E23">
        <w:rPr>
          <w:rFonts w:ascii="Arial" w:eastAsia="Arial" w:hAnsi="Arial" w:cs="Arial"/>
          <w:color w:val="000000" w:themeColor="text1"/>
          <w:sz w:val="24"/>
        </w:rPr>
        <w:t>η</w:t>
      </w:r>
      <w:r w:rsidRPr="000B3E23">
        <w:rPr>
          <w:rFonts w:ascii="Arial" w:eastAsia="Arial" w:hAnsi="Arial" w:cs="Arial"/>
          <w:color w:val="000000" w:themeColor="text1"/>
          <w:sz w:val="24"/>
          <w:lang w:val="en-US"/>
        </w:rPr>
        <w:t>²) and Cohen's f for each predictor.</w:t>
      </w:r>
    </w:p>
    <w:p w14:paraId="2A712F61" w14:textId="77777777" w:rsidR="00D0469F" w:rsidRPr="00680FBF" w:rsidRDefault="00D0469F" w:rsidP="00D0469F">
      <w:pPr>
        <w:spacing w:before="240" w:after="240" w:line="480" w:lineRule="auto"/>
        <w:jc w:val="both"/>
        <w:rPr>
          <w:rFonts w:ascii="Arial" w:eastAsia="Arial" w:hAnsi="Arial" w:cs="Arial"/>
          <w:color w:val="000000" w:themeColor="text1"/>
          <w:sz w:val="24"/>
          <w:u w:val="single"/>
          <w:lang w:val="en-US"/>
        </w:rPr>
      </w:pPr>
      <w:r w:rsidRPr="00680FBF">
        <w:rPr>
          <w:rFonts w:ascii="Arial" w:eastAsia="Arial" w:hAnsi="Arial" w:cs="Arial"/>
          <w:color w:val="000000" w:themeColor="text1"/>
          <w:sz w:val="24"/>
          <w:u w:val="single"/>
          <w:lang w:val="en-US"/>
        </w:rPr>
        <w:t>Young adult subgroup analysis</w:t>
      </w:r>
    </w:p>
    <w:p w14:paraId="71F5A648" w14:textId="5626D2C8" w:rsidR="00D0469F" w:rsidRPr="00680FBF" w:rsidRDefault="00D0469F" w:rsidP="00D0469F">
      <w:pPr>
        <w:spacing w:before="240" w:after="240" w:line="480" w:lineRule="auto"/>
        <w:jc w:val="both"/>
        <w:rPr>
          <w:rFonts w:ascii="Arial" w:eastAsia="Arial" w:hAnsi="Arial" w:cs="Arial"/>
          <w:color w:val="000000" w:themeColor="text1"/>
          <w:sz w:val="24"/>
          <w:lang w:val="en-US"/>
        </w:rPr>
      </w:pPr>
      <w:r w:rsidRPr="00680FBF">
        <w:rPr>
          <w:rFonts w:ascii="Arial" w:eastAsia="Arial" w:hAnsi="Arial" w:cs="Arial"/>
          <w:color w:val="000000" w:themeColor="text1"/>
          <w:sz w:val="24"/>
          <w:lang w:val="en-US"/>
        </w:rPr>
        <w:t>To examine cognitive performance in early adulthood, we conducted independent samples t-tests comparing HPS+ and HPS− participants aged 20–31 years on both ACE-WM and WMC tasks. This age range was selected to capture individuals early in the typical age of illness onset while maintaining adequate sample size. Welch's correction for unequal variances was applied when Levene's test indicated heterogeneity of variance (</w:t>
      </w:r>
      <w:r w:rsidRPr="00680FBF">
        <w:rPr>
          <w:rFonts w:ascii="Arial" w:eastAsia="Arial" w:hAnsi="Arial" w:cs="Arial"/>
          <w:i/>
          <w:iCs/>
          <w:color w:val="000000" w:themeColor="text1"/>
          <w:sz w:val="24"/>
          <w:lang w:val="en-US"/>
        </w:rPr>
        <w:t>p</w:t>
      </w:r>
      <w:r w:rsidRPr="00680FBF">
        <w:rPr>
          <w:rFonts w:ascii="Arial" w:eastAsia="Arial" w:hAnsi="Arial" w:cs="Arial"/>
          <w:color w:val="000000" w:themeColor="text1"/>
          <w:sz w:val="24"/>
          <w:lang w:val="en-US"/>
        </w:rPr>
        <w:t xml:space="preserve"> &lt; .05). Effect sizes were calculated using Cohen's d with 95% confidence intervals.</w:t>
      </w:r>
    </w:p>
    <w:p w14:paraId="15D28E26" w14:textId="692E7DA1" w:rsidR="00D0469F" w:rsidRPr="00680FBF" w:rsidRDefault="00D0469F" w:rsidP="00D0469F">
      <w:pPr>
        <w:spacing w:before="240" w:after="240" w:line="480" w:lineRule="auto"/>
        <w:jc w:val="both"/>
        <w:rPr>
          <w:rFonts w:ascii="Arial" w:eastAsia="Arial" w:hAnsi="Arial" w:cs="Arial"/>
          <w:color w:val="000000" w:themeColor="text1"/>
          <w:sz w:val="24"/>
          <w:u w:val="single"/>
          <w:lang w:val="en-US"/>
        </w:rPr>
      </w:pPr>
      <w:r w:rsidRPr="00680FBF">
        <w:rPr>
          <w:rFonts w:ascii="Arial" w:eastAsia="Arial" w:hAnsi="Arial" w:cs="Arial"/>
          <w:color w:val="000000" w:themeColor="text1"/>
          <w:sz w:val="24"/>
          <w:u w:val="single"/>
          <w:lang w:val="en-US"/>
        </w:rPr>
        <w:lastRenderedPageBreak/>
        <w:t>Illness duration effects</w:t>
      </w:r>
    </w:p>
    <w:p w14:paraId="77F905B3" w14:textId="74F1C136" w:rsidR="00D0469F" w:rsidRPr="00680FBF" w:rsidRDefault="00D0469F" w:rsidP="00D0469F">
      <w:pPr>
        <w:spacing w:before="240" w:after="240" w:line="480" w:lineRule="auto"/>
        <w:jc w:val="both"/>
        <w:rPr>
          <w:rFonts w:ascii="Arial" w:eastAsia="Arial" w:hAnsi="Arial" w:cs="Arial"/>
          <w:color w:val="000000" w:themeColor="text1"/>
          <w:sz w:val="24"/>
          <w:lang w:val="en-US"/>
        </w:rPr>
      </w:pPr>
      <w:r w:rsidRPr="00680FBF">
        <w:rPr>
          <w:rFonts w:ascii="Arial" w:eastAsia="Arial" w:hAnsi="Arial" w:cs="Arial"/>
          <w:color w:val="000000" w:themeColor="text1"/>
          <w:sz w:val="24"/>
          <w:lang w:val="en-US"/>
        </w:rPr>
        <w:t>Within the HPS+ group (n = 90), we examined whether illness duration (M = 11.7, SD</w:t>
      </w:r>
      <w:r w:rsidR="00E87263" w:rsidRPr="00E87263">
        <w:rPr>
          <w:rFonts w:ascii="Arial" w:eastAsia="Arial" w:hAnsi="Arial" w:cs="Arial"/>
          <w:color w:val="000000" w:themeColor="text1"/>
          <w:sz w:val="24"/>
          <w:lang w:val="en-US"/>
        </w:rPr>
        <w:t xml:space="preserve"> </w:t>
      </w:r>
      <w:r w:rsidRPr="00680FBF">
        <w:rPr>
          <w:rFonts w:ascii="Arial" w:eastAsia="Arial" w:hAnsi="Arial" w:cs="Arial"/>
          <w:color w:val="000000" w:themeColor="text1"/>
          <w:sz w:val="24"/>
          <w:lang w:val="en-US"/>
        </w:rPr>
        <w:t>=</w:t>
      </w:r>
      <w:r w:rsidR="00E87263" w:rsidRPr="00E87263">
        <w:rPr>
          <w:rFonts w:ascii="Arial" w:eastAsia="Arial" w:hAnsi="Arial" w:cs="Arial"/>
          <w:color w:val="000000" w:themeColor="text1"/>
          <w:sz w:val="24"/>
          <w:lang w:val="en-US"/>
        </w:rPr>
        <w:t xml:space="preserve"> </w:t>
      </w:r>
      <w:r w:rsidRPr="00680FBF">
        <w:rPr>
          <w:rFonts w:ascii="Arial" w:eastAsia="Arial" w:hAnsi="Arial" w:cs="Arial"/>
          <w:color w:val="000000" w:themeColor="text1"/>
          <w:sz w:val="24"/>
          <w:lang w:val="en-US"/>
        </w:rPr>
        <w:t xml:space="preserve">10.2, range 0.5–43.0) predicted cognitive performance using multiple linear regression. Separate models were constructed for ACE-WM and WMC as outcomes, with illness duration as the primary predictor and age as a covariate. Age was included as a covariate given the strong correlation between age and illness duration (r = 0.60, </w:t>
      </w:r>
      <w:r w:rsidRPr="00680FBF">
        <w:rPr>
          <w:rFonts w:ascii="Arial" w:eastAsia="Arial" w:hAnsi="Arial" w:cs="Arial"/>
          <w:i/>
          <w:iCs/>
          <w:color w:val="000000" w:themeColor="text1"/>
          <w:sz w:val="24"/>
          <w:lang w:val="en-US"/>
        </w:rPr>
        <w:t>p</w:t>
      </w:r>
      <w:r w:rsidRPr="00680FBF">
        <w:rPr>
          <w:rFonts w:ascii="Arial" w:eastAsia="Arial" w:hAnsi="Arial" w:cs="Arial"/>
          <w:color w:val="000000" w:themeColor="text1"/>
          <w:sz w:val="24"/>
          <w:lang w:val="en-US"/>
        </w:rPr>
        <w:t xml:space="preserve"> &lt; .001).</w:t>
      </w:r>
    </w:p>
    <w:p w14:paraId="36D13DF4" w14:textId="23D9EC3C" w:rsidR="00D0469F" w:rsidRPr="00680FBF" w:rsidRDefault="00D0469F" w:rsidP="00D0469F">
      <w:pPr>
        <w:spacing w:before="240" w:after="240" w:line="480" w:lineRule="auto"/>
        <w:jc w:val="both"/>
        <w:rPr>
          <w:rFonts w:ascii="Arial" w:eastAsia="Arial" w:hAnsi="Arial" w:cs="Arial"/>
          <w:color w:val="000000" w:themeColor="text1"/>
          <w:sz w:val="24"/>
          <w:u w:val="single"/>
          <w:lang w:val="en-US"/>
        </w:rPr>
      </w:pPr>
      <w:r w:rsidRPr="00680FBF">
        <w:rPr>
          <w:rFonts w:ascii="Arial" w:eastAsia="Arial" w:hAnsi="Arial" w:cs="Arial"/>
          <w:color w:val="000000" w:themeColor="text1"/>
          <w:sz w:val="24"/>
          <w:u w:val="single"/>
          <w:lang w:val="en-US"/>
        </w:rPr>
        <w:t>Recent onset comparison</w:t>
      </w:r>
    </w:p>
    <w:p w14:paraId="36DBAB1D" w14:textId="7A4886BF" w:rsidR="00D0469F" w:rsidRPr="00680FBF" w:rsidRDefault="00D0469F" w:rsidP="000B3E23">
      <w:pPr>
        <w:spacing w:before="240" w:after="240" w:line="480" w:lineRule="auto"/>
        <w:jc w:val="both"/>
        <w:rPr>
          <w:rFonts w:ascii="Arial" w:eastAsia="Arial" w:hAnsi="Arial" w:cs="Arial"/>
          <w:color w:val="000000" w:themeColor="text1"/>
          <w:sz w:val="24"/>
          <w:lang w:val="en-US"/>
        </w:rPr>
      </w:pPr>
      <w:r w:rsidRPr="00680FBF">
        <w:rPr>
          <w:rFonts w:ascii="Arial" w:eastAsia="Arial" w:hAnsi="Arial" w:cs="Arial"/>
          <w:color w:val="000000" w:themeColor="text1"/>
          <w:sz w:val="24"/>
          <w:lang w:val="en-US"/>
        </w:rPr>
        <w:t>To assess whether cognitive deficits are present early in the illness course, we compared HPS+ participants with recent illness onset (illness duration ≤2 years, n = 21) to all HPS− participants (n = 99) on both ACE-WM and WMC tasks. The 2-year threshold was chosen to identify individuals in the early phase of illness while maintaining adequate sample size. Independent samples t-tests with Welch's correction for unequal variances were used. Effect sizes were quantified using Cohen's d with 95% confidence intervals.</w:t>
      </w:r>
    </w:p>
    <w:p w14:paraId="363CF556" w14:textId="77777777" w:rsidR="00C05C54" w:rsidRPr="00C05C54" w:rsidRDefault="00C05C54" w:rsidP="00C05C54">
      <w:pPr>
        <w:rPr>
          <w:lang w:val="en-US" w:eastAsia="de-DE"/>
        </w:rPr>
      </w:pPr>
    </w:p>
    <w:p w14:paraId="5B9CC08D" w14:textId="77777777" w:rsidR="00C05C54" w:rsidRDefault="00C05C54" w:rsidP="00C05C54">
      <w:pPr>
        <w:pStyle w:val="berschrift1"/>
        <w:rPr>
          <w:rStyle w:val="Kommentarzeichen"/>
          <w:sz w:val="24"/>
        </w:rPr>
      </w:pPr>
      <w:r>
        <w:rPr>
          <w:rStyle w:val="Kommentarzeichen"/>
          <w:sz w:val="24"/>
        </w:rPr>
        <w:t>RESULT</w:t>
      </w:r>
      <w:r w:rsidRPr="00506EAB">
        <w:rPr>
          <w:rStyle w:val="Kommentarzeichen"/>
          <w:sz w:val="24"/>
        </w:rPr>
        <w:t>s:</w:t>
      </w:r>
    </w:p>
    <w:p w14:paraId="2793D909" w14:textId="77777777" w:rsidR="000B3E23" w:rsidRPr="000B3E23" w:rsidRDefault="000B3E23" w:rsidP="000B3E23">
      <w:pPr>
        <w:rPr>
          <w:lang w:val="en-US" w:eastAsia="de-DE"/>
        </w:rPr>
      </w:pPr>
    </w:p>
    <w:p w14:paraId="6DF9F2C0" w14:textId="77777777" w:rsidR="00582F67" w:rsidRDefault="00582F67" w:rsidP="00582F67">
      <w:pPr>
        <w:rPr>
          <w:rFonts w:ascii="Arial" w:hAnsi="Arial" w:cs="Arial"/>
          <w:sz w:val="24"/>
          <w:szCs w:val="24"/>
          <w:u w:val="single"/>
          <w:lang w:val="en-US" w:eastAsia="de-DE"/>
        </w:rPr>
      </w:pPr>
      <w:r w:rsidRPr="00582F67">
        <w:rPr>
          <w:rFonts w:ascii="Arial" w:hAnsi="Arial" w:cs="Arial"/>
          <w:sz w:val="24"/>
          <w:szCs w:val="24"/>
          <w:u w:val="single"/>
          <w:lang w:val="en-US" w:eastAsia="de-DE"/>
        </w:rPr>
        <w:t>Linear regression</w:t>
      </w:r>
      <w:r>
        <w:rPr>
          <w:rFonts w:ascii="Arial" w:hAnsi="Arial" w:cs="Arial"/>
          <w:sz w:val="24"/>
          <w:szCs w:val="24"/>
          <w:u w:val="single"/>
          <w:lang w:val="en-US" w:eastAsia="de-DE"/>
        </w:rPr>
        <w:t xml:space="preserve"> simple model</w:t>
      </w:r>
    </w:p>
    <w:p w14:paraId="28E2B0B4" w14:textId="77777777" w:rsidR="0067557A" w:rsidRDefault="0067557A" w:rsidP="00582F67">
      <w:pPr>
        <w:rPr>
          <w:rFonts w:ascii="Arial" w:hAnsi="Arial" w:cs="Arial"/>
          <w:sz w:val="24"/>
          <w:szCs w:val="24"/>
          <w:u w:val="single"/>
          <w:lang w:val="en-US" w:eastAsia="de-DE"/>
        </w:rPr>
      </w:pPr>
    </w:p>
    <w:p w14:paraId="1BA1B419" w14:textId="1B9F3D93" w:rsidR="0067557A" w:rsidRPr="0067557A" w:rsidRDefault="0067557A" w:rsidP="00582F67">
      <w:pPr>
        <w:rPr>
          <w:rFonts w:ascii="Arial" w:hAnsi="Arial" w:cs="Arial"/>
          <w:i/>
          <w:sz w:val="24"/>
          <w:szCs w:val="24"/>
          <w:lang w:val="en-US" w:eastAsia="de-DE"/>
        </w:rPr>
      </w:pPr>
      <w:r w:rsidRPr="0067557A">
        <w:rPr>
          <w:rFonts w:ascii="Arial" w:hAnsi="Arial" w:cs="Arial"/>
          <w:i/>
          <w:sz w:val="24"/>
          <w:szCs w:val="24"/>
          <w:lang w:val="en-US" w:eastAsia="de-DE"/>
        </w:rPr>
        <w:t>A</w:t>
      </w:r>
      <w:r w:rsidR="00E87263">
        <w:rPr>
          <w:rFonts w:ascii="Arial" w:hAnsi="Arial" w:cs="Arial"/>
          <w:i/>
          <w:sz w:val="24"/>
          <w:szCs w:val="24"/>
          <w:lang w:val="en-US" w:eastAsia="de-DE"/>
        </w:rPr>
        <w:t>CE-WM</w:t>
      </w:r>
      <w:r w:rsidRPr="0067557A">
        <w:rPr>
          <w:rFonts w:ascii="Arial" w:hAnsi="Arial" w:cs="Arial"/>
          <w:i/>
          <w:sz w:val="24"/>
          <w:szCs w:val="24"/>
          <w:lang w:val="en-US" w:eastAsia="de-DE"/>
        </w:rPr>
        <w:t xml:space="preserve"> task</w:t>
      </w:r>
    </w:p>
    <w:p w14:paraId="2586DA3B" w14:textId="77777777" w:rsidR="00C05C54" w:rsidRPr="00582F67" w:rsidRDefault="00C05C54" w:rsidP="00C05C54">
      <w:pPr>
        <w:spacing w:line="480" w:lineRule="auto"/>
        <w:jc w:val="both"/>
        <w:rPr>
          <w:rFonts w:ascii="Arial" w:hAnsi="Arial" w:cs="Arial"/>
          <w:sz w:val="24"/>
          <w:lang w:val="en-US" w:eastAsia="de-DE"/>
        </w:rPr>
      </w:pPr>
      <w:r w:rsidRPr="00582F67">
        <w:rPr>
          <w:rFonts w:ascii="Arial" w:hAnsi="Arial" w:cs="Arial"/>
          <w:sz w:val="24"/>
          <w:lang w:val="en-US" w:eastAsia="de-DE"/>
        </w:rPr>
        <w:t xml:space="preserve">The initial regression model examining age, psychosis group, and their interaction was statistically significant, F(3, 185) = 9.71, </w:t>
      </w:r>
      <w:r w:rsidRPr="00582F67">
        <w:rPr>
          <w:rFonts w:ascii="Arial" w:hAnsi="Arial" w:cs="Arial"/>
          <w:i/>
          <w:sz w:val="24"/>
          <w:lang w:val="en-US" w:eastAsia="de-DE"/>
        </w:rPr>
        <w:t>p</w:t>
      </w:r>
      <w:r w:rsidRPr="00582F67">
        <w:rPr>
          <w:rFonts w:ascii="Arial" w:hAnsi="Arial" w:cs="Arial"/>
          <w:sz w:val="24"/>
          <w:lang w:val="en-US" w:eastAsia="de-DE"/>
        </w:rPr>
        <w:t xml:space="preserve"> &lt; .001, with R² = .136 (adjusted R² = .122). Both age (β = -0.014, SE = 0.003, t = -4.43, </w:t>
      </w:r>
      <w:r w:rsidRPr="00582F67">
        <w:rPr>
          <w:rFonts w:ascii="Arial" w:hAnsi="Arial" w:cs="Arial"/>
          <w:i/>
          <w:sz w:val="24"/>
          <w:lang w:val="en-US" w:eastAsia="de-DE"/>
        </w:rPr>
        <w:t xml:space="preserve">p </w:t>
      </w:r>
      <w:r w:rsidRPr="00582F67">
        <w:rPr>
          <w:rFonts w:ascii="Arial" w:hAnsi="Arial" w:cs="Arial"/>
          <w:sz w:val="24"/>
          <w:lang w:val="en-US" w:eastAsia="de-DE"/>
        </w:rPr>
        <w:t xml:space="preserve">&lt; .001, 95% CI [-0.020, -0.008], Cohen's f = 0.30, partial η² = .08) and psychosis (β = -0.785, SE = 0.219, t = -3.59, </w:t>
      </w:r>
      <w:r w:rsidRPr="00582F67">
        <w:rPr>
          <w:rFonts w:ascii="Arial" w:hAnsi="Arial" w:cs="Arial"/>
          <w:i/>
          <w:sz w:val="24"/>
          <w:lang w:val="en-US" w:eastAsia="de-DE"/>
        </w:rPr>
        <w:t>p</w:t>
      </w:r>
      <w:r w:rsidRPr="00582F67">
        <w:rPr>
          <w:rFonts w:ascii="Arial" w:hAnsi="Arial" w:cs="Arial"/>
          <w:sz w:val="24"/>
          <w:lang w:val="en-US" w:eastAsia="de-DE"/>
        </w:rPr>
        <w:t xml:space="preserve"> &lt; .001, </w:t>
      </w:r>
      <w:r w:rsidRPr="00582F67">
        <w:rPr>
          <w:rFonts w:ascii="Arial" w:hAnsi="Arial" w:cs="Arial"/>
          <w:sz w:val="24"/>
          <w:lang w:val="en-US" w:eastAsia="de-DE"/>
        </w:rPr>
        <w:lastRenderedPageBreak/>
        <w:t xml:space="preserve">95% CI [-1.217, -0.353], Cohen's f = 0.22, partial η² = .05) showed significant main effects. Critically, the age × psychosis interaction was significant (β = 0.015, SE = 0.005, t = 2.85, </w:t>
      </w:r>
      <w:r w:rsidRPr="00582F67">
        <w:rPr>
          <w:rFonts w:ascii="Arial" w:hAnsi="Arial" w:cs="Arial"/>
          <w:i/>
          <w:sz w:val="24"/>
          <w:lang w:val="en-US" w:eastAsia="de-DE"/>
        </w:rPr>
        <w:t>p</w:t>
      </w:r>
      <w:r w:rsidRPr="00582F67">
        <w:rPr>
          <w:rFonts w:ascii="Arial" w:hAnsi="Arial" w:cs="Arial"/>
          <w:sz w:val="24"/>
          <w:lang w:val="en-US" w:eastAsia="de-DE"/>
        </w:rPr>
        <w:t xml:space="preserve"> = .005, 95% CI [0.005, 0.026], Cohen's f = 0.19, partial η² = .03), indicating differential rates of cognitive decline between groups.</w:t>
      </w:r>
      <w:r w:rsidR="000B3E23">
        <w:rPr>
          <w:rFonts w:ascii="Arial" w:hAnsi="Arial" w:cs="Arial"/>
          <w:sz w:val="24"/>
          <w:lang w:val="en-US" w:eastAsia="de-DE"/>
        </w:rPr>
        <w:t xml:space="preserve"> </w:t>
      </w:r>
    </w:p>
    <w:p w14:paraId="5445DACB" w14:textId="66B88F5D" w:rsidR="0067557A" w:rsidRPr="0067557A" w:rsidRDefault="00E87263" w:rsidP="0067557A">
      <w:pPr>
        <w:rPr>
          <w:rFonts w:ascii="Arial" w:hAnsi="Arial" w:cs="Arial"/>
          <w:i/>
          <w:sz w:val="24"/>
          <w:szCs w:val="24"/>
          <w:lang w:val="en-US" w:eastAsia="de-DE"/>
        </w:rPr>
      </w:pPr>
      <w:r>
        <w:rPr>
          <w:rFonts w:ascii="Arial" w:hAnsi="Arial" w:cs="Arial"/>
          <w:i/>
          <w:sz w:val="24"/>
          <w:szCs w:val="24"/>
          <w:lang w:val="en-US" w:eastAsia="de-DE"/>
        </w:rPr>
        <w:t>WMC</w:t>
      </w:r>
      <w:r w:rsidR="0067557A">
        <w:rPr>
          <w:rFonts w:ascii="Arial" w:hAnsi="Arial" w:cs="Arial"/>
          <w:i/>
          <w:sz w:val="24"/>
          <w:szCs w:val="24"/>
          <w:lang w:val="en-US" w:eastAsia="de-DE"/>
        </w:rPr>
        <w:t xml:space="preserve"> </w:t>
      </w:r>
      <w:r w:rsidR="0067557A" w:rsidRPr="0067557A">
        <w:rPr>
          <w:rFonts w:ascii="Arial" w:hAnsi="Arial" w:cs="Arial"/>
          <w:i/>
          <w:sz w:val="24"/>
          <w:szCs w:val="24"/>
          <w:lang w:val="en-US" w:eastAsia="de-DE"/>
        </w:rPr>
        <w:t>task</w:t>
      </w:r>
    </w:p>
    <w:p w14:paraId="16E77E55" w14:textId="77777777" w:rsidR="0067557A" w:rsidRDefault="0067557A" w:rsidP="0067557A">
      <w:pPr>
        <w:pStyle w:val="Textkrper-Einzug2"/>
        <w:rPr>
          <w:lang w:val="en-US"/>
        </w:rPr>
      </w:pPr>
      <w:r w:rsidRPr="70B80281">
        <w:rPr>
          <w:lang w:val="en-US"/>
        </w:rPr>
        <w:t xml:space="preserve">The initial regression model was statistically significant, F(3, 185) = 6.98, </w:t>
      </w:r>
      <w:r w:rsidRPr="0067557A">
        <w:rPr>
          <w:i/>
          <w:lang w:val="en-US"/>
        </w:rPr>
        <w:t>p</w:t>
      </w:r>
      <w:r w:rsidRPr="70B80281">
        <w:rPr>
          <w:lang w:val="en-US"/>
        </w:rPr>
        <w:t xml:space="preserve"> &lt; .001, with R² = .102 (adjusted R² = .088), indicating that approximately 9% of variance in working memory capacity was explained by age, psychosis, and their interaction. Both age (β = -0.018, SE = 0.005, t = -3.43, </w:t>
      </w:r>
      <w:r w:rsidRPr="0067557A">
        <w:rPr>
          <w:i/>
          <w:lang w:val="en-US"/>
        </w:rPr>
        <w:t>p</w:t>
      </w:r>
      <w:r w:rsidRPr="70B80281">
        <w:rPr>
          <w:lang w:val="en-US"/>
        </w:rPr>
        <w:t xml:space="preserve"> &lt; .001, 95% CI [-0.028, -0.008], Cohen's f = 0.24, partial η² = .06) and psychosis (β = -0.762, SE = 0.359, t = -2.12, </w:t>
      </w:r>
      <w:r w:rsidRPr="0067557A">
        <w:rPr>
          <w:i/>
          <w:lang w:val="en-US"/>
        </w:rPr>
        <w:t>p</w:t>
      </w:r>
      <w:r w:rsidRPr="70B80281">
        <w:rPr>
          <w:lang w:val="en-US"/>
        </w:rPr>
        <w:t xml:space="preserve"> = .035, 95% CI [-1.471, -0.054], Cohen's f = 0.19, partial η² = .03) showed significant effects. However, unlike attentional control, the age × psychosis interaction was not significant (β = 0.012, SE = 0.009, t = 1.38, </w:t>
      </w:r>
      <w:r w:rsidRPr="0067557A">
        <w:rPr>
          <w:i/>
          <w:lang w:val="en-US"/>
        </w:rPr>
        <w:t xml:space="preserve">p </w:t>
      </w:r>
      <w:r w:rsidRPr="70B80281">
        <w:rPr>
          <w:lang w:val="en-US"/>
        </w:rPr>
        <w:t>= .169, 95% CI [-0.005, 0.029], Cohen's f = 0.09), indicating similar rates of age-related decline across groups.</w:t>
      </w:r>
      <w:r w:rsidRPr="0067557A">
        <w:rPr>
          <w:lang w:val="en-US"/>
        </w:rPr>
        <w:t xml:space="preserve"> </w:t>
      </w:r>
    </w:p>
    <w:p w14:paraId="49E63B86" w14:textId="77777777" w:rsidR="00435611" w:rsidRDefault="00435611">
      <w:pPr>
        <w:rPr>
          <w:lang w:val="en-US"/>
        </w:rPr>
      </w:pPr>
    </w:p>
    <w:tbl>
      <w:tblPr>
        <w:tblStyle w:val="Tabellenraster"/>
        <w:tblW w:w="9923" w:type="dxa"/>
        <w:tblInd w:w="-289" w:type="dxa"/>
        <w:tblLayout w:type="fixed"/>
        <w:tblLook w:val="04A0" w:firstRow="1" w:lastRow="0" w:firstColumn="1" w:lastColumn="0" w:noHBand="0" w:noVBand="1"/>
      </w:tblPr>
      <w:tblGrid>
        <w:gridCol w:w="993"/>
        <w:gridCol w:w="709"/>
        <w:gridCol w:w="803"/>
        <w:gridCol w:w="1133"/>
        <w:gridCol w:w="1341"/>
        <w:gridCol w:w="1598"/>
        <w:gridCol w:w="1362"/>
        <w:gridCol w:w="1984"/>
      </w:tblGrid>
      <w:tr w:rsidR="00961804" w:rsidRPr="00790735" w14:paraId="574BE852" w14:textId="77777777" w:rsidTr="00961804">
        <w:trPr>
          <w:trHeight w:val="992"/>
        </w:trPr>
        <w:tc>
          <w:tcPr>
            <w:tcW w:w="993" w:type="dxa"/>
          </w:tcPr>
          <w:p w14:paraId="215CABB5" w14:textId="77777777" w:rsidR="00961804" w:rsidRPr="00790735" w:rsidRDefault="00961804" w:rsidP="003B3B24">
            <w:pPr>
              <w:spacing w:line="480" w:lineRule="auto"/>
              <w:rPr>
                <w:rFonts w:ascii="Arial" w:hAnsi="Arial" w:cs="Arial"/>
                <w:b/>
              </w:rPr>
            </w:pPr>
            <w:r w:rsidRPr="00790735">
              <w:rPr>
                <w:rFonts w:ascii="Arial" w:hAnsi="Arial" w:cs="Arial"/>
                <w:b/>
              </w:rPr>
              <w:t>Group</w:t>
            </w:r>
          </w:p>
        </w:tc>
        <w:tc>
          <w:tcPr>
            <w:tcW w:w="709" w:type="dxa"/>
          </w:tcPr>
          <w:p w14:paraId="7B3403E9" w14:textId="77777777" w:rsidR="00961804" w:rsidRPr="00790735" w:rsidRDefault="00961804" w:rsidP="003B3B24">
            <w:pPr>
              <w:spacing w:line="480" w:lineRule="auto"/>
              <w:rPr>
                <w:rFonts w:ascii="Arial" w:hAnsi="Arial" w:cs="Arial"/>
                <w:b/>
              </w:rPr>
            </w:pPr>
            <w:r w:rsidRPr="00790735">
              <w:rPr>
                <w:rFonts w:ascii="Arial" w:hAnsi="Arial" w:cs="Arial"/>
                <w:b/>
              </w:rPr>
              <w:t>FGA</w:t>
            </w:r>
          </w:p>
        </w:tc>
        <w:tc>
          <w:tcPr>
            <w:tcW w:w="803" w:type="dxa"/>
          </w:tcPr>
          <w:p w14:paraId="1586F496" w14:textId="77777777" w:rsidR="00961804" w:rsidRPr="00790735" w:rsidRDefault="00961804" w:rsidP="003B3B24">
            <w:pPr>
              <w:spacing w:line="480" w:lineRule="auto"/>
              <w:rPr>
                <w:rFonts w:ascii="Arial" w:hAnsi="Arial" w:cs="Arial"/>
                <w:b/>
              </w:rPr>
            </w:pPr>
            <w:r w:rsidRPr="00790735">
              <w:rPr>
                <w:rFonts w:ascii="Arial" w:hAnsi="Arial" w:cs="Arial"/>
                <w:b/>
              </w:rPr>
              <w:t>SGA</w:t>
            </w:r>
          </w:p>
        </w:tc>
        <w:tc>
          <w:tcPr>
            <w:tcW w:w="1133" w:type="dxa"/>
          </w:tcPr>
          <w:p w14:paraId="486FBE59" w14:textId="77777777" w:rsidR="00961804" w:rsidRPr="00790735" w:rsidRDefault="00961804" w:rsidP="003B3B24">
            <w:pPr>
              <w:spacing w:line="480" w:lineRule="auto"/>
              <w:rPr>
                <w:rFonts w:ascii="Arial" w:hAnsi="Arial" w:cs="Arial"/>
                <w:b/>
              </w:rPr>
            </w:pPr>
            <w:r w:rsidRPr="00790735">
              <w:rPr>
                <w:rFonts w:ascii="Arial" w:hAnsi="Arial" w:cs="Arial"/>
                <w:b/>
              </w:rPr>
              <w:t>Lithium</w:t>
            </w:r>
          </w:p>
        </w:tc>
        <w:tc>
          <w:tcPr>
            <w:tcW w:w="1341" w:type="dxa"/>
          </w:tcPr>
          <w:p w14:paraId="6871B8A8" w14:textId="04E23BD0" w:rsidR="00961804" w:rsidRPr="00790735" w:rsidRDefault="00961804" w:rsidP="003B3B24">
            <w:pPr>
              <w:spacing w:line="480" w:lineRule="auto"/>
              <w:rPr>
                <w:rFonts w:ascii="Arial" w:hAnsi="Arial" w:cs="Arial"/>
                <w:b/>
              </w:rPr>
            </w:pPr>
            <w:r>
              <w:rPr>
                <w:rFonts w:ascii="Arial" w:hAnsi="Arial" w:cs="Arial"/>
                <w:b/>
              </w:rPr>
              <w:t>Valproate</w:t>
            </w:r>
          </w:p>
        </w:tc>
        <w:tc>
          <w:tcPr>
            <w:tcW w:w="1598" w:type="dxa"/>
          </w:tcPr>
          <w:p w14:paraId="6266333B" w14:textId="6CBD9667" w:rsidR="00961804" w:rsidRPr="00790735" w:rsidRDefault="00961804" w:rsidP="003B3B24">
            <w:pPr>
              <w:spacing w:line="480" w:lineRule="auto"/>
              <w:rPr>
                <w:rFonts w:ascii="Arial" w:hAnsi="Arial" w:cs="Arial"/>
                <w:b/>
              </w:rPr>
            </w:pPr>
            <w:proofErr w:type="spellStart"/>
            <w:r>
              <w:rPr>
                <w:rFonts w:ascii="Arial" w:hAnsi="Arial" w:cs="Arial"/>
                <w:b/>
              </w:rPr>
              <w:t>Lamotrigine</w:t>
            </w:r>
            <w:proofErr w:type="spellEnd"/>
          </w:p>
        </w:tc>
        <w:tc>
          <w:tcPr>
            <w:tcW w:w="1362" w:type="dxa"/>
          </w:tcPr>
          <w:p w14:paraId="765497B1" w14:textId="467EC24B" w:rsidR="00961804" w:rsidRPr="00790735" w:rsidRDefault="00961804" w:rsidP="003B3B24">
            <w:pPr>
              <w:spacing w:line="480" w:lineRule="auto"/>
              <w:rPr>
                <w:rFonts w:ascii="Arial" w:hAnsi="Arial" w:cs="Arial"/>
                <w:b/>
              </w:rPr>
            </w:pPr>
            <w:r>
              <w:rPr>
                <w:rFonts w:ascii="Arial" w:hAnsi="Arial" w:cs="Arial"/>
                <w:b/>
              </w:rPr>
              <w:t>Pregabalin</w:t>
            </w:r>
          </w:p>
        </w:tc>
        <w:tc>
          <w:tcPr>
            <w:tcW w:w="1984" w:type="dxa"/>
          </w:tcPr>
          <w:p w14:paraId="264C46FC" w14:textId="77777777" w:rsidR="00961804" w:rsidRPr="00790735" w:rsidRDefault="00961804" w:rsidP="003B3B24">
            <w:pPr>
              <w:spacing w:line="480" w:lineRule="auto"/>
              <w:rPr>
                <w:rFonts w:ascii="Arial" w:hAnsi="Arial" w:cs="Arial"/>
                <w:b/>
              </w:rPr>
            </w:pPr>
            <w:proofErr w:type="spellStart"/>
            <w:r w:rsidRPr="00790735">
              <w:rPr>
                <w:rFonts w:ascii="Arial" w:hAnsi="Arial" w:cs="Arial"/>
                <w:b/>
              </w:rPr>
              <w:t>Antidepressants</w:t>
            </w:r>
            <w:proofErr w:type="spellEnd"/>
          </w:p>
        </w:tc>
      </w:tr>
      <w:tr w:rsidR="00961804" w:rsidRPr="00790735" w14:paraId="0052B4E6" w14:textId="77777777" w:rsidTr="00961804">
        <w:tc>
          <w:tcPr>
            <w:tcW w:w="993" w:type="dxa"/>
          </w:tcPr>
          <w:p w14:paraId="161C632A" w14:textId="0A7AE1D7" w:rsidR="00961804" w:rsidRPr="007319FD" w:rsidRDefault="00961804" w:rsidP="003B3B24">
            <w:pPr>
              <w:spacing w:line="480" w:lineRule="auto"/>
              <w:rPr>
                <w:rFonts w:ascii="Arial" w:hAnsi="Arial" w:cs="Arial"/>
                <w:b/>
              </w:rPr>
            </w:pPr>
            <w:r>
              <w:rPr>
                <w:rFonts w:ascii="Arial" w:hAnsi="Arial" w:cs="Arial"/>
                <w:b/>
              </w:rPr>
              <w:t>HCS</w:t>
            </w:r>
          </w:p>
        </w:tc>
        <w:tc>
          <w:tcPr>
            <w:tcW w:w="709" w:type="dxa"/>
          </w:tcPr>
          <w:p w14:paraId="5A14FFC6" w14:textId="77777777"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803" w:type="dxa"/>
          </w:tcPr>
          <w:p w14:paraId="72A52DA3" w14:textId="77777777"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1133" w:type="dxa"/>
          </w:tcPr>
          <w:p w14:paraId="0C76E385" w14:textId="40C79124"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1341" w:type="dxa"/>
          </w:tcPr>
          <w:p w14:paraId="5C121687" w14:textId="3FDDF332"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1598" w:type="dxa"/>
          </w:tcPr>
          <w:p w14:paraId="6FF80682" w14:textId="18884C25"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1362" w:type="dxa"/>
          </w:tcPr>
          <w:p w14:paraId="3CCEF368" w14:textId="05C84B29"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1984" w:type="dxa"/>
          </w:tcPr>
          <w:p w14:paraId="6A5CAC81" w14:textId="77777777" w:rsidR="00961804" w:rsidRPr="00961804" w:rsidRDefault="00961804" w:rsidP="003B3B24">
            <w:pPr>
              <w:spacing w:line="480" w:lineRule="auto"/>
              <w:jc w:val="center"/>
              <w:rPr>
                <w:rFonts w:ascii="Arial" w:hAnsi="Arial" w:cs="Arial"/>
              </w:rPr>
            </w:pPr>
            <w:r w:rsidRPr="00961804">
              <w:rPr>
                <w:rFonts w:ascii="Arial" w:hAnsi="Arial" w:cs="Arial"/>
              </w:rPr>
              <w:t>–</w:t>
            </w:r>
          </w:p>
        </w:tc>
      </w:tr>
      <w:tr w:rsidR="00961804" w:rsidRPr="00790735" w14:paraId="44CF4D29" w14:textId="77777777" w:rsidTr="00961804">
        <w:tc>
          <w:tcPr>
            <w:tcW w:w="993" w:type="dxa"/>
          </w:tcPr>
          <w:p w14:paraId="678CD1A8" w14:textId="7D77C2D2" w:rsidR="00961804" w:rsidRPr="007319FD" w:rsidRDefault="00961804" w:rsidP="003B3B24">
            <w:pPr>
              <w:spacing w:line="480" w:lineRule="auto"/>
              <w:rPr>
                <w:rFonts w:ascii="Arial" w:hAnsi="Arial" w:cs="Arial"/>
                <w:b/>
              </w:rPr>
            </w:pPr>
            <w:r>
              <w:rPr>
                <w:rFonts w:ascii="Arial" w:hAnsi="Arial" w:cs="Arial"/>
                <w:b/>
              </w:rPr>
              <w:t>PSZ</w:t>
            </w:r>
          </w:p>
        </w:tc>
        <w:tc>
          <w:tcPr>
            <w:tcW w:w="709" w:type="dxa"/>
          </w:tcPr>
          <w:p w14:paraId="20540D7F" w14:textId="77777777" w:rsidR="00961804" w:rsidRPr="00961804" w:rsidRDefault="00961804" w:rsidP="003B3B24">
            <w:pPr>
              <w:spacing w:line="480" w:lineRule="auto"/>
              <w:jc w:val="center"/>
              <w:rPr>
                <w:rFonts w:ascii="Arial" w:hAnsi="Arial" w:cs="Arial"/>
              </w:rPr>
            </w:pPr>
            <w:r w:rsidRPr="00961804">
              <w:rPr>
                <w:rFonts w:ascii="Arial" w:hAnsi="Arial" w:cs="Arial"/>
              </w:rPr>
              <w:t>6</w:t>
            </w:r>
          </w:p>
        </w:tc>
        <w:tc>
          <w:tcPr>
            <w:tcW w:w="803" w:type="dxa"/>
          </w:tcPr>
          <w:p w14:paraId="53969774" w14:textId="78170240" w:rsidR="00961804" w:rsidRPr="00961804" w:rsidRDefault="00961804" w:rsidP="003B3B24">
            <w:pPr>
              <w:spacing w:line="480" w:lineRule="auto"/>
              <w:jc w:val="center"/>
              <w:rPr>
                <w:rFonts w:ascii="Arial" w:hAnsi="Arial" w:cs="Arial"/>
              </w:rPr>
            </w:pPr>
            <w:r w:rsidRPr="00961804">
              <w:rPr>
                <w:rFonts w:ascii="Arial" w:hAnsi="Arial" w:cs="Arial"/>
              </w:rPr>
              <w:t>60</w:t>
            </w:r>
          </w:p>
        </w:tc>
        <w:tc>
          <w:tcPr>
            <w:tcW w:w="1133" w:type="dxa"/>
          </w:tcPr>
          <w:p w14:paraId="6B175C4D" w14:textId="77777777" w:rsidR="00961804" w:rsidRPr="00961804" w:rsidRDefault="00961804" w:rsidP="003B3B24">
            <w:pPr>
              <w:spacing w:line="480" w:lineRule="auto"/>
              <w:jc w:val="center"/>
              <w:rPr>
                <w:rFonts w:ascii="Arial" w:hAnsi="Arial" w:cs="Arial"/>
              </w:rPr>
            </w:pPr>
            <w:r w:rsidRPr="00961804">
              <w:rPr>
                <w:rFonts w:ascii="Arial" w:hAnsi="Arial" w:cs="Arial"/>
              </w:rPr>
              <w:t>3</w:t>
            </w:r>
          </w:p>
        </w:tc>
        <w:tc>
          <w:tcPr>
            <w:tcW w:w="1341" w:type="dxa"/>
          </w:tcPr>
          <w:p w14:paraId="6CFB4103" w14:textId="25BE3F66" w:rsidR="00961804" w:rsidRPr="00961804" w:rsidRDefault="00961804" w:rsidP="003B3B24">
            <w:pPr>
              <w:spacing w:line="480" w:lineRule="auto"/>
              <w:jc w:val="center"/>
              <w:rPr>
                <w:rFonts w:ascii="Arial" w:hAnsi="Arial" w:cs="Arial"/>
              </w:rPr>
            </w:pPr>
            <w:r w:rsidRPr="00961804">
              <w:rPr>
                <w:rFonts w:ascii="Arial" w:hAnsi="Arial" w:cs="Arial"/>
              </w:rPr>
              <w:t>2</w:t>
            </w:r>
          </w:p>
        </w:tc>
        <w:tc>
          <w:tcPr>
            <w:tcW w:w="1598" w:type="dxa"/>
          </w:tcPr>
          <w:p w14:paraId="47DDF824" w14:textId="6C446FF7"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1362" w:type="dxa"/>
          </w:tcPr>
          <w:p w14:paraId="0B5BE089" w14:textId="33AD350B" w:rsidR="00961804" w:rsidRPr="00961804" w:rsidRDefault="00961804" w:rsidP="003B3B24">
            <w:pPr>
              <w:spacing w:line="480" w:lineRule="auto"/>
              <w:jc w:val="center"/>
              <w:rPr>
                <w:rFonts w:ascii="Arial" w:hAnsi="Arial" w:cs="Arial"/>
              </w:rPr>
            </w:pPr>
            <w:r w:rsidRPr="00961804">
              <w:rPr>
                <w:rFonts w:ascii="Arial" w:hAnsi="Arial" w:cs="Arial"/>
              </w:rPr>
              <w:t>1</w:t>
            </w:r>
          </w:p>
        </w:tc>
        <w:tc>
          <w:tcPr>
            <w:tcW w:w="1984" w:type="dxa"/>
          </w:tcPr>
          <w:p w14:paraId="5EC19DCB" w14:textId="77777777" w:rsidR="00961804" w:rsidRPr="00961804" w:rsidRDefault="00961804" w:rsidP="003B3B24">
            <w:pPr>
              <w:spacing w:line="480" w:lineRule="auto"/>
              <w:jc w:val="center"/>
              <w:rPr>
                <w:rFonts w:ascii="Arial" w:hAnsi="Arial" w:cs="Arial"/>
              </w:rPr>
            </w:pPr>
            <w:r w:rsidRPr="00961804">
              <w:rPr>
                <w:rFonts w:ascii="Arial" w:hAnsi="Arial" w:cs="Arial"/>
              </w:rPr>
              <w:t>14</w:t>
            </w:r>
          </w:p>
        </w:tc>
      </w:tr>
      <w:tr w:rsidR="00961804" w:rsidRPr="00790735" w14:paraId="7312E1C5" w14:textId="77777777" w:rsidTr="00961804">
        <w:tc>
          <w:tcPr>
            <w:tcW w:w="993" w:type="dxa"/>
          </w:tcPr>
          <w:p w14:paraId="70699E91" w14:textId="5F730AE5" w:rsidR="00961804" w:rsidRDefault="00961804" w:rsidP="003B3B24">
            <w:pPr>
              <w:spacing w:line="480" w:lineRule="auto"/>
              <w:rPr>
                <w:rFonts w:ascii="Arial" w:hAnsi="Arial" w:cs="Arial"/>
                <w:b/>
              </w:rPr>
            </w:pPr>
            <w:r>
              <w:rPr>
                <w:rFonts w:ascii="Arial" w:hAnsi="Arial" w:cs="Arial"/>
                <w:b/>
              </w:rPr>
              <w:t>PBD</w:t>
            </w:r>
          </w:p>
        </w:tc>
        <w:tc>
          <w:tcPr>
            <w:tcW w:w="709" w:type="dxa"/>
          </w:tcPr>
          <w:p w14:paraId="1EF51664" w14:textId="45F9291C"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803" w:type="dxa"/>
          </w:tcPr>
          <w:p w14:paraId="3B68BB97" w14:textId="70B68B3C" w:rsidR="00961804" w:rsidRPr="00961804" w:rsidRDefault="00961804" w:rsidP="003B3B24">
            <w:pPr>
              <w:spacing w:line="480" w:lineRule="auto"/>
              <w:jc w:val="center"/>
              <w:rPr>
                <w:rFonts w:ascii="Arial" w:hAnsi="Arial" w:cs="Arial"/>
              </w:rPr>
            </w:pPr>
            <w:r w:rsidRPr="00961804">
              <w:rPr>
                <w:rFonts w:ascii="Arial" w:hAnsi="Arial" w:cs="Arial"/>
              </w:rPr>
              <w:t>31</w:t>
            </w:r>
          </w:p>
        </w:tc>
        <w:tc>
          <w:tcPr>
            <w:tcW w:w="1133" w:type="dxa"/>
          </w:tcPr>
          <w:p w14:paraId="3BF171B6" w14:textId="2F8DA7CB" w:rsidR="00961804" w:rsidRPr="00961804" w:rsidRDefault="00961804" w:rsidP="003B3B24">
            <w:pPr>
              <w:spacing w:line="480" w:lineRule="auto"/>
              <w:jc w:val="center"/>
              <w:rPr>
                <w:rFonts w:ascii="Arial" w:hAnsi="Arial" w:cs="Arial"/>
              </w:rPr>
            </w:pPr>
            <w:r w:rsidRPr="00961804">
              <w:rPr>
                <w:rFonts w:ascii="Arial" w:hAnsi="Arial" w:cs="Arial"/>
              </w:rPr>
              <w:t>27</w:t>
            </w:r>
          </w:p>
        </w:tc>
        <w:tc>
          <w:tcPr>
            <w:tcW w:w="1341" w:type="dxa"/>
          </w:tcPr>
          <w:p w14:paraId="7D559EBB" w14:textId="686AE39F" w:rsidR="00961804" w:rsidRPr="00961804" w:rsidRDefault="00961804" w:rsidP="003B3B24">
            <w:pPr>
              <w:spacing w:line="480" w:lineRule="auto"/>
              <w:jc w:val="center"/>
              <w:rPr>
                <w:rFonts w:ascii="Arial" w:hAnsi="Arial" w:cs="Arial"/>
              </w:rPr>
            </w:pPr>
            <w:r w:rsidRPr="00961804">
              <w:rPr>
                <w:rFonts w:ascii="Arial" w:hAnsi="Arial" w:cs="Arial"/>
              </w:rPr>
              <w:t>9</w:t>
            </w:r>
          </w:p>
        </w:tc>
        <w:tc>
          <w:tcPr>
            <w:tcW w:w="1598" w:type="dxa"/>
          </w:tcPr>
          <w:p w14:paraId="798FBC1F" w14:textId="67AB3289" w:rsidR="00961804" w:rsidRPr="00961804" w:rsidRDefault="00961804" w:rsidP="003B3B24">
            <w:pPr>
              <w:spacing w:line="480" w:lineRule="auto"/>
              <w:jc w:val="center"/>
              <w:rPr>
                <w:rFonts w:ascii="Arial" w:hAnsi="Arial" w:cs="Arial"/>
              </w:rPr>
            </w:pPr>
            <w:r w:rsidRPr="00961804">
              <w:rPr>
                <w:rFonts w:ascii="Arial" w:hAnsi="Arial" w:cs="Arial"/>
              </w:rPr>
              <w:t>9</w:t>
            </w:r>
          </w:p>
        </w:tc>
        <w:tc>
          <w:tcPr>
            <w:tcW w:w="1362" w:type="dxa"/>
          </w:tcPr>
          <w:p w14:paraId="38A43580" w14:textId="2DBEA190" w:rsidR="00961804" w:rsidRPr="00961804" w:rsidRDefault="00961804" w:rsidP="003B3B24">
            <w:pPr>
              <w:spacing w:line="480" w:lineRule="auto"/>
              <w:jc w:val="center"/>
              <w:rPr>
                <w:rFonts w:ascii="Arial" w:hAnsi="Arial" w:cs="Arial"/>
              </w:rPr>
            </w:pPr>
            <w:r w:rsidRPr="00961804">
              <w:rPr>
                <w:rFonts w:ascii="Arial" w:hAnsi="Arial" w:cs="Arial"/>
              </w:rPr>
              <w:t>-</w:t>
            </w:r>
          </w:p>
        </w:tc>
        <w:tc>
          <w:tcPr>
            <w:tcW w:w="1984" w:type="dxa"/>
          </w:tcPr>
          <w:p w14:paraId="0EA535F0" w14:textId="08D09BE4" w:rsidR="00961804" w:rsidRPr="00961804" w:rsidRDefault="00961804" w:rsidP="003B3B24">
            <w:pPr>
              <w:spacing w:line="480" w:lineRule="auto"/>
              <w:jc w:val="center"/>
              <w:rPr>
                <w:rFonts w:ascii="Arial" w:hAnsi="Arial" w:cs="Arial"/>
              </w:rPr>
            </w:pPr>
            <w:r w:rsidRPr="00961804">
              <w:rPr>
                <w:rFonts w:ascii="Arial" w:hAnsi="Arial" w:cs="Arial"/>
              </w:rPr>
              <w:t>25</w:t>
            </w:r>
          </w:p>
        </w:tc>
      </w:tr>
    </w:tbl>
    <w:p w14:paraId="5FD0049F" w14:textId="77777777" w:rsidR="005D43EF" w:rsidRDefault="005D43EF" w:rsidP="005D43EF">
      <w:pPr>
        <w:autoSpaceDE w:val="0"/>
        <w:autoSpaceDN w:val="0"/>
        <w:adjustRightInd w:val="0"/>
        <w:spacing w:after="0" w:line="360" w:lineRule="auto"/>
        <w:rPr>
          <w:rFonts w:ascii="Arial" w:hAnsi="Arial" w:cs="Arial"/>
          <w:sz w:val="24"/>
          <w:szCs w:val="20"/>
        </w:rPr>
      </w:pPr>
    </w:p>
    <w:p w14:paraId="208669CF" w14:textId="597D8852" w:rsidR="00B52628" w:rsidRPr="00C05C54" w:rsidRDefault="005D43EF" w:rsidP="00961804">
      <w:pPr>
        <w:autoSpaceDE w:val="0"/>
        <w:autoSpaceDN w:val="0"/>
        <w:adjustRightInd w:val="0"/>
        <w:spacing w:after="0" w:line="360" w:lineRule="auto"/>
        <w:rPr>
          <w:lang w:val="en-US"/>
        </w:rPr>
      </w:pPr>
      <w:r>
        <w:rPr>
          <w:rFonts w:ascii="Arial" w:hAnsi="Arial" w:cs="Arial"/>
          <w:sz w:val="24"/>
          <w:szCs w:val="20"/>
          <w:lang w:val="en-US"/>
        </w:rPr>
        <w:t xml:space="preserve">Table S1. </w:t>
      </w:r>
      <w:r w:rsidRPr="005D43EF">
        <w:rPr>
          <w:rFonts w:ascii="Arial" w:hAnsi="Arial" w:cs="Arial"/>
          <w:sz w:val="24"/>
          <w:szCs w:val="20"/>
          <w:lang w:val="en-US"/>
        </w:rPr>
        <w:t>Number of patients receiving the different medication</w:t>
      </w:r>
      <w:r w:rsidR="00961804">
        <w:rPr>
          <w:rFonts w:ascii="Arial" w:hAnsi="Arial" w:cs="Arial"/>
          <w:sz w:val="24"/>
          <w:szCs w:val="20"/>
          <w:lang w:val="en-US"/>
        </w:rPr>
        <w:t>s</w:t>
      </w:r>
      <w:r w:rsidRPr="005D43EF">
        <w:rPr>
          <w:rFonts w:ascii="Arial" w:hAnsi="Arial" w:cs="Arial"/>
          <w:sz w:val="24"/>
          <w:szCs w:val="20"/>
          <w:lang w:val="en-US"/>
        </w:rPr>
        <w:t xml:space="preserve"> at time of study. FGA = first-generation antipsychotics, SGA = second-generation antipsychotics</w:t>
      </w:r>
      <w:r w:rsidR="00961804">
        <w:rPr>
          <w:rFonts w:ascii="Arial" w:hAnsi="Arial" w:cs="Arial"/>
          <w:sz w:val="24"/>
          <w:szCs w:val="20"/>
          <w:lang w:val="en-US"/>
        </w:rPr>
        <w:t>.</w:t>
      </w:r>
    </w:p>
    <w:sectPr w:rsidR="00B52628" w:rsidRPr="00C05C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54"/>
    <w:rsid w:val="000B3E23"/>
    <w:rsid w:val="00435611"/>
    <w:rsid w:val="004524DE"/>
    <w:rsid w:val="00582F67"/>
    <w:rsid w:val="005D43EF"/>
    <w:rsid w:val="0067557A"/>
    <w:rsid w:val="00680FBF"/>
    <w:rsid w:val="00807D41"/>
    <w:rsid w:val="00961804"/>
    <w:rsid w:val="009F1199"/>
    <w:rsid w:val="00B52628"/>
    <w:rsid w:val="00BC045C"/>
    <w:rsid w:val="00C05C54"/>
    <w:rsid w:val="00CF4F69"/>
    <w:rsid w:val="00D0469F"/>
    <w:rsid w:val="00E477B1"/>
    <w:rsid w:val="00E872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5873"/>
  <w15:chartTrackingRefBased/>
  <w15:docId w15:val="{683A223B-15F7-4761-92D7-A52448C0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berschrift2"/>
    <w:next w:val="Standard"/>
    <w:link w:val="berschrift1Zchn"/>
    <w:uiPriority w:val="9"/>
    <w:qFormat/>
    <w:rsid w:val="00C05C54"/>
    <w:pPr>
      <w:keepNext w:val="0"/>
      <w:keepLines w:val="0"/>
      <w:spacing w:before="0" w:line="480" w:lineRule="auto"/>
      <w:outlineLvl w:val="0"/>
    </w:pPr>
    <w:rPr>
      <w:rFonts w:ascii="Arial" w:eastAsia="Times New Roman" w:hAnsi="Arial" w:cs="Arial"/>
      <w:b/>
      <w:caps/>
      <w:color w:val="auto"/>
      <w:sz w:val="24"/>
      <w:szCs w:val="24"/>
      <w:lang w:val="en-US" w:eastAsia="de-DE"/>
    </w:rPr>
  </w:style>
  <w:style w:type="paragraph" w:styleId="berschrift2">
    <w:name w:val="heading 2"/>
    <w:basedOn w:val="Standard"/>
    <w:next w:val="Standard"/>
    <w:link w:val="berschrift2Zchn"/>
    <w:uiPriority w:val="9"/>
    <w:semiHidden/>
    <w:unhideWhenUsed/>
    <w:qFormat/>
    <w:rsid w:val="00C05C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5C54"/>
    <w:rPr>
      <w:rFonts w:ascii="Arial" w:eastAsia="Times New Roman" w:hAnsi="Arial" w:cs="Arial"/>
      <w:b/>
      <w:caps/>
      <w:sz w:val="24"/>
      <w:szCs w:val="24"/>
      <w:lang w:val="en-US" w:eastAsia="de-DE"/>
    </w:rPr>
  </w:style>
  <w:style w:type="character" w:styleId="Kommentarzeichen">
    <w:name w:val="annotation reference"/>
    <w:basedOn w:val="Absatz-Standardschriftart"/>
    <w:semiHidden/>
    <w:rsid w:val="00C05C54"/>
    <w:rPr>
      <w:sz w:val="16"/>
    </w:rPr>
  </w:style>
  <w:style w:type="paragraph" w:styleId="Titel">
    <w:name w:val="Title"/>
    <w:basedOn w:val="Standard"/>
    <w:next w:val="Standard"/>
    <w:link w:val="TitelZchn"/>
    <w:uiPriority w:val="10"/>
    <w:qFormat/>
    <w:rsid w:val="00C05C54"/>
    <w:pPr>
      <w:spacing w:after="0" w:line="480" w:lineRule="auto"/>
    </w:pPr>
    <w:rPr>
      <w:rFonts w:ascii="Arial" w:eastAsia="Times New Roman" w:hAnsi="Arial" w:cs="Arial"/>
      <w:b/>
      <w:sz w:val="24"/>
      <w:szCs w:val="24"/>
      <w:lang w:val="en-US" w:eastAsia="de-DE"/>
    </w:rPr>
  </w:style>
  <w:style w:type="character" w:customStyle="1" w:styleId="TitelZchn">
    <w:name w:val="Titel Zchn"/>
    <w:basedOn w:val="Absatz-Standardschriftart"/>
    <w:link w:val="Titel"/>
    <w:uiPriority w:val="10"/>
    <w:rsid w:val="00C05C54"/>
    <w:rPr>
      <w:rFonts w:ascii="Arial" w:eastAsia="Times New Roman" w:hAnsi="Arial" w:cs="Arial"/>
      <w:b/>
      <w:sz w:val="24"/>
      <w:szCs w:val="24"/>
      <w:lang w:val="en-US" w:eastAsia="de-DE"/>
    </w:rPr>
  </w:style>
  <w:style w:type="character" w:customStyle="1" w:styleId="berschrift2Zchn">
    <w:name w:val="Überschrift 2 Zchn"/>
    <w:basedOn w:val="Absatz-Standardschriftart"/>
    <w:link w:val="berschrift2"/>
    <w:uiPriority w:val="9"/>
    <w:semiHidden/>
    <w:rsid w:val="00C05C54"/>
    <w:rPr>
      <w:rFonts w:asciiTheme="majorHAnsi" w:eastAsiaTheme="majorEastAsia" w:hAnsiTheme="majorHAnsi" w:cstheme="majorBidi"/>
      <w:color w:val="2E74B5" w:themeColor="accent1" w:themeShade="BF"/>
      <w:sz w:val="26"/>
      <w:szCs w:val="26"/>
    </w:rPr>
  </w:style>
  <w:style w:type="paragraph" w:styleId="Textkrper-Einzug2">
    <w:name w:val="Body Text Indent 2"/>
    <w:basedOn w:val="Standard"/>
    <w:link w:val="Textkrper-Einzug2Zchn"/>
    <w:rsid w:val="0067557A"/>
    <w:pPr>
      <w:spacing w:after="0" w:line="480" w:lineRule="auto"/>
      <w:ind w:firstLine="284"/>
    </w:pPr>
    <w:rPr>
      <w:rFonts w:ascii="Arial" w:eastAsia="Times New Roman" w:hAnsi="Arial" w:cs="Arial"/>
      <w:sz w:val="24"/>
      <w:szCs w:val="24"/>
      <w:lang w:val="en-GB" w:eastAsia="de-DE"/>
    </w:rPr>
  </w:style>
  <w:style w:type="character" w:customStyle="1" w:styleId="Textkrper-Einzug2Zchn">
    <w:name w:val="Textkörper-Einzug 2 Zchn"/>
    <w:basedOn w:val="Absatz-Standardschriftart"/>
    <w:link w:val="Textkrper-Einzug2"/>
    <w:rsid w:val="0067557A"/>
    <w:rPr>
      <w:rFonts w:ascii="Arial" w:eastAsia="Times New Roman" w:hAnsi="Arial" w:cs="Arial"/>
      <w:sz w:val="24"/>
      <w:szCs w:val="24"/>
      <w:lang w:val="en-GB" w:eastAsia="de-DE"/>
    </w:rPr>
  </w:style>
  <w:style w:type="paragraph" w:styleId="Sprechblasentext">
    <w:name w:val="Balloon Text"/>
    <w:basedOn w:val="Standard"/>
    <w:link w:val="SprechblasentextZchn"/>
    <w:uiPriority w:val="99"/>
    <w:semiHidden/>
    <w:unhideWhenUsed/>
    <w:rsid w:val="006755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557A"/>
    <w:rPr>
      <w:rFonts w:ascii="Segoe UI" w:hAnsi="Segoe UI" w:cs="Segoe UI"/>
      <w:sz w:val="18"/>
      <w:szCs w:val="18"/>
    </w:rPr>
  </w:style>
  <w:style w:type="table" w:styleId="Tabellenraster">
    <w:name w:val="Table Grid"/>
    <w:basedOn w:val="NormaleTabelle"/>
    <w:uiPriority w:val="59"/>
    <w:rsid w:val="005D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Catherine Barnes-Scheufler</cp:lastModifiedBy>
  <cp:revision>3</cp:revision>
  <dcterms:created xsi:type="dcterms:W3CDTF">2026-04-17T09:09:00Z</dcterms:created>
  <dcterms:modified xsi:type="dcterms:W3CDTF">2026-04-22T08:49:00Z</dcterms:modified>
</cp:coreProperties>
</file>