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E014AD" w14:textId="43A7C468" w:rsidR="00DF2B8D" w:rsidRDefault="00DF2B8D" w:rsidP="00DF2B8D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1626AC64" wp14:editId="74974AAD">
            <wp:extent cx="5274310" cy="42684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6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Cs w:val="21"/>
        </w:rPr>
        <w:t>Figure S2: The significantly enriched KEGG pathways by GESA.</w:t>
      </w:r>
      <w:r>
        <w:rPr>
          <w:rFonts w:ascii="Times New Roman" w:hAnsi="Times New Roman" w:cs="Times New Roman"/>
          <w:szCs w:val="21"/>
        </w:rPr>
        <w:t xml:space="preserve"> (A) Five representative KEGG pathways in the high-risk group of GC pyrimidine metabolism in TCGA. (B) Five representative KEGG pathways in the high-risk group of GC pyrimidine metabolism in GEO. (C) Five representative KEGG pathways in the low-risk group of GC pyrimidine metabolism in TCGA. (D) Five representative KEGG pathways in the low-risk group of GC pyrimidine metabolism in GEO. </w:t>
      </w:r>
    </w:p>
    <w:p w14:paraId="0343BC95" w14:textId="77777777" w:rsidR="00F9659A" w:rsidRDefault="00F9659A"/>
    <w:sectPr w:rsidR="00F965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199"/>
    <w:rsid w:val="002F7524"/>
    <w:rsid w:val="00A50199"/>
    <w:rsid w:val="00DF2B8D"/>
    <w:rsid w:val="00F9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iscardImageEditingData/>
  <w15:chartTrackingRefBased/>
  <w15:docId w15:val="{E756C900-3E08-4392-B6E2-AFE7CD539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2B8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F7524"/>
    <w:pPr>
      <w:spacing w:line="480" w:lineRule="auto"/>
      <w:jc w:val="left"/>
      <w:outlineLvl w:val="0"/>
    </w:pPr>
    <w:rPr>
      <w:rFonts w:ascii="Times New Roman" w:eastAsia="Times New Roman" w:hAnsi="Times New Roman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F7524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13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zhengxin wu</dc:creator>
  <cp:keywords/>
  <dc:description/>
  <cp:lastModifiedBy>zhengxin wu</cp:lastModifiedBy>
  <cp:revision>2</cp:revision>
  <dcterms:created xsi:type="dcterms:W3CDTF">2021-09-30T03:45:00Z</dcterms:created>
  <dcterms:modified xsi:type="dcterms:W3CDTF">2021-09-30T03:46:00Z</dcterms:modified>
</cp:coreProperties>
</file>