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3C91" w14:textId="248639FD" w:rsidR="00AF3914" w:rsidRPr="00BC4DEC" w:rsidRDefault="00123755" w:rsidP="00BC4DEC">
      <w:pPr>
        <w:spacing w:line="480" w:lineRule="auto"/>
        <w:rPr>
          <w:rFonts w:ascii="Times New Roman" w:hAnsi="Times New Roman" w:cs="Times New Roman"/>
        </w:rPr>
      </w:pPr>
      <w:r w:rsidRPr="00BC4DEC">
        <w:rPr>
          <w:rFonts w:ascii="Times New Roman" w:hAnsi="Times New Roman" w:cs="Times New Roman"/>
        </w:rPr>
        <w:t>Fig</w:t>
      </w:r>
      <w:r w:rsidR="00BC4DEC">
        <w:rPr>
          <w:rFonts w:ascii="Times New Roman" w:hAnsi="Times New Roman" w:cs="Times New Roman"/>
        </w:rPr>
        <w:t>.</w:t>
      </w:r>
      <w:r w:rsidRPr="00BC4DEC">
        <w:rPr>
          <w:rFonts w:ascii="Times New Roman" w:hAnsi="Times New Roman" w:cs="Times New Roman"/>
        </w:rPr>
        <w:t xml:space="preserve"> S1 Association Between Thiamine Levels and Total Quality of Life Scores After Exclusion of Outliers</w:t>
      </w:r>
    </w:p>
    <w:p w14:paraId="4A007F03" w14:textId="22402583" w:rsidR="00123755" w:rsidRPr="00BC4DEC" w:rsidRDefault="00123755" w:rsidP="00BC4DEC">
      <w:pPr>
        <w:spacing w:line="480" w:lineRule="auto"/>
        <w:rPr>
          <w:rFonts w:ascii="Times New Roman" w:hAnsi="Times New Roman" w:cs="Times New Roman"/>
        </w:rPr>
      </w:pPr>
      <w:r w:rsidRPr="00BC4DEC">
        <w:rPr>
          <w:rFonts w:ascii="Times New Roman" w:hAnsi="Times New Roman" w:cs="Times New Roman"/>
          <w:noProof/>
        </w:rPr>
        <w:drawing>
          <wp:inline distT="0" distB="0" distL="0" distR="0" wp14:anchorId="27756027" wp14:editId="7385071B">
            <wp:extent cx="5943600" cy="4245610"/>
            <wp:effectExtent l="0" t="0" r="0" b="2540"/>
            <wp:docPr id="876325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01F32" w14:textId="3A21422D" w:rsidR="00123755" w:rsidRPr="00BC4DEC" w:rsidRDefault="00123755" w:rsidP="00BC4DEC">
      <w:pPr>
        <w:spacing w:line="480" w:lineRule="auto"/>
        <w:jc w:val="both"/>
        <w:rPr>
          <w:rFonts w:ascii="Times New Roman" w:hAnsi="Times New Roman" w:cs="Times New Roman"/>
        </w:rPr>
      </w:pPr>
      <w:r w:rsidRPr="00BC4DEC">
        <w:rPr>
          <w:rFonts w:ascii="Times New Roman" w:hAnsi="Times New Roman" w:cs="Times New Roman"/>
        </w:rPr>
        <w:t>Scatter plot illustrating the relationship between thiamine levels and total quality of life (QoL) scores measured using the Pediatric Quality of Life Inventory (</w:t>
      </w:r>
      <w:proofErr w:type="spellStart"/>
      <w:r w:rsidRPr="00BC4DEC">
        <w:rPr>
          <w:rFonts w:ascii="Times New Roman" w:hAnsi="Times New Roman" w:cs="Times New Roman"/>
        </w:rPr>
        <w:t>PedsQL</w:t>
      </w:r>
      <w:proofErr w:type="spellEnd"/>
      <w:r w:rsidRPr="00BC4DEC">
        <w:rPr>
          <w:rFonts w:ascii="Times New Roman" w:hAnsi="Times New Roman" w:cs="Times New Roman"/>
        </w:rPr>
        <w:t>) after exclusion of extreme thiamine values based on the interquartile range method. Each point represents an individual participant. The solid line represents the fitted trend. The absence of a significant correlation after removal of outliers (Spearman’s ρ = −0.257, p = 0.658) supports the robustness of the primary findings and indicates that the observed results were not influenced by extreme values.</w:t>
      </w:r>
    </w:p>
    <w:sectPr w:rsidR="00123755" w:rsidRPr="00BC4D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55"/>
    <w:rsid w:val="00123755"/>
    <w:rsid w:val="002E59A9"/>
    <w:rsid w:val="003258BC"/>
    <w:rsid w:val="005A37FE"/>
    <w:rsid w:val="00AF3914"/>
    <w:rsid w:val="00B80EA1"/>
    <w:rsid w:val="00BC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4B19C"/>
  <w15:chartTrackingRefBased/>
  <w15:docId w15:val="{B9538098-84EA-4FAA-BBF9-2BD9AD90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7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7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7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7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7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7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7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7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7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 14</dc:creator>
  <cp:keywords/>
  <dc:description/>
  <cp:lastModifiedBy>Asus Vivobook 14</cp:lastModifiedBy>
  <cp:revision>2</cp:revision>
  <dcterms:created xsi:type="dcterms:W3CDTF">2026-04-11T05:52:00Z</dcterms:created>
  <dcterms:modified xsi:type="dcterms:W3CDTF">2026-04-17T05:25:00Z</dcterms:modified>
</cp:coreProperties>
</file>