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A9CD6D" w14:textId="26164D14" w:rsidR="00DB30F9" w:rsidRPr="00FB0136" w:rsidRDefault="00DB30F9" w:rsidP="007106D6">
      <w:pPr>
        <w:pStyle w:val="Head"/>
        <w:spacing w:before="0" w:after="0"/>
        <w:rPr>
          <w:bCs w:val="0"/>
        </w:rPr>
      </w:pPr>
      <w:bookmarkStart w:id="0" w:name="_Hlk46311787"/>
      <w:r w:rsidRPr="00FB0136">
        <w:rPr>
          <w:bCs w:val="0"/>
        </w:rPr>
        <w:t>Supplementary materials</w:t>
      </w:r>
    </w:p>
    <w:p w14:paraId="10E65A42" w14:textId="77777777" w:rsidR="00CB6577" w:rsidRPr="00195F1B" w:rsidRDefault="00DB30F9" w:rsidP="00CB6577">
      <w:pPr>
        <w:pStyle w:val="Head"/>
        <w:spacing w:after="0"/>
        <w:rPr>
          <w:lang w:val="en-AU"/>
        </w:rPr>
      </w:pPr>
      <w:r w:rsidRPr="00FB0136">
        <w:rPr>
          <w:bCs w:val="0"/>
        </w:rPr>
        <w:t xml:space="preserve"> </w:t>
      </w:r>
      <w:bookmarkEnd w:id="0"/>
      <w:r w:rsidR="00CB6577" w:rsidRPr="00195F1B">
        <w:rPr>
          <w:lang w:val="en-AU"/>
        </w:rPr>
        <w:t>NMN treatment re</w:t>
      </w:r>
      <w:r w:rsidR="00CB6577">
        <w:rPr>
          <w:lang w:val="en-AU"/>
        </w:rPr>
        <w:t>verses unique</w:t>
      </w:r>
      <w:r w:rsidR="00CB6577" w:rsidRPr="00195F1B">
        <w:rPr>
          <w:lang w:val="en-AU"/>
        </w:rPr>
        <w:t xml:space="preserve"> deep radiomic signature morphology of oocytes from aged mice</w:t>
      </w:r>
    </w:p>
    <w:p w14:paraId="0E3ACE34" w14:textId="70214F5E" w:rsidR="00DB30F9" w:rsidRPr="00FB0136" w:rsidRDefault="00DB30F9" w:rsidP="007106D6">
      <w:pPr>
        <w:pStyle w:val="Head"/>
        <w:spacing w:before="0" w:after="0"/>
        <w:rPr>
          <w:bCs w:val="0"/>
        </w:rPr>
      </w:pPr>
    </w:p>
    <w:p w14:paraId="01056142" w14:textId="77777777" w:rsidR="00DB30F9" w:rsidRPr="00FB0136" w:rsidRDefault="00DB30F9" w:rsidP="007106D6">
      <w:pPr>
        <w:pStyle w:val="Paragraph"/>
        <w:spacing w:line="240" w:lineRule="auto"/>
        <w:ind w:left="720" w:firstLine="0"/>
        <w:rPr>
          <w:bCs/>
          <w:vertAlign w:val="superscript"/>
        </w:rPr>
      </w:pPr>
      <w:r w:rsidRPr="00FB0136">
        <w:rPr>
          <w:bCs/>
        </w:rPr>
        <w:t>Abbas Habibalahi</w:t>
      </w:r>
      <w:r w:rsidRPr="00FB0136">
        <w:rPr>
          <w:bCs/>
          <w:vertAlign w:val="superscript"/>
        </w:rPr>
        <w:t>1*</w:t>
      </w:r>
      <w:r w:rsidRPr="00FB0136">
        <w:rPr>
          <w:bCs/>
        </w:rPr>
        <w:t>, Michael J. Bertoldo</w:t>
      </w:r>
      <w:r w:rsidRPr="00FB0136">
        <w:rPr>
          <w:bCs/>
          <w:vertAlign w:val="superscript"/>
        </w:rPr>
        <w:t>2,3</w:t>
      </w:r>
      <w:r w:rsidRPr="00FB0136">
        <w:rPr>
          <w:bCs/>
        </w:rPr>
        <w:t>,</w:t>
      </w:r>
      <w:r w:rsidRPr="00FB0136">
        <w:rPr>
          <w:bCs/>
          <w:vertAlign w:val="superscript"/>
        </w:rPr>
        <w:t xml:space="preserve"> </w:t>
      </w:r>
      <w:proofErr w:type="spellStart"/>
      <w:r w:rsidRPr="00FB0136">
        <w:rPr>
          <w:bCs/>
        </w:rPr>
        <w:t>Saabah</w:t>
      </w:r>
      <w:proofErr w:type="spellEnd"/>
      <w:r w:rsidRPr="00FB0136">
        <w:rPr>
          <w:bCs/>
        </w:rPr>
        <w:t xml:space="preserve"> B. Mahbub</w:t>
      </w:r>
      <w:r w:rsidRPr="00FB0136">
        <w:rPr>
          <w:bCs/>
          <w:vertAlign w:val="superscript"/>
        </w:rPr>
        <w:t>1</w:t>
      </w:r>
      <w:r w:rsidRPr="00FB0136">
        <w:rPr>
          <w:bCs/>
        </w:rPr>
        <w:t>, Jared M. Campbell</w:t>
      </w:r>
      <w:r w:rsidRPr="00FB0136">
        <w:rPr>
          <w:bCs/>
          <w:vertAlign w:val="superscript"/>
        </w:rPr>
        <w:t>1</w:t>
      </w:r>
      <w:r w:rsidRPr="00FB0136">
        <w:rPr>
          <w:bCs/>
        </w:rPr>
        <w:t>, Dale M. Goss</w:t>
      </w:r>
      <w:r w:rsidRPr="00FB0136">
        <w:rPr>
          <w:vertAlign w:val="superscript"/>
        </w:rPr>
        <w:t>3</w:t>
      </w:r>
      <w:r w:rsidRPr="00FB0136">
        <w:t xml:space="preserve">, </w:t>
      </w:r>
      <w:r w:rsidRPr="00FB0136">
        <w:rPr>
          <w:bCs/>
        </w:rPr>
        <w:t>William L. Ledger</w:t>
      </w:r>
      <w:r w:rsidRPr="00FB0136">
        <w:rPr>
          <w:bCs/>
          <w:vertAlign w:val="superscript"/>
        </w:rPr>
        <w:t>2</w:t>
      </w:r>
      <w:r w:rsidRPr="00FB0136">
        <w:rPr>
          <w:bCs/>
        </w:rPr>
        <w:t>, Robert B. Gilchrist</w:t>
      </w:r>
      <w:r w:rsidRPr="00FB0136">
        <w:rPr>
          <w:bCs/>
          <w:vertAlign w:val="superscript"/>
        </w:rPr>
        <w:t>2</w:t>
      </w:r>
      <w:r w:rsidRPr="00FB0136">
        <w:rPr>
          <w:bCs/>
        </w:rPr>
        <w:t>, Lindsay E. Wu</w:t>
      </w:r>
      <w:r w:rsidRPr="00FB0136">
        <w:rPr>
          <w:bCs/>
          <w:vertAlign w:val="superscript"/>
        </w:rPr>
        <w:t>3</w:t>
      </w:r>
      <w:r w:rsidRPr="00FB0136">
        <w:rPr>
          <w:bCs/>
        </w:rPr>
        <w:t>, Ewa M. Goldys</w:t>
      </w:r>
      <w:r w:rsidRPr="00FB0136">
        <w:rPr>
          <w:bCs/>
          <w:vertAlign w:val="superscript"/>
        </w:rPr>
        <w:t>1</w:t>
      </w:r>
    </w:p>
    <w:p w14:paraId="4670D593" w14:textId="77777777" w:rsidR="00DB30F9" w:rsidRPr="00FB0136" w:rsidRDefault="00DB30F9" w:rsidP="007106D6">
      <w:pPr>
        <w:pStyle w:val="Paragraph"/>
        <w:spacing w:before="0" w:line="240" w:lineRule="auto"/>
        <w:ind w:left="720"/>
      </w:pPr>
      <w:r w:rsidRPr="00FB0136">
        <w:rPr>
          <w:bCs/>
          <w:vertAlign w:val="superscript"/>
        </w:rPr>
        <w:t>1</w:t>
      </w:r>
      <w:r w:rsidRPr="00FB0136">
        <w:rPr>
          <w:bCs/>
        </w:rPr>
        <w:t>ARC Centre of Excellence</w:t>
      </w:r>
      <w:r w:rsidRPr="00FB0136">
        <w:t xml:space="preserve"> Centre for Nanoscale </w:t>
      </w:r>
      <w:proofErr w:type="spellStart"/>
      <w:r w:rsidRPr="00FB0136">
        <w:t>Biophotonics</w:t>
      </w:r>
      <w:proofErr w:type="spellEnd"/>
      <w:r w:rsidRPr="00FB0136">
        <w:t>, University of New South Wales Sydney, Australia.</w:t>
      </w:r>
    </w:p>
    <w:p w14:paraId="71BE55DF" w14:textId="77777777" w:rsidR="00DB30F9" w:rsidRPr="00FB0136" w:rsidRDefault="00DB30F9" w:rsidP="007106D6">
      <w:pPr>
        <w:pStyle w:val="Paragraph"/>
        <w:spacing w:before="0" w:line="240" w:lineRule="auto"/>
        <w:ind w:left="720"/>
      </w:pPr>
      <w:r w:rsidRPr="00FB0136">
        <w:rPr>
          <w:vertAlign w:val="superscript"/>
        </w:rPr>
        <w:t>2</w:t>
      </w:r>
      <w:r w:rsidRPr="00FB0136">
        <w:t>School of Women’s and Children’s Health, University of New South Wales Sydney, Australia.</w:t>
      </w:r>
    </w:p>
    <w:p w14:paraId="2DF13FC7" w14:textId="77777777" w:rsidR="00DB30F9" w:rsidRPr="00FB0136" w:rsidRDefault="00DB30F9" w:rsidP="007106D6">
      <w:pPr>
        <w:pStyle w:val="Paragraph"/>
        <w:spacing w:before="0" w:line="240" w:lineRule="auto"/>
        <w:ind w:left="720"/>
      </w:pPr>
      <w:r w:rsidRPr="00FB0136">
        <w:rPr>
          <w:vertAlign w:val="superscript"/>
        </w:rPr>
        <w:t>3</w:t>
      </w:r>
      <w:r w:rsidRPr="00FB0136">
        <w:t>School of Medical Sciences, University of New South Wales Sydney, Australia.</w:t>
      </w:r>
    </w:p>
    <w:p w14:paraId="1B288133" w14:textId="77777777" w:rsidR="00DB30F9" w:rsidRPr="00FB0136" w:rsidRDefault="00DB30F9" w:rsidP="007106D6">
      <w:pPr>
        <w:pStyle w:val="Paragraph"/>
        <w:spacing w:before="0" w:line="240" w:lineRule="auto"/>
        <w:ind w:left="720" w:firstLine="0"/>
      </w:pPr>
      <w:r w:rsidRPr="00FB0136">
        <w:t>*Corresponding author: a.habibalahi@unsw.edu.au</w:t>
      </w:r>
    </w:p>
    <w:p w14:paraId="7BF13513" w14:textId="77777777" w:rsidR="00DB30F9" w:rsidRPr="00FB0136" w:rsidRDefault="00DB30F9"/>
    <w:p w14:paraId="6F8E18E7" w14:textId="77777777" w:rsidR="00DB30F9" w:rsidRPr="00FB0136" w:rsidRDefault="00DB30F9">
      <w:pPr>
        <w:rPr>
          <w:b/>
          <w:bCs/>
          <w:sz w:val="28"/>
          <w:szCs w:val="28"/>
        </w:rPr>
      </w:pPr>
    </w:p>
    <w:p w14:paraId="395E51A0" w14:textId="77777777" w:rsidR="00DB30F9" w:rsidRPr="00FB0136" w:rsidRDefault="00DB30F9">
      <w:pPr>
        <w:rPr>
          <w:rFonts w:asciiTheme="majorBidi" w:hAnsiTheme="majorBidi" w:cstheme="majorBidi"/>
          <w:b/>
          <w:bCs/>
          <w:sz w:val="28"/>
          <w:szCs w:val="28"/>
        </w:rPr>
      </w:pPr>
      <w:r w:rsidRPr="00FB0136">
        <w:rPr>
          <w:rFonts w:asciiTheme="majorBidi" w:hAnsiTheme="majorBidi" w:cstheme="majorBidi"/>
          <w:b/>
          <w:bCs/>
          <w:sz w:val="28"/>
          <w:szCs w:val="28"/>
        </w:rPr>
        <w:t xml:space="preserve">Supplementary material section 1: </w:t>
      </w:r>
    </w:p>
    <w:p w14:paraId="726E3CC4" w14:textId="77777777" w:rsidR="00DB30F9" w:rsidRPr="00FB0136" w:rsidRDefault="00DB30F9">
      <w:pPr>
        <w:rPr>
          <w:b/>
          <w:bCs/>
          <w:sz w:val="28"/>
          <w:szCs w:val="28"/>
        </w:rPr>
      </w:pPr>
    </w:p>
    <w:p w14:paraId="0A1E1CA6" w14:textId="4097BFE6" w:rsidR="00DB30F9" w:rsidRDefault="00DB30F9" w:rsidP="007106D6">
      <w:pPr>
        <w:pStyle w:val="Paragraph"/>
        <w:spacing w:before="0" w:after="120"/>
        <w:ind w:firstLine="0"/>
        <w:jc w:val="both"/>
      </w:pPr>
      <w:r w:rsidRPr="00FB0136">
        <w:t>The robustness of DRS in separating young and old oocytes was evaluated based on cross validation through data partitioned into 80% a training set (80% of data) used to  create the discriminative space and the remaining 20% data formed the testing dataset for discriminative space evaluation. As shown in Figure 1, DRS formed two clearly separate clusters of young (circle red data points) and old oocytes (circle blue data points) using training data points. Next, testing datapoints which had put aside was reflected to the same space. This shows that DRS could successfully identify young (crossed red data points) and old (crossed blue data points)  testing data points as they were located correctly on the appropriate clusters, which  highlights the strength of DRS to deal with unseen data.</w:t>
      </w:r>
    </w:p>
    <w:p w14:paraId="18A9A6E9" w14:textId="4DDBBD00" w:rsidR="00A90392" w:rsidRPr="00FB0136" w:rsidRDefault="00A90392" w:rsidP="007106D6">
      <w:pPr>
        <w:pStyle w:val="Paragraph"/>
        <w:spacing w:before="0" w:after="120"/>
        <w:ind w:firstLine="0"/>
        <w:jc w:val="both"/>
      </w:pPr>
      <w:r>
        <w:rPr>
          <w:noProof/>
        </w:rPr>
        <w:lastRenderedPageBreak/>
        <w:drawing>
          <wp:inline distT="0" distB="0" distL="0" distR="0" wp14:anchorId="5913E6AC" wp14:editId="7CFC7133">
            <wp:extent cx="5731510" cy="2572385"/>
            <wp:effectExtent l="0" t="0" r="2540" b="0"/>
            <wp:docPr id="2" name="Picture 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scatter chart&#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2572385"/>
                    </a:xfrm>
                    <a:prstGeom prst="rect">
                      <a:avLst/>
                    </a:prstGeom>
                    <a:noFill/>
                    <a:ln>
                      <a:noFill/>
                    </a:ln>
                  </pic:spPr>
                </pic:pic>
              </a:graphicData>
            </a:graphic>
          </wp:inline>
        </w:drawing>
      </w:r>
    </w:p>
    <w:p w14:paraId="403DC015" w14:textId="77777777" w:rsidR="00DB30F9" w:rsidRPr="00FB0136" w:rsidRDefault="00DB30F9" w:rsidP="007106D6">
      <w:pPr>
        <w:pStyle w:val="Paragraph"/>
        <w:spacing w:before="0" w:after="120"/>
        <w:ind w:firstLine="0"/>
        <w:jc w:val="both"/>
      </w:pPr>
    </w:p>
    <w:p w14:paraId="1BFEACD0" w14:textId="135C538C" w:rsidR="00DB30F9" w:rsidRPr="00FB0136" w:rsidRDefault="00DB30F9" w:rsidP="007106D6">
      <w:pPr>
        <w:pStyle w:val="Paragraph"/>
        <w:spacing w:before="0" w:after="120"/>
        <w:ind w:firstLine="0"/>
        <w:jc w:val="both"/>
      </w:pPr>
    </w:p>
    <w:p w14:paraId="14387079" w14:textId="77777777" w:rsidR="00DB30F9" w:rsidRPr="00670CEF" w:rsidRDefault="00DB30F9" w:rsidP="00796BE7">
      <w:pPr>
        <w:jc w:val="center"/>
        <w:rPr>
          <w:rFonts w:ascii="Times New Roman" w:hAnsi="Times New Roman" w:cs="Times New Roman"/>
          <w:b/>
          <w:bCs/>
          <w:sz w:val="24"/>
          <w:szCs w:val="24"/>
        </w:rPr>
      </w:pPr>
      <w:r w:rsidRPr="00670CEF">
        <w:rPr>
          <w:rFonts w:ascii="Times New Roman" w:hAnsi="Times New Roman" w:cs="Times New Roman"/>
          <w:b/>
          <w:bCs/>
          <w:sz w:val="24"/>
          <w:szCs w:val="24"/>
        </w:rPr>
        <w:t>Supplementary Figure 1. DRS validation through testing and training cross-validation process</w:t>
      </w:r>
    </w:p>
    <w:p w14:paraId="543F7B51" w14:textId="77777777" w:rsidR="00DB30F9" w:rsidRPr="00FB0136" w:rsidRDefault="00DB30F9" w:rsidP="00796BE7">
      <w:pPr>
        <w:jc w:val="center"/>
      </w:pPr>
    </w:p>
    <w:p w14:paraId="226AB675" w14:textId="77777777" w:rsidR="00DB30F9" w:rsidRPr="00FB0136" w:rsidRDefault="00DB30F9" w:rsidP="00397F26">
      <w:pPr>
        <w:rPr>
          <w:rFonts w:asciiTheme="majorBidi" w:hAnsiTheme="majorBidi" w:cstheme="majorBidi"/>
          <w:b/>
          <w:bCs/>
          <w:sz w:val="28"/>
          <w:szCs w:val="28"/>
        </w:rPr>
      </w:pPr>
      <w:r w:rsidRPr="00FB0136">
        <w:rPr>
          <w:rFonts w:asciiTheme="majorBidi" w:hAnsiTheme="majorBidi" w:cstheme="majorBidi"/>
          <w:b/>
          <w:bCs/>
          <w:sz w:val="28"/>
          <w:szCs w:val="28"/>
        </w:rPr>
        <w:t xml:space="preserve">Supplementary material section 2: </w:t>
      </w:r>
    </w:p>
    <w:p w14:paraId="72E66CC9" w14:textId="77777777" w:rsidR="00DB30F9" w:rsidRPr="00FB0136" w:rsidRDefault="00DB30F9" w:rsidP="00397F26">
      <w:pPr>
        <w:rPr>
          <w:rFonts w:asciiTheme="majorBidi" w:hAnsiTheme="majorBidi" w:cstheme="majorBidi"/>
          <w:b/>
          <w:bCs/>
          <w:sz w:val="28"/>
          <w:szCs w:val="28"/>
        </w:rPr>
      </w:pPr>
    </w:p>
    <w:p w14:paraId="0CE84366" w14:textId="216BC1CA" w:rsidR="00DB30F9" w:rsidRPr="00FB0136" w:rsidRDefault="00DB30F9" w:rsidP="000D3CB6">
      <w:pPr>
        <w:pStyle w:val="Paragraph"/>
        <w:spacing w:before="0" w:after="120"/>
        <w:ind w:firstLine="0"/>
        <w:jc w:val="both"/>
      </w:pPr>
      <w:r w:rsidRPr="00FB0136">
        <w:t>To rigorously validate the classifier performance and minimize the risk of overfitting , we used nested cross validation as shown in Supplementary Figure 2, which provides unbiased performance assessment using external validation test</w:t>
      </w:r>
      <w:r w:rsidR="008558FF">
        <w:fldChar w:fldCharType="begin"/>
      </w:r>
      <w:r w:rsidR="008558FF">
        <w:instrText xml:space="preserve"> ADDIN EN.CITE &lt;EndNote&gt;&lt;Cite&gt;&lt;Author&gt;Vabalas&lt;/Author&gt;&lt;Year&gt;2019&lt;/Year&gt;&lt;RecNum&gt;1239&lt;/RecNum&gt;&lt;DisplayText&gt;[1]&lt;/DisplayText&gt;&lt;record&gt;&lt;rec-number&gt;1239&lt;/rec-number&gt;&lt;foreign-keys&gt;&lt;key app="EN" db-id="59dv5t0zpvxafjeetx2vwxelv9zf2zpfse05" timestamp="1630984842"&gt;1239&lt;/key&gt;&lt;/foreign-keys&gt;&lt;ref-type name="Journal Article"&gt;17&lt;/ref-type&gt;&lt;contributors&gt;&lt;authors&gt;&lt;author&gt;Vabalas, Andrius&lt;/author&gt;&lt;author&gt;Gowen, Emma&lt;/author&gt;&lt;author&gt;Poliakoff, Ellen&lt;/author&gt;&lt;author&gt;Casson, Alexander J.&lt;/author&gt;&lt;/authors&gt;&lt;/contributors&gt;&lt;titles&gt;&lt;title&gt;Machine learning algorithm validation with a limited sample size&lt;/title&gt;&lt;secondary-title&gt;PloS one&lt;/secondary-title&gt;&lt;/titles&gt;&lt;periodical&gt;&lt;full-title&gt;PloS one&lt;/full-title&gt;&lt;/periodical&gt;&lt;pages&gt;1-20&lt;/pages&gt;&lt;volume&gt;14&lt;/volume&gt;&lt;number&gt;11&lt;/number&gt;&lt;dates&gt;&lt;year&gt;2019&lt;/year&gt;&lt;/dates&gt;&lt;publisher&gt;Public Library of Science San Francisco, CA USA&lt;/publisher&gt;&lt;isbn&gt;1932-6203&lt;/isbn&gt;&lt;urls&gt;&lt;/urls&gt;&lt;/record&gt;&lt;/Cite&gt;&lt;/EndNote&gt;</w:instrText>
      </w:r>
      <w:r w:rsidR="008558FF">
        <w:fldChar w:fldCharType="separate"/>
      </w:r>
      <w:r w:rsidR="008558FF">
        <w:rPr>
          <w:noProof/>
        </w:rPr>
        <w:t>[1]</w:t>
      </w:r>
      <w:r w:rsidR="008558FF">
        <w:fldChar w:fldCharType="end"/>
      </w:r>
      <w:r w:rsidRPr="00FB0136">
        <w:t xml:space="preserve">. To this end, data were split into 5 subsets (each 20% of data) </w:t>
      </w:r>
      <w:r w:rsidR="008558FF">
        <w:fldChar w:fldCharType="begin"/>
      </w:r>
      <w:r w:rsidR="008558FF">
        <w:instrText xml:space="preserve"> ADDIN EN.CITE &lt;EndNote&gt;&lt;Cite&gt;&lt;Author&gt;Vabalas&lt;/Author&gt;&lt;Year&gt;2019&lt;/Year&gt;&lt;RecNum&gt;1239&lt;/RecNum&gt;&lt;DisplayText&gt;[1]&lt;/DisplayText&gt;&lt;record&gt;&lt;rec-number&gt;1239&lt;/rec-number&gt;&lt;foreign-keys&gt;&lt;key app="EN" db-id="59dv5t0zpvxafjeetx2vwxelv9zf2zpfse05" timestamp="1630984842"&gt;1239&lt;/key&gt;&lt;/foreign-keys&gt;&lt;ref-type name="Journal Article"&gt;17&lt;/ref-type&gt;&lt;contributors&gt;&lt;authors&gt;&lt;author&gt;Vabalas, Andrius&lt;/author&gt;&lt;author&gt;Gowen, Emma&lt;/author&gt;&lt;author&gt;Poliakoff, Ellen&lt;/author&gt;&lt;author&gt;Casson, Alexander J.&lt;/author&gt;&lt;/authors&gt;&lt;/contributors&gt;&lt;titles&gt;&lt;title&gt;Machine learning algorithm validation with a limited sample size&lt;/title&gt;&lt;secondary-title&gt;PloS one&lt;/secondary-title&gt;&lt;/titles&gt;&lt;periodical&gt;&lt;full-title&gt;PloS one&lt;/full-title&gt;&lt;/periodical&gt;&lt;pages&gt;1-20&lt;/pages&gt;&lt;volume&gt;14&lt;/volume&gt;&lt;number&gt;11&lt;/number&gt;&lt;dates&gt;&lt;year&gt;2019&lt;/year&gt;&lt;/dates&gt;&lt;publisher&gt;Public Library of Science San Francisco, CA USA&lt;/publisher&gt;&lt;isbn&gt;1932-6203&lt;/isbn&gt;&lt;urls&gt;&lt;/urls&gt;&lt;/record&gt;&lt;/Cite&gt;&lt;/EndNote&gt;</w:instrText>
      </w:r>
      <w:r w:rsidR="008558FF">
        <w:fldChar w:fldCharType="separate"/>
      </w:r>
      <w:r w:rsidR="008558FF">
        <w:rPr>
          <w:noProof/>
        </w:rPr>
        <w:t>[1]</w:t>
      </w:r>
      <w:r w:rsidR="008558FF">
        <w:fldChar w:fldCharType="end"/>
      </w:r>
      <w:r w:rsidRPr="00FB0136">
        <w:t>. One subset was put aside as a nest for external classifier validation at a time and SVM classifier was constructed based on the remaining. To train SVM classifier, internal 10-fold cross validation was employed. To this end, training data were partitioned into 10 randomly selected folds of approximately equal size. One fold was used to validate the SVM model trained based on the remaining subsets. This process was repeated 10 times</w:t>
      </w:r>
      <w:r w:rsidR="008558FF">
        <w:fldChar w:fldCharType="begin"/>
      </w:r>
      <w:r w:rsidR="008558FF">
        <w:instrText xml:space="preserve"> ADDIN EN.CITE &lt;EndNote&gt;&lt;Cite&gt;&lt;Author&gt;Habibalahi&lt;/Author&gt;&lt;Year&gt;2019&lt;/Year&gt;&lt;RecNum&gt;1163&lt;/RecNum&gt;&lt;DisplayText&gt;[2]&lt;/DisplayText&gt;&lt;record&gt;&lt;rec-number&gt;1163&lt;/rec-number&gt;&lt;foreign-keys&gt;&lt;key app="EN" db-id="59dv5t0zpvxafjeetx2vwxelv9zf2zpfse05" timestamp="1626093038"&gt;1163&lt;/key&gt;&lt;/foreign-keys&gt;&lt;ref-type name="Journal Article"&gt;17&lt;/ref-type&gt;&lt;contributors&gt;&lt;authors&gt;&lt;author&gt;Habibalahi, Abbas&lt;/author&gt;&lt;author&gt;Bala, Chandra&lt;/author&gt;&lt;author&gt;Allende, Alexandra&lt;/author&gt;&lt;author&gt;Anwer, Ayad G.&lt;/author&gt;&lt;author&gt;Goldys, Ewa M.&lt;/author&gt;&lt;/authors&gt;&lt;/contributors&gt;&lt;titles&gt;&lt;title&gt;Novel automated non invasive detection of ocular surface squamous neoplasia using multispectral autofluorescence imaging&lt;/title&gt;&lt;secondary-title&gt;The ocular surface&lt;/secondary-title&gt;&lt;/titles&gt;&lt;periodical&gt;&lt;full-title&gt;The ocular surface&lt;/full-title&gt;&lt;/periodical&gt;&lt;pages&gt;540-550&lt;/pages&gt;&lt;volume&gt;17&lt;/volume&gt;&lt;number&gt;3&lt;/number&gt;&lt;dates&gt;&lt;year&gt;2019&lt;/year&gt;&lt;/dates&gt;&lt;publisher&gt;Elsevier&lt;/publisher&gt;&lt;isbn&gt;1542-0124&lt;/isbn&gt;&lt;urls&gt;&lt;/urls&gt;&lt;/record&gt;&lt;/Cite&gt;&lt;/EndNote&gt;</w:instrText>
      </w:r>
      <w:r w:rsidR="008558FF">
        <w:fldChar w:fldCharType="separate"/>
      </w:r>
      <w:r w:rsidR="008558FF">
        <w:rPr>
          <w:noProof/>
        </w:rPr>
        <w:t>[2]</w:t>
      </w:r>
      <w:r w:rsidR="008558FF">
        <w:fldChar w:fldCharType="end"/>
      </w:r>
      <w:r w:rsidRPr="00FB0136">
        <w:t>. Once the classifier was trained, nested subset was used to calculate accuracy.  This is repeated five times to use all five subsets which led to five classifiers each of which with a specific accuracy. Averaging all 5 accuracies produced the nested accuracy of  92.2±3.3.</w:t>
      </w:r>
    </w:p>
    <w:p w14:paraId="456E5494" w14:textId="4ED29C5A" w:rsidR="00DB30F9" w:rsidRPr="00FB0136" w:rsidRDefault="00A90392" w:rsidP="008261FC">
      <w:r>
        <w:rPr>
          <w:noProof/>
        </w:rPr>
        <w:lastRenderedPageBreak/>
        <w:drawing>
          <wp:inline distT="0" distB="0" distL="0" distR="0" wp14:anchorId="64295D94" wp14:editId="2430E2B0">
            <wp:extent cx="5731510" cy="5886450"/>
            <wp:effectExtent l="0" t="0" r="2540" b="0"/>
            <wp:docPr id="3" name="Picture 3"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 schematic&#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5886450"/>
                    </a:xfrm>
                    <a:prstGeom prst="rect">
                      <a:avLst/>
                    </a:prstGeom>
                    <a:noFill/>
                    <a:ln>
                      <a:noFill/>
                    </a:ln>
                  </pic:spPr>
                </pic:pic>
              </a:graphicData>
            </a:graphic>
          </wp:inline>
        </w:drawing>
      </w:r>
    </w:p>
    <w:p w14:paraId="34AF9845" w14:textId="77777777" w:rsidR="00DB30F9" w:rsidRPr="00FB0136" w:rsidRDefault="00DB30F9" w:rsidP="00881376">
      <w:pPr>
        <w:jc w:val="center"/>
        <w:rPr>
          <w:rFonts w:ascii="Times New Roman" w:hAnsi="Times New Roman" w:cs="Times New Roman"/>
          <w:b/>
          <w:bCs/>
          <w:sz w:val="24"/>
          <w:szCs w:val="24"/>
        </w:rPr>
      </w:pPr>
      <w:r w:rsidRPr="00FB0136">
        <w:rPr>
          <w:rFonts w:ascii="Times New Roman" w:hAnsi="Times New Roman" w:cs="Times New Roman"/>
          <w:b/>
          <w:bCs/>
          <w:sz w:val="24"/>
          <w:szCs w:val="24"/>
        </w:rPr>
        <w:t>Supplementary Figure 2. Nested cross validation of our classifier</w:t>
      </w:r>
    </w:p>
    <w:p w14:paraId="4F715520" w14:textId="77777777" w:rsidR="00DB30F9" w:rsidRPr="00FB0136" w:rsidRDefault="00DB30F9" w:rsidP="00BE6F8B">
      <w:pPr>
        <w:pStyle w:val="Paragraph"/>
        <w:spacing w:before="0" w:after="120"/>
        <w:ind w:firstLine="0"/>
        <w:jc w:val="both"/>
      </w:pPr>
    </w:p>
    <w:p w14:paraId="49DB8018" w14:textId="02753818" w:rsidR="00DB30F9" w:rsidRDefault="00DB30F9" w:rsidP="00BE6F8B">
      <w:pPr>
        <w:pStyle w:val="Paragraph"/>
        <w:spacing w:before="0" w:after="120"/>
        <w:ind w:firstLine="0"/>
        <w:jc w:val="both"/>
      </w:pPr>
      <w:r w:rsidRPr="00FB0136">
        <w:t>To estimate the sampling error due to relatively small number of oocyte images, the approach of bootstrapping was used</w:t>
      </w:r>
      <w:r w:rsidR="008558FF">
        <w:fldChar w:fldCharType="begin"/>
      </w:r>
      <w:r w:rsidR="008558FF">
        <w:instrText xml:space="preserve"> ADDIN EN.CITE &lt;EndNote&gt;&lt;Cite&gt;&lt;Author&gt;Efron&lt;/Author&gt;&lt;Year&gt;1994&lt;/Year&gt;&lt;RecNum&gt;1206&lt;/RecNum&gt;&lt;DisplayText&gt;[3]&lt;/DisplayText&gt;&lt;record&gt;&lt;rec-number&gt;1206&lt;/rec-number&gt;&lt;foreign-keys&gt;&lt;key app="EN" db-id="59dv5t0zpvxafjeetx2vwxelv9zf2zpfse05" timestamp="1630980565"&gt;1206&lt;/key&gt;&lt;/foreign-keys&gt;&lt;ref-type name="Book"&gt;6&lt;/ref-type&gt;&lt;contributors&gt;&lt;authors&gt;&lt;author&gt;Efron, Bradley&lt;/author&gt;&lt;author&gt;Tibshirani, Robert J.&lt;/author&gt;&lt;/authors&gt;&lt;/contributors&gt;&lt;titles&gt;&lt;title&gt;An introduction to the bootstrap&lt;/title&gt;&lt;/titles&gt;&lt;dates&gt;&lt;year&gt;1994&lt;/year&gt;&lt;/dates&gt;&lt;publisher&gt;CRC press&lt;/publisher&gt;&lt;isbn&gt;0412042312&lt;/isbn&gt;&lt;urls&gt;&lt;/urls&gt;&lt;/record&gt;&lt;/Cite&gt;&lt;/EndNote&gt;</w:instrText>
      </w:r>
      <w:r w:rsidR="008558FF">
        <w:fldChar w:fldCharType="separate"/>
      </w:r>
      <w:r w:rsidR="008558FF">
        <w:rPr>
          <w:noProof/>
        </w:rPr>
        <w:t>[3]</w:t>
      </w:r>
      <w:r w:rsidR="008558FF">
        <w:fldChar w:fldCharType="end"/>
      </w:r>
      <w:r w:rsidRPr="00FB0136">
        <w:t>. The data points were randomly resampled 100 times with the replacement from our original set of observations and the corresponding ROC curves were obtained. Fig.2 c shows 95% confidence interval associated with ROC curve with AUC=0.99±0.01.</w:t>
      </w:r>
    </w:p>
    <w:p w14:paraId="65F5AAC0" w14:textId="2635266B" w:rsidR="00A90392" w:rsidRPr="00FB0136" w:rsidRDefault="00A90392" w:rsidP="00BE6F8B">
      <w:pPr>
        <w:pStyle w:val="Paragraph"/>
        <w:spacing w:before="0" w:after="120"/>
        <w:ind w:firstLine="0"/>
        <w:jc w:val="both"/>
      </w:pPr>
      <w:r>
        <w:rPr>
          <w:noProof/>
        </w:rPr>
        <w:lastRenderedPageBreak/>
        <w:drawing>
          <wp:inline distT="0" distB="0" distL="0" distR="0" wp14:anchorId="4D76DDCB" wp14:editId="46181D9F">
            <wp:extent cx="4171315" cy="4186555"/>
            <wp:effectExtent l="0" t="0" r="635" b="4445"/>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71315" cy="4186555"/>
                    </a:xfrm>
                    <a:prstGeom prst="rect">
                      <a:avLst/>
                    </a:prstGeom>
                    <a:noFill/>
                    <a:ln>
                      <a:noFill/>
                    </a:ln>
                  </pic:spPr>
                </pic:pic>
              </a:graphicData>
            </a:graphic>
          </wp:inline>
        </w:drawing>
      </w:r>
    </w:p>
    <w:p w14:paraId="04CDFFE6" w14:textId="154E0475" w:rsidR="00DB30F9" w:rsidRPr="00FB0136" w:rsidRDefault="00DB30F9" w:rsidP="008261FC">
      <w:pPr>
        <w:pStyle w:val="Paragraph"/>
        <w:spacing w:before="0" w:after="120"/>
        <w:ind w:firstLine="0"/>
        <w:jc w:val="center"/>
        <w:rPr>
          <w:rFonts w:ascii="Palatino Linotype" w:hAnsi="Palatino Linotype"/>
          <w:color w:val="111111"/>
          <w:sz w:val="32"/>
          <w:szCs w:val="32"/>
          <w:shd w:val="clear" w:color="auto" w:fill="FFFFF8"/>
        </w:rPr>
      </w:pPr>
    </w:p>
    <w:p w14:paraId="6DDED299" w14:textId="77777777" w:rsidR="00DB30F9" w:rsidRPr="00FB0136" w:rsidRDefault="00DB30F9" w:rsidP="00881376">
      <w:pPr>
        <w:jc w:val="center"/>
        <w:rPr>
          <w:rFonts w:ascii="Times New Roman" w:hAnsi="Times New Roman" w:cs="Times New Roman"/>
          <w:b/>
          <w:bCs/>
          <w:sz w:val="24"/>
          <w:szCs w:val="24"/>
        </w:rPr>
      </w:pPr>
      <w:r w:rsidRPr="00FB0136">
        <w:rPr>
          <w:rFonts w:ascii="Times New Roman" w:hAnsi="Times New Roman" w:cs="Times New Roman"/>
          <w:b/>
          <w:bCs/>
          <w:sz w:val="24"/>
          <w:szCs w:val="24"/>
        </w:rPr>
        <w:t>Supplementary Figure 3. ROC curve with the 95% confidence interval indicated.</w:t>
      </w:r>
    </w:p>
    <w:p w14:paraId="184232B1" w14:textId="77777777" w:rsidR="00DB30F9" w:rsidRPr="00FB0136" w:rsidRDefault="00DB30F9" w:rsidP="008261FC">
      <w:pPr>
        <w:pStyle w:val="Paragraph"/>
        <w:spacing w:before="0" w:after="120"/>
        <w:ind w:firstLine="0"/>
        <w:jc w:val="center"/>
        <w:rPr>
          <w:rFonts w:ascii="Palatino Linotype" w:hAnsi="Palatino Linotype"/>
          <w:color w:val="111111"/>
          <w:sz w:val="32"/>
          <w:szCs w:val="32"/>
          <w:shd w:val="clear" w:color="auto" w:fill="FFFFF8"/>
        </w:rPr>
      </w:pPr>
    </w:p>
    <w:p w14:paraId="3E9F7490" w14:textId="77777777" w:rsidR="00DB30F9" w:rsidRPr="00A90392" w:rsidRDefault="00DB30F9" w:rsidP="00A90392">
      <w:pPr>
        <w:pStyle w:val="Paragraph"/>
        <w:spacing w:before="0" w:after="120"/>
        <w:ind w:firstLine="0"/>
        <w:jc w:val="both"/>
      </w:pPr>
      <w:r w:rsidRPr="00A90392">
        <w:t>Supplementary Figure 4 shows discrimination of old and young oocyte morphology using our optimal DRS with no data augmentation.</w:t>
      </w:r>
    </w:p>
    <w:p w14:paraId="06477E00" w14:textId="77777777" w:rsidR="00DB30F9" w:rsidRPr="00FB0136" w:rsidRDefault="00DB30F9" w:rsidP="00B41053">
      <w:pPr>
        <w:rPr>
          <w:rFonts w:ascii="Times New Roman" w:hAnsi="Times New Roman" w:cs="Times New Roman"/>
          <w:sz w:val="24"/>
          <w:szCs w:val="24"/>
        </w:rPr>
      </w:pPr>
    </w:p>
    <w:p w14:paraId="7FB976A0" w14:textId="7CB414F3" w:rsidR="00DB30F9" w:rsidRPr="00FB0136" w:rsidRDefault="00A90392" w:rsidP="00B41053">
      <w:pPr>
        <w:rPr>
          <w:rFonts w:ascii="Times New Roman" w:hAnsi="Times New Roman" w:cs="Times New Roman"/>
          <w:sz w:val="24"/>
          <w:szCs w:val="24"/>
        </w:rPr>
      </w:pPr>
      <w:r>
        <w:rPr>
          <w:noProof/>
        </w:rPr>
        <w:lastRenderedPageBreak/>
        <w:drawing>
          <wp:inline distT="0" distB="0" distL="0" distR="0" wp14:anchorId="334820B9" wp14:editId="3530ECDB">
            <wp:extent cx="5731510" cy="2877185"/>
            <wp:effectExtent l="0" t="0" r="2540" b="0"/>
            <wp:docPr id="5" name="Picture 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scatter ch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2877185"/>
                    </a:xfrm>
                    <a:prstGeom prst="rect">
                      <a:avLst/>
                    </a:prstGeom>
                    <a:noFill/>
                    <a:ln>
                      <a:noFill/>
                    </a:ln>
                  </pic:spPr>
                </pic:pic>
              </a:graphicData>
            </a:graphic>
          </wp:inline>
        </w:drawing>
      </w:r>
    </w:p>
    <w:p w14:paraId="0908D3E9" w14:textId="3B44D0EC" w:rsidR="00DB30F9" w:rsidRPr="00FB0136" w:rsidRDefault="00DB30F9" w:rsidP="00B41053">
      <w:pPr>
        <w:jc w:val="center"/>
        <w:rPr>
          <w:rFonts w:ascii="Times New Roman" w:hAnsi="Times New Roman" w:cs="Times New Roman"/>
          <w:b/>
          <w:bCs/>
          <w:sz w:val="24"/>
          <w:szCs w:val="24"/>
        </w:rPr>
      </w:pPr>
      <w:r w:rsidRPr="00FB0136">
        <w:rPr>
          <w:rFonts w:ascii="Times New Roman" w:hAnsi="Times New Roman" w:cs="Times New Roman"/>
          <w:b/>
          <w:bCs/>
          <w:sz w:val="24"/>
          <w:szCs w:val="24"/>
        </w:rPr>
        <w:t xml:space="preserve"> supplementary figure 4. discrimination of old and young oocyte morphology using our optimal DRS with no data </w:t>
      </w:r>
      <w:r w:rsidR="00B1795B" w:rsidRPr="00FB0136">
        <w:rPr>
          <w:rFonts w:ascii="Times New Roman" w:hAnsi="Times New Roman" w:cs="Times New Roman"/>
          <w:b/>
          <w:bCs/>
          <w:sz w:val="24"/>
          <w:szCs w:val="24"/>
        </w:rPr>
        <w:t>augmentation.</w:t>
      </w:r>
    </w:p>
    <w:p w14:paraId="32B647D2" w14:textId="77777777" w:rsidR="00DB30F9" w:rsidRPr="00FB0136" w:rsidRDefault="00DB30F9" w:rsidP="008261FC">
      <w:pPr>
        <w:pStyle w:val="Paragraph"/>
        <w:spacing w:before="0" w:after="120"/>
        <w:ind w:firstLine="0"/>
        <w:jc w:val="center"/>
        <w:rPr>
          <w:rFonts w:ascii="Palatino Linotype" w:hAnsi="Palatino Linotype"/>
          <w:color w:val="111111"/>
          <w:sz w:val="32"/>
          <w:szCs w:val="32"/>
          <w:shd w:val="clear" w:color="auto" w:fill="FFFFF8"/>
        </w:rPr>
      </w:pPr>
    </w:p>
    <w:p w14:paraId="15EE0348" w14:textId="77777777" w:rsidR="00DB30F9" w:rsidRPr="00FB0136" w:rsidRDefault="00DB30F9" w:rsidP="00457187">
      <w:pPr>
        <w:rPr>
          <w:rFonts w:asciiTheme="majorBidi" w:hAnsiTheme="majorBidi" w:cstheme="majorBidi"/>
          <w:b/>
          <w:bCs/>
          <w:sz w:val="28"/>
          <w:szCs w:val="28"/>
        </w:rPr>
      </w:pPr>
      <w:r w:rsidRPr="00FB0136">
        <w:rPr>
          <w:rFonts w:asciiTheme="majorBidi" w:hAnsiTheme="majorBidi" w:cstheme="majorBidi"/>
          <w:b/>
          <w:bCs/>
          <w:sz w:val="28"/>
          <w:szCs w:val="28"/>
        </w:rPr>
        <w:t>Supplementary material section 3: Classifier selection</w:t>
      </w:r>
    </w:p>
    <w:p w14:paraId="67009947" w14:textId="59DBE11F" w:rsidR="00DB30F9" w:rsidRPr="00FB0136" w:rsidRDefault="00DB30F9" w:rsidP="007358DC">
      <w:pPr>
        <w:pStyle w:val="Paragraph"/>
        <w:spacing w:before="0" w:after="120"/>
        <w:ind w:firstLine="0"/>
        <w:jc w:val="both"/>
      </w:pPr>
      <w:r w:rsidRPr="00FB0136">
        <w:t xml:space="preserve">To select the best classification approach, different classifier algorithms were trained and compared based on area under ROC curve (AUC). SVM and quadratic classifiers showed higher performance with AUC~1 compared with Tree (AUC= 0.84), naïve base (AUC=0.96) and K nearest neighbor or KNN (AUC=0.91).  Finally, SVM classifier was selected as it used linear kernel, which results in lower risk </w:t>
      </w:r>
      <w:r w:rsidR="007358DC" w:rsidRPr="00FB0136">
        <w:t>of</w:t>
      </w:r>
      <w:r w:rsidRPr="00FB0136">
        <w:t xml:space="preserve"> be overfitt</w:t>
      </w:r>
      <w:r w:rsidR="007358DC" w:rsidRPr="00FB0136">
        <w:t>ing</w:t>
      </w:r>
      <w:r w:rsidRPr="00FB0136">
        <w:t>.</w:t>
      </w:r>
    </w:p>
    <w:p w14:paraId="1D051482" w14:textId="77777777" w:rsidR="00DB30F9" w:rsidRPr="00FB0136" w:rsidRDefault="00DB30F9" w:rsidP="007358DC">
      <w:pPr>
        <w:pStyle w:val="Paragraph"/>
        <w:spacing w:before="0" w:after="120"/>
        <w:ind w:firstLine="0"/>
        <w:jc w:val="both"/>
      </w:pPr>
    </w:p>
    <w:p w14:paraId="52BDDF02" w14:textId="668AF971" w:rsidR="008558FF" w:rsidRPr="008558FF" w:rsidRDefault="00DB30F9" w:rsidP="008558FF">
      <w:pPr>
        <w:rPr>
          <w:rFonts w:ascii="Times New Roman" w:hAnsi="Times New Roman" w:cs="Times New Roman"/>
          <w:b/>
          <w:bCs/>
          <w:sz w:val="24"/>
          <w:szCs w:val="24"/>
        </w:rPr>
      </w:pPr>
      <w:r w:rsidRPr="00670CEF">
        <w:rPr>
          <w:rFonts w:ascii="Times New Roman" w:hAnsi="Times New Roman" w:cs="Times New Roman"/>
          <w:b/>
          <w:bCs/>
          <w:sz w:val="24"/>
          <w:szCs w:val="24"/>
        </w:rPr>
        <w:t>Supplementary References:</w:t>
      </w:r>
    </w:p>
    <w:p w14:paraId="055AA8AD" w14:textId="77777777" w:rsidR="008558FF" w:rsidRPr="008558FF" w:rsidRDefault="008558FF" w:rsidP="008558FF">
      <w:pPr>
        <w:pStyle w:val="EndNoteBibliography"/>
        <w:spacing w:after="0"/>
        <w:ind w:left="720" w:hanging="720"/>
      </w:pPr>
      <w:r>
        <w:fldChar w:fldCharType="begin"/>
      </w:r>
      <w:r>
        <w:instrText xml:space="preserve"> ADDIN EN.REFLIST </w:instrText>
      </w:r>
      <w:r>
        <w:fldChar w:fldCharType="separate"/>
      </w:r>
      <w:r w:rsidRPr="008558FF">
        <w:t>1.</w:t>
      </w:r>
      <w:r w:rsidRPr="008558FF">
        <w:tab/>
        <w:t xml:space="preserve">Vabalas, A., et al., </w:t>
      </w:r>
      <w:r w:rsidRPr="008558FF">
        <w:rPr>
          <w:i/>
        </w:rPr>
        <w:t>Machine learning algorithm validation with a limited sample size.</w:t>
      </w:r>
      <w:r w:rsidRPr="008558FF">
        <w:t xml:space="preserve"> PloS one, 2019. </w:t>
      </w:r>
      <w:r w:rsidRPr="008558FF">
        <w:rPr>
          <w:b/>
        </w:rPr>
        <w:t>14</w:t>
      </w:r>
      <w:r w:rsidRPr="008558FF">
        <w:t>(11): p. 1-20.</w:t>
      </w:r>
    </w:p>
    <w:p w14:paraId="080E190A" w14:textId="77777777" w:rsidR="008558FF" w:rsidRPr="008558FF" w:rsidRDefault="008558FF" w:rsidP="008558FF">
      <w:pPr>
        <w:pStyle w:val="EndNoteBibliography"/>
        <w:spacing w:after="0"/>
        <w:ind w:left="720" w:hanging="720"/>
      </w:pPr>
      <w:r w:rsidRPr="008558FF">
        <w:t>2.</w:t>
      </w:r>
      <w:r w:rsidRPr="008558FF">
        <w:tab/>
        <w:t xml:space="preserve">Habibalahi, A., et al., </w:t>
      </w:r>
      <w:r w:rsidRPr="008558FF">
        <w:rPr>
          <w:i/>
        </w:rPr>
        <w:t>Novel automated non invasive detection of ocular surface squamous neoplasia using multispectral autofluorescence imaging.</w:t>
      </w:r>
      <w:r w:rsidRPr="008558FF">
        <w:t xml:space="preserve"> The ocular surface, 2019. </w:t>
      </w:r>
      <w:r w:rsidRPr="008558FF">
        <w:rPr>
          <w:b/>
        </w:rPr>
        <w:t>17</w:t>
      </w:r>
      <w:r w:rsidRPr="008558FF">
        <w:t>(3): p. 540-550.</w:t>
      </w:r>
    </w:p>
    <w:p w14:paraId="6C27394B" w14:textId="77777777" w:rsidR="008558FF" w:rsidRPr="008558FF" w:rsidRDefault="008558FF" w:rsidP="008558FF">
      <w:pPr>
        <w:pStyle w:val="EndNoteBibliography"/>
        <w:ind w:left="720" w:hanging="720"/>
      </w:pPr>
      <w:r w:rsidRPr="008558FF">
        <w:t>3.</w:t>
      </w:r>
      <w:r w:rsidRPr="008558FF">
        <w:tab/>
        <w:t xml:space="preserve">Efron, B. and R.J. Tibshirani, </w:t>
      </w:r>
      <w:r w:rsidRPr="008558FF">
        <w:rPr>
          <w:i/>
        </w:rPr>
        <w:t>An introduction to the bootstrap</w:t>
      </w:r>
      <w:r w:rsidRPr="008558FF">
        <w:t>. 1994: CRC press.</w:t>
      </w:r>
    </w:p>
    <w:p w14:paraId="6F589D53" w14:textId="367E34D1" w:rsidR="00765768" w:rsidRDefault="008558FF" w:rsidP="008558FF">
      <w:r>
        <w:fldChar w:fldCharType="end"/>
      </w:r>
    </w:p>
    <w:p w14:paraId="22BD1264" w14:textId="4A773F59" w:rsidR="008558FF" w:rsidRDefault="008558FF" w:rsidP="008558FF"/>
    <w:p w14:paraId="5816799D" w14:textId="77777777" w:rsidR="008558FF" w:rsidRPr="00382EA5" w:rsidRDefault="008558FF" w:rsidP="008558FF">
      <w:pPr>
        <w:rPr>
          <w:rFonts w:ascii="Times New Roman" w:hAnsi="Times New Roman" w:cs="Times New Roman"/>
          <w:sz w:val="24"/>
          <w:szCs w:val="24"/>
        </w:rPr>
      </w:pPr>
    </w:p>
    <w:p w14:paraId="5BC61BF0" w14:textId="6B736350" w:rsidR="008558FF" w:rsidRDefault="008558FF" w:rsidP="008558FF"/>
    <w:sectPr w:rsidR="008558F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TimesLTStd-Roman">
    <w:altName w:val="Times New Roman"/>
    <w:panose1 w:val="00000000000000000000"/>
    <w:charset w:val="00"/>
    <w:family w:val="auto"/>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E0E68"/>
    <w:multiLevelType w:val="multilevel"/>
    <w:tmpl w:val="5A12CC16"/>
    <w:lvl w:ilvl="0">
      <w:start w:val="1"/>
      <mc:AlternateContent>
        <mc:Choice Requires="w14">
          <w:numFmt w:val="custom" w:format="0001, 0002, 0003, ..."/>
        </mc:Choice>
        <mc:Fallback>
          <w:numFmt w:val="decimal"/>
        </mc:Fallback>
      </mc:AlternateContent>
      <w:pStyle w:val="FBRSpeciParaNum"/>
      <w:lvlText w:val="[%1]"/>
      <w:lvlJc w:val="left"/>
      <w:pPr>
        <w:ind w:left="0" w:firstLine="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32C86BD7"/>
    <w:multiLevelType w:val="hybridMultilevel"/>
    <w:tmpl w:val="AEC8D2A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58021B4C"/>
    <w:multiLevelType w:val="hybridMultilevel"/>
    <w:tmpl w:val="2370F600"/>
    <w:lvl w:ilvl="0" w:tplc="0C090001">
      <w:start w:val="1"/>
      <w:numFmt w:val="bullet"/>
      <w:lvlText w:val=""/>
      <w:lvlJc w:val="left"/>
      <w:pPr>
        <w:ind w:left="780" w:hanging="360"/>
      </w:pPr>
      <w:rPr>
        <w:rFonts w:ascii="Symbol" w:hAnsi="Symbol" w:hint="default"/>
      </w:rPr>
    </w:lvl>
    <w:lvl w:ilvl="1" w:tplc="0C090003" w:tentative="1">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abstractNum w:abstractNumId="3" w15:restartNumberingAfterBreak="0">
    <w:nsid w:val="752030E1"/>
    <w:multiLevelType w:val="hybridMultilevel"/>
    <w:tmpl w:val="E3CCCC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c0NzcxNzMyMTK0NDVU0lEKTi0uzszPAykwrwUAWlzCYiwAAAA="/>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9dv5t0zpvxafjeetx2vwxelv9zf2zpfse05&quot;&gt;References&lt;record-ids&gt;&lt;item&gt;1163&lt;/item&gt;&lt;item&gt;1206&lt;/item&gt;&lt;item&gt;1239&lt;/item&gt;&lt;/record-ids&gt;&lt;/item&gt;&lt;/Libraries&gt;"/>
  </w:docVars>
  <w:rsids>
    <w:rsidRoot w:val="00DB30F9"/>
    <w:rsid w:val="00181214"/>
    <w:rsid w:val="004A7499"/>
    <w:rsid w:val="004C7313"/>
    <w:rsid w:val="004D003F"/>
    <w:rsid w:val="00642BC6"/>
    <w:rsid w:val="00670CEF"/>
    <w:rsid w:val="007358DC"/>
    <w:rsid w:val="00765768"/>
    <w:rsid w:val="008435AE"/>
    <w:rsid w:val="008558FF"/>
    <w:rsid w:val="008B3A77"/>
    <w:rsid w:val="00952496"/>
    <w:rsid w:val="009D339F"/>
    <w:rsid w:val="00A90392"/>
    <w:rsid w:val="00B1795B"/>
    <w:rsid w:val="00C6656C"/>
    <w:rsid w:val="00CA1B77"/>
    <w:rsid w:val="00CB6577"/>
    <w:rsid w:val="00CB7348"/>
    <w:rsid w:val="00DA062F"/>
    <w:rsid w:val="00DB30F9"/>
    <w:rsid w:val="00ED24B2"/>
    <w:rsid w:val="00FB0136"/>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745AB4"/>
  <w15:chartTrackingRefBased/>
  <w15:docId w15:val="{AEA0C5FC-0F45-4C37-A353-E195A7EAF7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30F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link w:val="ParagraphChar"/>
    <w:rsid w:val="00DB30F9"/>
    <w:pPr>
      <w:spacing w:before="120" w:line="480" w:lineRule="auto"/>
      <w:ind w:firstLine="720"/>
    </w:pPr>
    <w:rPr>
      <w:rFonts w:ascii="Times New Roman" w:eastAsia="Times New Roman" w:hAnsi="Times New Roman" w:cs="Times New Roman"/>
      <w:sz w:val="24"/>
      <w:szCs w:val="24"/>
      <w:lang w:val="en-US"/>
    </w:rPr>
  </w:style>
  <w:style w:type="paragraph" w:customStyle="1" w:styleId="Head">
    <w:name w:val="Head"/>
    <w:basedOn w:val="Normal"/>
    <w:rsid w:val="00DB30F9"/>
    <w:pPr>
      <w:keepNext/>
      <w:spacing w:before="120" w:after="120" w:line="480" w:lineRule="auto"/>
      <w:jc w:val="center"/>
      <w:outlineLvl w:val="0"/>
    </w:pPr>
    <w:rPr>
      <w:rFonts w:ascii="Times New Roman" w:eastAsia="Times New Roman" w:hAnsi="Times New Roman" w:cs="Times New Roman"/>
      <w:b/>
      <w:bCs/>
      <w:kern w:val="28"/>
      <w:sz w:val="28"/>
      <w:szCs w:val="28"/>
      <w:lang w:val="en-US"/>
    </w:rPr>
  </w:style>
  <w:style w:type="character" w:customStyle="1" w:styleId="ParagraphChar">
    <w:name w:val="Paragraph Char"/>
    <w:basedOn w:val="DefaultParagraphFont"/>
    <w:link w:val="Paragraph"/>
    <w:rsid w:val="00DB30F9"/>
    <w:rPr>
      <w:rFonts w:ascii="Times New Roman" w:eastAsia="Times New Roman" w:hAnsi="Times New Roman" w:cs="Times New Roman"/>
      <w:sz w:val="24"/>
      <w:szCs w:val="24"/>
      <w:lang w:val="en-US"/>
    </w:rPr>
  </w:style>
  <w:style w:type="paragraph" w:customStyle="1" w:styleId="EndNoteBibliographyTitle">
    <w:name w:val="EndNote Bibliography Title"/>
    <w:basedOn w:val="Normal"/>
    <w:link w:val="EndNoteBibliographyTitleChar"/>
    <w:rsid w:val="00DB30F9"/>
    <w:pPr>
      <w:spacing w:after="0"/>
      <w:jc w:val="center"/>
    </w:pPr>
    <w:rPr>
      <w:rFonts w:ascii="Calibri" w:eastAsia="Times New Roman" w:hAnsi="Calibri" w:cs="Calibri"/>
      <w:noProof/>
      <w:szCs w:val="24"/>
      <w:lang w:val="en-US"/>
    </w:rPr>
  </w:style>
  <w:style w:type="character" w:customStyle="1" w:styleId="EndNoteBibliographyTitleChar">
    <w:name w:val="EndNote Bibliography Title Char"/>
    <w:basedOn w:val="ParagraphChar"/>
    <w:link w:val="EndNoteBibliographyTitle"/>
    <w:rsid w:val="00DB30F9"/>
    <w:rPr>
      <w:rFonts w:ascii="Calibri" w:eastAsia="Times New Roman" w:hAnsi="Calibri" w:cs="Calibri"/>
      <w:noProof/>
      <w:sz w:val="24"/>
      <w:szCs w:val="24"/>
      <w:lang w:val="en-US"/>
    </w:rPr>
  </w:style>
  <w:style w:type="paragraph" w:customStyle="1" w:styleId="EndNoteBibliography">
    <w:name w:val="EndNote Bibliography"/>
    <w:basedOn w:val="Normal"/>
    <w:link w:val="EndNoteBibliographyChar"/>
    <w:rsid w:val="00DB30F9"/>
    <w:pPr>
      <w:spacing w:line="240" w:lineRule="auto"/>
    </w:pPr>
    <w:rPr>
      <w:rFonts w:ascii="Calibri" w:eastAsia="Times New Roman" w:hAnsi="Calibri" w:cs="Calibri"/>
      <w:noProof/>
      <w:szCs w:val="24"/>
      <w:lang w:val="en-US"/>
    </w:rPr>
  </w:style>
  <w:style w:type="character" w:customStyle="1" w:styleId="EndNoteBibliographyChar">
    <w:name w:val="EndNote Bibliography Char"/>
    <w:basedOn w:val="ParagraphChar"/>
    <w:link w:val="EndNoteBibliography"/>
    <w:rsid w:val="00DB30F9"/>
    <w:rPr>
      <w:rFonts w:ascii="Calibri" w:eastAsia="Times New Roman" w:hAnsi="Calibri" w:cs="Calibri"/>
      <w:noProof/>
      <w:sz w:val="24"/>
      <w:szCs w:val="24"/>
      <w:lang w:val="en-US"/>
    </w:rPr>
  </w:style>
  <w:style w:type="paragraph" w:styleId="BalloonText">
    <w:name w:val="Balloon Text"/>
    <w:basedOn w:val="Normal"/>
    <w:link w:val="BalloonTextChar"/>
    <w:uiPriority w:val="99"/>
    <w:semiHidden/>
    <w:unhideWhenUsed/>
    <w:rsid w:val="00DB30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30F9"/>
    <w:rPr>
      <w:rFonts w:ascii="Segoe UI" w:hAnsi="Segoe UI" w:cs="Segoe UI"/>
      <w:sz w:val="18"/>
      <w:szCs w:val="18"/>
    </w:rPr>
  </w:style>
  <w:style w:type="paragraph" w:customStyle="1" w:styleId="FBRSpeciParaNum">
    <w:name w:val="FBRSpeciParaNum"/>
    <w:basedOn w:val="Normal"/>
    <w:qFormat/>
    <w:rsid w:val="00CA1B77"/>
    <w:pPr>
      <w:numPr>
        <w:numId w:val="1"/>
      </w:numPr>
      <w:tabs>
        <w:tab w:val="left" w:pos="851"/>
        <w:tab w:val="left" w:pos="1418"/>
        <w:tab w:val="left" w:pos="1985"/>
      </w:tabs>
      <w:spacing w:after="360" w:line="360" w:lineRule="auto"/>
    </w:pPr>
    <w:rPr>
      <w:rFonts w:ascii="Times New Roman" w:eastAsia="Times New Roman" w:hAnsi="Times New Roman" w:cs="Times New Roman"/>
      <w:sz w:val="24"/>
      <w:szCs w:val="24"/>
      <w:lang w:eastAsia="en-AU"/>
    </w:rPr>
  </w:style>
  <w:style w:type="paragraph" w:customStyle="1" w:styleId="PARA">
    <w:name w:val="PARA"/>
    <w:basedOn w:val="Normal"/>
    <w:rsid w:val="00CA1B77"/>
    <w:pPr>
      <w:suppressAutoHyphens/>
      <w:autoSpaceDE w:val="0"/>
      <w:autoSpaceDN w:val="0"/>
      <w:adjustRightInd w:val="0"/>
      <w:spacing w:line="240" w:lineRule="exact"/>
      <w:jc w:val="both"/>
    </w:pPr>
    <w:rPr>
      <w:rFonts w:ascii="Times New Roman" w:eastAsia="Times New Roman" w:hAnsi="Times New Roman" w:cs="TimesLTStd-Roman"/>
      <w:spacing w:val="-2"/>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3" Type="http://schemas.openxmlformats.org/officeDocument/2006/relationships/settings" Target="settings.xml"/><Relationship Id="rId7" Type="http://schemas.openxmlformats.org/officeDocument/2006/relationships/image" Target="media/image3.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5" Type="http://schemas.openxmlformats.org/officeDocument/2006/relationships/image" Target="media/image1.tif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6</Pages>
  <Words>1159</Words>
  <Characters>6607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Abbas Habibalahi</dc:creator>
  <cp:keywords/>
  <dc:description/>
  <cp:lastModifiedBy>Abbas Habibalahi</cp:lastModifiedBy>
  <cp:revision>8</cp:revision>
  <dcterms:created xsi:type="dcterms:W3CDTF">2021-07-02T04:27:00Z</dcterms:created>
  <dcterms:modified xsi:type="dcterms:W3CDTF">2021-09-23T03:51:00Z</dcterms:modified>
</cp:coreProperties>
</file>