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12807">
      <w:pPr>
        <w:jc w:val="center"/>
        <w:rPr>
          <w:rFonts w:hint="eastAsia"/>
        </w:rPr>
      </w:pPr>
      <w:bookmarkStart w:id="0" w:name="_GoBack"/>
      <w:bookmarkEnd w:id="0"/>
      <w:r>
        <w:drawing>
          <wp:inline distT="0" distB="0" distL="0" distR="0">
            <wp:extent cx="5274310" cy="5274310"/>
            <wp:effectExtent l="0" t="0" r="2540" b="2540"/>
            <wp:docPr id="19361902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90292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984CA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Figure S1. </w:t>
      </w:r>
      <w:r>
        <w:rPr>
          <w:rFonts w:hint="eastAsia" w:ascii="Arial" w:hAnsi="Arial" w:cs="Arial"/>
          <w:sz w:val="20"/>
          <w:szCs w:val="20"/>
        </w:rPr>
        <w:t>Individual SHAP waterfall plot illustrating the local decomposition of model prediction for a representative NEC case.</w:t>
      </w:r>
    </w:p>
    <w:p w14:paraId="44D7F0C1">
      <w:pPr>
        <w:rPr>
          <w:rFonts w:ascii="Arial" w:hAnsi="Arial" w:cs="Arial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96"/>
    <w:rsid w:val="00046BD1"/>
    <w:rsid w:val="001649C2"/>
    <w:rsid w:val="002E6155"/>
    <w:rsid w:val="00307DE0"/>
    <w:rsid w:val="003A1296"/>
    <w:rsid w:val="0063589D"/>
    <w:rsid w:val="0066791E"/>
    <w:rsid w:val="00687880"/>
    <w:rsid w:val="00BB269D"/>
    <w:rsid w:val="00C016A5"/>
    <w:rsid w:val="00D54F55"/>
    <w:rsid w:val="00D75DB1"/>
    <w:rsid w:val="025A3BAD"/>
    <w:rsid w:val="0D2D5A85"/>
    <w:rsid w:val="0E74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kern w:val="2"/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780</Characters>
  <Lines>6</Lines>
  <Paragraphs>1</Paragraphs>
  <TotalTime>1</TotalTime>
  <ScaleCrop>false</ScaleCrop>
  <LinksUpToDate>false</LinksUpToDate>
  <CharactersWithSpaces>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2026-04-23T14:57:00Z</dcterms:created>
  <dc:creator>毅 张</dc:creator>
  <cp:lastModifiedBy>未来i</cp:lastModifiedBy>
  <dcterms:modified xsi:type="dcterms:W3CDTF">2026-04-24T03:04:37Z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eyJoZGlkIjoiNzRjNjgwMDFmODdkZTc1NTYzNDY3MGRhMWM1NTIyNGMiLCJ1c2VySWQiOiI0MjA3OTYwNDgifQ==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46C51F9A03844D98BCF955F640062CE7_12</vt:lpwstr>
  </property>
</Properties>
</file>