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375D" w14:textId="77777777" w:rsidR="00F813EE" w:rsidRDefault="00F813EE" w:rsidP="00F813E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Immortalized </w:t>
      </w:r>
      <w:r w:rsidRPr="00BC6936">
        <w:rPr>
          <w:rFonts w:asciiTheme="majorBidi" w:hAnsiTheme="majorBidi" w:cstheme="majorBidi"/>
          <w:b/>
          <w:bCs/>
          <w:sz w:val="28"/>
          <w:szCs w:val="28"/>
        </w:rPr>
        <w:t>smooth muscle cells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enhance in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vitro vasculogenesis</w:t>
      </w:r>
    </w:p>
    <w:p w14:paraId="599BBF27" w14:textId="77777777" w:rsidR="00F813EE" w:rsidRPr="003960D3" w:rsidRDefault="00F813EE" w:rsidP="00F813EE">
      <w:pPr>
        <w:jc w:val="both"/>
        <w:rPr>
          <w:rFonts w:asciiTheme="majorBidi" w:hAnsiTheme="majorBidi"/>
          <w:b/>
          <w:bCs/>
          <w:sz w:val="20"/>
          <w:szCs w:val="20"/>
          <w:lang w:val="es-ES"/>
        </w:rPr>
      </w:pP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Mohammad R. Nikmaneshi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, Lennard M. Weide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, Noel-</w:t>
      </w:r>
      <w:proofErr w:type="spellStart"/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Adrian</w:t>
      </w:r>
      <w:proofErr w:type="spellEnd"/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 xml:space="preserve"> Hollosi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, Marc Holl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, Nemo Nöh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 xml:space="preserve">, </w:t>
      </w:r>
      <w:proofErr w:type="spellStart"/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Franciele</w:t>
      </w:r>
      <w:proofErr w:type="spellEnd"/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 xml:space="preserve"> Filardi Cimino Silva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</w:t>
      </w:r>
      <w:r w:rsidRPr="003960D3">
        <w:rPr>
          <w:rFonts w:ascii="Helvetica" w:hAnsi="Helvetica"/>
          <w:color w:val="1D1D1D"/>
          <w:sz w:val="20"/>
          <w:szCs w:val="20"/>
          <w:lang w:val="es-ES"/>
        </w:rPr>
        <w:t xml:space="preserve">, 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Dan G. Duda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1*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>, Lance L. Munn</w:t>
      </w:r>
      <w:r w:rsidRPr="003960D3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s-ES"/>
        </w:rPr>
        <w:t>1*</w:t>
      </w: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 xml:space="preserve">    </w:t>
      </w:r>
    </w:p>
    <w:p w14:paraId="4701293D" w14:textId="77777777" w:rsidR="00F813EE" w:rsidRPr="003960D3" w:rsidRDefault="00F813EE" w:rsidP="00F813EE">
      <w:pPr>
        <w:jc w:val="both"/>
        <w:rPr>
          <w:rFonts w:asciiTheme="majorBidi" w:hAnsiTheme="majorBidi" w:cstheme="majorBidi"/>
          <w:b/>
          <w:bCs/>
          <w:sz w:val="20"/>
          <w:szCs w:val="20"/>
          <w:lang w:val="es-ES"/>
        </w:rPr>
      </w:pPr>
      <w:r w:rsidRPr="003960D3">
        <w:rPr>
          <w:rFonts w:asciiTheme="majorBidi" w:hAnsiTheme="majorBidi" w:cstheme="majorBidi"/>
          <w:b/>
          <w:bCs/>
          <w:sz w:val="20"/>
          <w:szCs w:val="20"/>
          <w:lang w:val="es-ES"/>
        </w:rPr>
        <w:t xml:space="preserve">  </w:t>
      </w:r>
    </w:p>
    <w:p w14:paraId="1297DC7C" w14:textId="77777777" w:rsidR="00F813EE" w:rsidRPr="00F13A83" w:rsidRDefault="00F813EE" w:rsidP="00F813EE">
      <w:pPr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13A83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Pr="00F13A83">
        <w:rPr>
          <w:rFonts w:asciiTheme="majorBidi" w:hAnsiTheme="majorBidi" w:cstheme="majorBidi"/>
          <w:b/>
          <w:bCs/>
          <w:sz w:val="20"/>
          <w:szCs w:val="20"/>
        </w:rPr>
        <w:t xml:space="preserve">Edwin L. Steele Laboratories, Department of Radiation Oncology, Harvard Medical School and Massachusetts General Hospital, Boston, Massachusetts, 02114, United States of America </w:t>
      </w:r>
    </w:p>
    <w:p w14:paraId="2F82D0C0" w14:textId="77777777" w:rsidR="00126308" w:rsidRDefault="00126308" w:rsidP="00126308">
      <w:pPr>
        <w:jc w:val="both"/>
        <w:rPr>
          <w:rFonts w:asciiTheme="majorBidi" w:hAnsiTheme="majorBidi" w:cstheme="majorBidi"/>
        </w:rPr>
      </w:pPr>
    </w:p>
    <w:p w14:paraId="56EDA3EF" w14:textId="77777777" w:rsidR="00177FEA" w:rsidRDefault="00177FEA" w:rsidP="00126308">
      <w:pPr>
        <w:jc w:val="both"/>
        <w:rPr>
          <w:rFonts w:asciiTheme="majorBidi" w:hAnsiTheme="majorBidi" w:cstheme="majorBidi"/>
        </w:rPr>
      </w:pPr>
    </w:p>
    <w:p w14:paraId="388EC09D" w14:textId="35FD59F1" w:rsidR="00126308" w:rsidRPr="00154DE5" w:rsidRDefault="00965D57" w:rsidP="00154DE5">
      <w:pPr>
        <w:pStyle w:val="Heading1"/>
        <w:pBdr>
          <w:bottom w:val="single" w:sz="4" w:space="1" w:color="auto"/>
        </w:pBdr>
        <w:rPr>
          <w:rFonts w:asciiTheme="majorBidi" w:hAnsiTheme="majorBidi"/>
          <w:b/>
          <w:bCs/>
          <w:sz w:val="24"/>
          <w:szCs w:val="24"/>
        </w:rPr>
      </w:pPr>
      <w:r w:rsidRPr="00965D57">
        <w:rPr>
          <w:rFonts w:asciiTheme="majorBidi" w:hAnsiTheme="majorBidi"/>
          <w:b/>
          <w:bCs/>
          <w:sz w:val="24"/>
          <w:szCs w:val="24"/>
        </w:rPr>
        <w:t>Stability of Immortalized SMCs Under Confluency and Freeze–Thaw Conditions</w:t>
      </w:r>
      <w:r>
        <w:rPr>
          <w:rFonts w:asciiTheme="majorBidi" w:hAnsiTheme="majorBidi"/>
          <w:b/>
          <w:bCs/>
          <w:sz w:val="24"/>
          <w:szCs w:val="24"/>
        </w:rPr>
        <w:t xml:space="preserve"> </w:t>
      </w:r>
      <w:r w:rsidR="00154DE5">
        <w:rPr>
          <w:rFonts w:asciiTheme="majorBidi" w:hAnsiTheme="majorBidi"/>
          <w:b/>
          <w:bCs/>
          <w:sz w:val="24"/>
          <w:szCs w:val="24"/>
        </w:rPr>
        <w:t xml:space="preserve"> </w:t>
      </w:r>
    </w:p>
    <w:p w14:paraId="049C2416" w14:textId="53703E61" w:rsidR="000A20FD" w:rsidRPr="00126308" w:rsidRDefault="00126308" w:rsidP="00126308">
      <w:pPr>
        <w:jc w:val="both"/>
        <w:rPr>
          <w:rFonts w:asciiTheme="majorBidi" w:hAnsiTheme="majorBidi" w:cstheme="majorBidi"/>
        </w:rPr>
      </w:pPr>
      <w:r w:rsidRPr="00FA3724">
        <w:rPr>
          <w:rFonts w:asciiTheme="majorBidi" w:hAnsiTheme="majorBidi" w:cstheme="majorBidi"/>
        </w:rPr>
        <w:t>We</w:t>
      </w:r>
      <w:r>
        <w:rPr>
          <w:rFonts w:asciiTheme="majorBidi" w:hAnsiTheme="majorBidi" w:cstheme="majorBidi"/>
        </w:rPr>
        <w:t xml:space="preserve"> also</w:t>
      </w:r>
      <w:r w:rsidRPr="00FA3724">
        <w:rPr>
          <w:rFonts w:asciiTheme="majorBidi" w:hAnsiTheme="majorBidi" w:cstheme="majorBidi"/>
        </w:rPr>
        <w:t xml:space="preserve"> examined the effects of confluency and </w:t>
      </w:r>
      <w:r w:rsidR="00154DE5" w:rsidRPr="00154DE5">
        <w:rPr>
          <w:rFonts w:asciiTheme="majorBidi" w:hAnsiTheme="majorBidi" w:cstheme="majorBidi"/>
        </w:rPr>
        <w:t>freeze-thaw (F-T) cycle</w:t>
      </w:r>
      <w:r w:rsidRPr="00FA3724">
        <w:rPr>
          <w:rFonts w:asciiTheme="majorBidi" w:hAnsiTheme="majorBidi" w:cstheme="majorBidi"/>
        </w:rPr>
        <w:t xml:space="preserve"> on immortalized S-SMCs by comparing expression of </w:t>
      </w:r>
      <w:r w:rsidR="00154DE5">
        <w:rPr>
          <w:rFonts w:asciiTheme="majorBidi" w:hAnsiTheme="majorBidi" w:cstheme="majorBidi"/>
        </w:rPr>
        <w:t>the</w:t>
      </w:r>
      <w:r w:rsidRPr="00FA3724">
        <w:rPr>
          <w:rFonts w:asciiTheme="majorBidi" w:hAnsiTheme="majorBidi" w:cstheme="majorBidi"/>
        </w:rPr>
        <w:t xml:space="preserve"> genes</w:t>
      </w:r>
      <w:r w:rsidR="00154DE5">
        <w:rPr>
          <w:rFonts w:asciiTheme="majorBidi" w:hAnsiTheme="majorBidi" w:cstheme="majorBidi"/>
        </w:rPr>
        <w:t xml:space="preserve"> of interest including CD248, C3 and FBLN1</w:t>
      </w:r>
      <w:r w:rsidRPr="00FA3724">
        <w:rPr>
          <w:rFonts w:asciiTheme="majorBidi" w:hAnsiTheme="majorBidi" w:cstheme="majorBidi"/>
        </w:rPr>
        <w:t xml:space="preserve"> under conditions of &lt;80%, &gt;90%, and &gt;100% confluency, as well as </w:t>
      </w:r>
      <w:r w:rsidR="00154DE5" w:rsidRPr="00154DE5">
        <w:rPr>
          <w:rFonts w:asciiTheme="majorBidi" w:hAnsiTheme="majorBidi" w:cstheme="majorBidi"/>
        </w:rPr>
        <w:t>F-T</w:t>
      </w:r>
      <w:r w:rsidRPr="00FA3724">
        <w:rPr>
          <w:rFonts w:asciiTheme="majorBidi" w:hAnsiTheme="majorBidi" w:cstheme="majorBidi"/>
        </w:rPr>
        <w:t xml:space="preserve"> versus </w:t>
      </w:r>
      <w:r w:rsidR="00154DE5">
        <w:rPr>
          <w:rFonts w:asciiTheme="majorBidi" w:hAnsiTheme="majorBidi" w:cstheme="majorBidi"/>
        </w:rPr>
        <w:t xml:space="preserve">non-F-T control </w:t>
      </w:r>
      <w:r w:rsidRPr="00FA3724">
        <w:rPr>
          <w:rFonts w:asciiTheme="majorBidi" w:hAnsiTheme="majorBidi" w:cstheme="majorBidi"/>
        </w:rPr>
        <w:t xml:space="preserve">cultures at comparable passages. Expression of CD248, C3, and FBLN1 remained consistent under high confluency and </w:t>
      </w:r>
      <w:r w:rsidR="00154DE5">
        <w:rPr>
          <w:rFonts w:asciiTheme="majorBidi" w:hAnsiTheme="majorBidi" w:cstheme="majorBidi"/>
        </w:rPr>
        <w:t>F-T</w:t>
      </w:r>
      <w:r w:rsidRPr="00FA3724">
        <w:rPr>
          <w:rFonts w:asciiTheme="majorBidi" w:hAnsiTheme="majorBidi" w:cstheme="majorBidi"/>
        </w:rPr>
        <w:t xml:space="preserve"> conditions, indicating that immortalized S-SMCs maintain the supportive gene program under these conditions</w:t>
      </w:r>
      <w:r w:rsidR="004F4C97">
        <w:rPr>
          <w:rFonts w:asciiTheme="majorBidi" w:hAnsiTheme="majorBidi" w:cstheme="majorBidi"/>
        </w:rPr>
        <w:t>, Fig. S1.A</w:t>
      </w:r>
      <w:r w:rsidRPr="00FA3724">
        <w:rPr>
          <w:rFonts w:asciiTheme="majorBidi" w:hAnsiTheme="majorBidi" w:cstheme="majorBidi"/>
        </w:rPr>
        <w:t>. These findings are consistent with functional vasculogenesis assays demonstrating preserved vessel formation capacity in immortalized SMCs even after freezing or growth at high confluenc</w:t>
      </w:r>
      <w:r>
        <w:rPr>
          <w:rFonts w:asciiTheme="majorBidi" w:hAnsiTheme="majorBidi" w:cstheme="majorBidi"/>
        </w:rPr>
        <w:t>y, Fig. S1.</w:t>
      </w:r>
      <w:r w:rsidR="004F4C97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.</w:t>
      </w:r>
      <w:r w:rsidR="00154D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 </w:t>
      </w:r>
      <w:r w:rsidR="00965D5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</w:t>
      </w:r>
      <w:r w:rsidR="00154D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</w:t>
      </w:r>
      <w:r w:rsidR="00154DE5">
        <w:rPr>
          <w:rFonts w:asciiTheme="majorBidi" w:hAnsiTheme="majorBidi" w:cstheme="majorBidi"/>
        </w:rPr>
        <w:t xml:space="preserve">  </w:t>
      </w:r>
    </w:p>
    <w:p w14:paraId="63F4EAD1" w14:textId="77777777" w:rsidR="00186860" w:rsidRDefault="00186860"/>
    <w:p w14:paraId="6CA252FB" w14:textId="759187F3" w:rsidR="00186860" w:rsidRDefault="004F4C97">
      <w:r w:rsidRPr="004F4C97">
        <w:drawing>
          <wp:inline distT="0" distB="0" distL="0" distR="0" wp14:anchorId="6B1959FB" wp14:editId="0380716B">
            <wp:extent cx="5943600" cy="2574925"/>
            <wp:effectExtent l="0" t="0" r="0" b="0"/>
            <wp:docPr id="829194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943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EFB0" w14:textId="1BCF0168" w:rsidR="00126308" w:rsidRPr="005406C7" w:rsidRDefault="005406C7" w:rsidP="005406C7">
      <w:pPr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5406C7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Figure S1. Stability of supportive gene expression and vasculogenic function in immortalized S-SMCs under confluency</w:t>
      </w:r>
      <w:r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 </w:t>
      </w:r>
      <w:r w:rsidRPr="005406C7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and freeze–thaw conditions.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5406C7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(A)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Relative expression of </w:t>
      </w:r>
      <w:r w:rsidRPr="005406C7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CD248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, </w:t>
      </w:r>
      <w:r w:rsidRPr="005406C7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C3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, and </w:t>
      </w:r>
      <w:r w:rsidRPr="005406C7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FBLN1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in immortalized S-SMCs cultured at &lt;80%,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>&gt;90%, and &gt;100% confluency, and in freeze–thaw (F–T) versus non–F–T control conditions at comparable passages. Gene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>expression remains consistent across confluency levels and after F–T cycles, indicating preservation of the supportive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>transcriptional program.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5406C7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(B)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Functional vasculogenesis assay showing maintained vascular network formation capacity of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5406C7">
        <w:rPr>
          <w:rFonts w:asciiTheme="majorBidi" w:hAnsiTheme="majorBidi" w:cstheme="majorBidi"/>
          <w:color w:val="000000" w:themeColor="text1"/>
          <w:sz w:val="18"/>
          <w:szCs w:val="18"/>
        </w:rPr>
        <w:t>immortalized S-SMCs following F–T cycles and under high-confluency conditions, consistent with the stable gene expression profile observed in (A).</w:t>
      </w:r>
      <w:r w:rsidR="00126308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 </w:t>
      </w:r>
      <w:r w:rsidR="004F4C97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</w:p>
    <w:p w14:paraId="38670D59" w14:textId="77777777" w:rsidR="00126308" w:rsidRPr="00126308" w:rsidRDefault="00126308" w:rsidP="00126308"/>
    <w:sectPr w:rsidR="00126308" w:rsidRPr="00126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70DF" w14:textId="77777777" w:rsidR="00E43D3D" w:rsidRDefault="00E43D3D" w:rsidP="00186860">
      <w:pPr>
        <w:spacing w:after="0" w:line="240" w:lineRule="auto"/>
      </w:pPr>
      <w:r>
        <w:separator/>
      </w:r>
    </w:p>
  </w:endnote>
  <w:endnote w:type="continuationSeparator" w:id="0">
    <w:p w14:paraId="6473C5C3" w14:textId="77777777" w:rsidR="00E43D3D" w:rsidRDefault="00E43D3D" w:rsidP="001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AE4A" w14:textId="77777777" w:rsidR="00E43D3D" w:rsidRDefault="00E43D3D" w:rsidP="00186860">
      <w:pPr>
        <w:spacing w:after="0" w:line="240" w:lineRule="auto"/>
      </w:pPr>
      <w:r>
        <w:separator/>
      </w:r>
    </w:p>
  </w:footnote>
  <w:footnote w:type="continuationSeparator" w:id="0">
    <w:p w14:paraId="6728062F" w14:textId="77777777" w:rsidR="00E43D3D" w:rsidRDefault="00E43D3D" w:rsidP="00186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60"/>
    <w:rsid w:val="000A20FD"/>
    <w:rsid w:val="00126308"/>
    <w:rsid w:val="00154DE5"/>
    <w:rsid w:val="00177FEA"/>
    <w:rsid w:val="00186860"/>
    <w:rsid w:val="00443A7E"/>
    <w:rsid w:val="004C0826"/>
    <w:rsid w:val="004F4C97"/>
    <w:rsid w:val="005406C7"/>
    <w:rsid w:val="00577BD3"/>
    <w:rsid w:val="00733213"/>
    <w:rsid w:val="00827989"/>
    <w:rsid w:val="00965D57"/>
    <w:rsid w:val="00A0552B"/>
    <w:rsid w:val="00E43D3D"/>
    <w:rsid w:val="00E67DD8"/>
    <w:rsid w:val="00EB473A"/>
    <w:rsid w:val="00F813EE"/>
    <w:rsid w:val="00F81C86"/>
    <w:rsid w:val="00F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D6C94"/>
  <w14:defaultImageDpi w14:val="32767"/>
  <w15:chartTrackingRefBased/>
  <w15:docId w15:val="{96A09549-9BB0-4332-8E5F-27696A00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8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8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8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8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8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8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8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8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8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86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6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86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6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8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686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6860"/>
  </w:style>
  <w:style w:type="paragraph" w:styleId="Footer">
    <w:name w:val="footer"/>
    <w:basedOn w:val="Normal"/>
    <w:link w:val="FooterChar"/>
    <w:uiPriority w:val="99"/>
    <w:unhideWhenUsed/>
    <w:rsid w:val="0018686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R. Nik</dc:creator>
  <cp:keywords/>
  <dc:description/>
  <cp:lastModifiedBy>M. R. Nik</cp:lastModifiedBy>
  <cp:revision>6</cp:revision>
  <dcterms:created xsi:type="dcterms:W3CDTF">2026-03-18T20:57:00Z</dcterms:created>
  <dcterms:modified xsi:type="dcterms:W3CDTF">2026-04-23T17:25:00Z</dcterms:modified>
</cp:coreProperties>
</file>