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A0E87" w14:textId="77777777" w:rsidR="005C5A8B" w:rsidRPr="00F66AFE" w:rsidRDefault="005C5A8B" w:rsidP="005C5A8B">
      <w:pPr>
        <w:spacing w:after="200" w:line="240" w:lineRule="auto"/>
        <w:jc w:val="both"/>
        <w:rPr>
          <w:rFonts w:ascii="Times New Roman" w:eastAsiaTheme="minorEastAsia" w:hAnsi="Times New Roman" w:cs="Times New Roman"/>
          <w:sz w:val="24"/>
          <w:szCs w:val="24"/>
          <w:lang w:eastAsia="zh-CN"/>
        </w:rPr>
      </w:pPr>
    </w:p>
    <w:p w14:paraId="3C1C11A2" w14:textId="77777777" w:rsidR="005C5A8B" w:rsidRPr="00F66AFE" w:rsidRDefault="005C5A8B" w:rsidP="005C5A8B">
      <w:pPr>
        <w:spacing w:after="200" w:line="240" w:lineRule="auto"/>
        <w:jc w:val="both"/>
        <w:rPr>
          <w:rFonts w:ascii="Times New Roman" w:eastAsiaTheme="minorEastAsia" w:hAnsi="Times New Roman" w:cs="Times New Roman"/>
          <w:b/>
          <w:sz w:val="24"/>
          <w:szCs w:val="24"/>
          <w:lang w:eastAsia="zh-CN"/>
        </w:rPr>
      </w:pPr>
      <w:r w:rsidRPr="00F66AFE">
        <w:rPr>
          <w:rFonts w:ascii="Times New Roman" w:eastAsiaTheme="minorEastAsia" w:hAnsi="Times New Roman" w:cs="Times New Roman"/>
          <w:b/>
          <w:sz w:val="24"/>
          <w:szCs w:val="24"/>
          <w:lang w:eastAsia="zh-CN"/>
        </w:rPr>
        <w:t>Summary of levels of evidence and class of recommendation in training CPR.</w:t>
      </w:r>
    </w:p>
    <w:tbl>
      <w:tblPr>
        <w:tblStyle w:val="TableGrid"/>
        <w:tblW w:w="944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6"/>
        <w:gridCol w:w="1209"/>
        <w:gridCol w:w="1322"/>
        <w:gridCol w:w="1334"/>
        <w:gridCol w:w="1938"/>
        <w:gridCol w:w="1396"/>
      </w:tblGrid>
      <w:tr w:rsidR="00F66AFE" w:rsidRPr="00F66AFE" w14:paraId="1D0B0DAF" w14:textId="77777777" w:rsidTr="006560DE">
        <w:tc>
          <w:tcPr>
            <w:tcW w:w="2425" w:type="dxa"/>
            <w:vMerge w:val="restart"/>
          </w:tcPr>
          <w:p w14:paraId="1BDD3D5C"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Class of recommendation (COR)</w:t>
            </w:r>
          </w:p>
        </w:tc>
        <w:tc>
          <w:tcPr>
            <w:tcW w:w="7020" w:type="dxa"/>
            <w:gridSpan w:val="5"/>
          </w:tcPr>
          <w:p w14:paraId="1187AD2B"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Level of Evidence</w:t>
            </w:r>
          </w:p>
        </w:tc>
      </w:tr>
      <w:tr w:rsidR="00F66AFE" w:rsidRPr="00F66AFE" w14:paraId="2A7D3C77" w14:textId="77777777" w:rsidTr="006560DE">
        <w:tc>
          <w:tcPr>
            <w:tcW w:w="2425" w:type="dxa"/>
            <w:vMerge/>
          </w:tcPr>
          <w:p w14:paraId="4C18BBDB" w14:textId="77777777" w:rsidR="005C5A8B" w:rsidRPr="00F66AFE" w:rsidRDefault="005C5A8B" w:rsidP="005C5A8B">
            <w:pPr>
              <w:jc w:val="both"/>
              <w:rPr>
                <w:rFonts w:ascii="Times New Roman" w:hAnsi="Times New Roman" w:cs="Times New Roman"/>
                <w:sz w:val="20"/>
              </w:rPr>
            </w:pPr>
          </w:p>
        </w:tc>
        <w:tc>
          <w:tcPr>
            <w:tcW w:w="1350" w:type="dxa"/>
          </w:tcPr>
          <w:p w14:paraId="6BEB8CC2"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Level A</w:t>
            </w:r>
          </w:p>
        </w:tc>
        <w:tc>
          <w:tcPr>
            <w:tcW w:w="1350" w:type="dxa"/>
          </w:tcPr>
          <w:p w14:paraId="4683E444"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Level B - R</w:t>
            </w:r>
          </w:p>
        </w:tc>
        <w:tc>
          <w:tcPr>
            <w:tcW w:w="1350" w:type="dxa"/>
          </w:tcPr>
          <w:p w14:paraId="4CD8CCDC"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Level B-NR</w:t>
            </w:r>
          </w:p>
        </w:tc>
        <w:tc>
          <w:tcPr>
            <w:tcW w:w="1440" w:type="dxa"/>
          </w:tcPr>
          <w:p w14:paraId="3437EAB1"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Level C- LD</w:t>
            </w:r>
          </w:p>
        </w:tc>
        <w:tc>
          <w:tcPr>
            <w:tcW w:w="1530" w:type="dxa"/>
          </w:tcPr>
          <w:p w14:paraId="603348D0"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Level C- EO</w:t>
            </w:r>
          </w:p>
        </w:tc>
      </w:tr>
      <w:tr w:rsidR="00F66AFE" w:rsidRPr="00F66AFE" w14:paraId="1906758D" w14:textId="77777777" w:rsidTr="006560DE">
        <w:tc>
          <w:tcPr>
            <w:tcW w:w="2425" w:type="dxa"/>
          </w:tcPr>
          <w:p w14:paraId="21856019"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Class 1 (strong)</w:t>
            </w:r>
          </w:p>
        </w:tc>
        <w:tc>
          <w:tcPr>
            <w:tcW w:w="1350" w:type="dxa"/>
          </w:tcPr>
          <w:p w14:paraId="14C461C5" w14:textId="77777777" w:rsidR="005C5A8B" w:rsidRPr="00F66AFE" w:rsidRDefault="005C5A8B" w:rsidP="005C5A8B">
            <w:pPr>
              <w:jc w:val="both"/>
              <w:rPr>
                <w:rFonts w:ascii="Times New Roman" w:hAnsi="Times New Roman" w:cs="Times New Roman"/>
                <w:sz w:val="20"/>
              </w:rPr>
            </w:pPr>
          </w:p>
        </w:tc>
        <w:tc>
          <w:tcPr>
            <w:tcW w:w="1350" w:type="dxa"/>
          </w:tcPr>
          <w:p w14:paraId="4CE78F5E" w14:textId="77777777" w:rsidR="005C5A8B" w:rsidRPr="00F66AFE" w:rsidRDefault="005C5A8B" w:rsidP="005C5A8B">
            <w:pPr>
              <w:jc w:val="both"/>
              <w:rPr>
                <w:rFonts w:ascii="Times New Roman" w:hAnsi="Times New Roman" w:cs="Times New Roman"/>
                <w:sz w:val="20"/>
              </w:rPr>
            </w:pPr>
          </w:p>
        </w:tc>
        <w:tc>
          <w:tcPr>
            <w:tcW w:w="1350" w:type="dxa"/>
          </w:tcPr>
          <w:p w14:paraId="6A73E9F4" w14:textId="77777777" w:rsidR="005C5A8B" w:rsidRPr="00F66AFE" w:rsidRDefault="005C5A8B" w:rsidP="005C5A8B">
            <w:pPr>
              <w:jc w:val="both"/>
              <w:rPr>
                <w:rFonts w:ascii="Times New Roman" w:hAnsi="Times New Roman" w:cs="Times New Roman"/>
                <w:sz w:val="20"/>
              </w:rPr>
            </w:pPr>
          </w:p>
        </w:tc>
        <w:tc>
          <w:tcPr>
            <w:tcW w:w="1440" w:type="dxa"/>
          </w:tcPr>
          <w:p w14:paraId="7BE3298D" w14:textId="77777777" w:rsidR="005C5A8B" w:rsidRPr="00F66AFE" w:rsidRDefault="005C5A8B" w:rsidP="005C5A8B">
            <w:pPr>
              <w:jc w:val="both"/>
              <w:rPr>
                <w:rFonts w:ascii="Times New Roman" w:hAnsi="Times New Roman" w:cs="Times New Roman"/>
                <w:sz w:val="20"/>
              </w:rPr>
            </w:pPr>
          </w:p>
        </w:tc>
        <w:tc>
          <w:tcPr>
            <w:tcW w:w="1530" w:type="dxa"/>
          </w:tcPr>
          <w:p w14:paraId="54BE0659" w14:textId="77777777" w:rsidR="005C5A8B" w:rsidRPr="00F66AFE" w:rsidRDefault="005C5A8B" w:rsidP="005C5A8B">
            <w:pPr>
              <w:jc w:val="both"/>
              <w:rPr>
                <w:rFonts w:ascii="Times New Roman" w:hAnsi="Times New Roman" w:cs="Times New Roman"/>
                <w:sz w:val="20"/>
              </w:rPr>
            </w:pPr>
          </w:p>
        </w:tc>
      </w:tr>
      <w:tr w:rsidR="00F66AFE" w:rsidRPr="00F66AFE" w14:paraId="7DC82230" w14:textId="77777777" w:rsidTr="006560DE">
        <w:tc>
          <w:tcPr>
            <w:tcW w:w="2425" w:type="dxa"/>
          </w:tcPr>
          <w:p w14:paraId="27D8674F"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Class 11a (moderate)</w:t>
            </w:r>
          </w:p>
        </w:tc>
        <w:tc>
          <w:tcPr>
            <w:tcW w:w="1350" w:type="dxa"/>
          </w:tcPr>
          <w:p w14:paraId="3400074F" w14:textId="77777777" w:rsidR="005C5A8B" w:rsidRPr="00F66AFE" w:rsidRDefault="005C5A8B" w:rsidP="005C5A8B">
            <w:pPr>
              <w:jc w:val="both"/>
              <w:rPr>
                <w:rFonts w:ascii="Times New Roman" w:hAnsi="Times New Roman" w:cs="Times New Roman"/>
                <w:sz w:val="20"/>
              </w:rPr>
            </w:pPr>
          </w:p>
        </w:tc>
        <w:tc>
          <w:tcPr>
            <w:tcW w:w="1350" w:type="dxa"/>
          </w:tcPr>
          <w:p w14:paraId="002531BA"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Saiboon</w:t>
            </w:r>
            <w:proofErr w:type="spellEnd"/>
            <w:r w:rsidRPr="00F66AFE">
              <w:rPr>
                <w:rFonts w:ascii="Times New Roman" w:hAnsi="Times New Roman" w:cs="Times New Roman"/>
                <w:sz w:val="20"/>
              </w:rPr>
              <w:t xml:space="preserve"> et al., 2016) 11</w:t>
            </w:r>
          </w:p>
        </w:tc>
        <w:tc>
          <w:tcPr>
            <w:tcW w:w="1350" w:type="dxa"/>
          </w:tcPr>
          <w:p w14:paraId="2DF15FBF" w14:textId="77777777" w:rsidR="005C5A8B" w:rsidRPr="00F66AFE" w:rsidRDefault="005C5A8B" w:rsidP="005C5A8B">
            <w:pPr>
              <w:jc w:val="both"/>
              <w:rPr>
                <w:rFonts w:ascii="Times New Roman" w:hAnsi="Times New Roman" w:cs="Times New Roman"/>
                <w:sz w:val="20"/>
              </w:rPr>
            </w:pPr>
          </w:p>
        </w:tc>
        <w:tc>
          <w:tcPr>
            <w:tcW w:w="1440" w:type="dxa"/>
          </w:tcPr>
          <w:p w14:paraId="1FF2FE8D" w14:textId="77777777" w:rsidR="005C5A8B" w:rsidRPr="00F66AFE" w:rsidRDefault="005C5A8B" w:rsidP="005C5A8B">
            <w:pPr>
              <w:jc w:val="both"/>
              <w:rPr>
                <w:rFonts w:ascii="Times New Roman" w:hAnsi="Times New Roman" w:cs="Times New Roman"/>
                <w:sz w:val="20"/>
              </w:rPr>
            </w:pPr>
          </w:p>
        </w:tc>
        <w:tc>
          <w:tcPr>
            <w:tcW w:w="1530" w:type="dxa"/>
          </w:tcPr>
          <w:p w14:paraId="481C391E" w14:textId="77777777" w:rsidR="005C5A8B" w:rsidRPr="00F66AFE" w:rsidRDefault="005C5A8B" w:rsidP="005C5A8B">
            <w:pPr>
              <w:jc w:val="both"/>
              <w:rPr>
                <w:rFonts w:ascii="Times New Roman" w:hAnsi="Times New Roman" w:cs="Times New Roman"/>
                <w:sz w:val="20"/>
              </w:rPr>
            </w:pPr>
          </w:p>
        </w:tc>
      </w:tr>
      <w:tr w:rsidR="00F66AFE" w:rsidRPr="00F66AFE" w14:paraId="10E82A27" w14:textId="77777777" w:rsidTr="006560DE">
        <w:tc>
          <w:tcPr>
            <w:tcW w:w="2425" w:type="dxa"/>
          </w:tcPr>
          <w:p w14:paraId="01D49A08"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Class 11b (weak)</w:t>
            </w:r>
          </w:p>
        </w:tc>
        <w:tc>
          <w:tcPr>
            <w:tcW w:w="1350" w:type="dxa"/>
          </w:tcPr>
          <w:p w14:paraId="5425CB7E" w14:textId="77777777" w:rsidR="005C5A8B" w:rsidRPr="00F66AFE" w:rsidRDefault="005C5A8B" w:rsidP="005C5A8B">
            <w:pPr>
              <w:jc w:val="both"/>
              <w:rPr>
                <w:rFonts w:ascii="Times New Roman" w:hAnsi="Times New Roman" w:cs="Times New Roman"/>
                <w:sz w:val="20"/>
              </w:rPr>
            </w:pPr>
          </w:p>
        </w:tc>
        <w:tc>
          <w:tcPr>
            <w:tcW w:w="1350" w:type="dxa"/>
          </w:tcPr>
          <w:p w14:paraId="48FC8F85"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(Hernández-Padilla et al., 2015)41 (</w:t>
            </w:r>
            <w:proofErr w:type="spellStart"/>
            <w:r w:rsidRPr="00F66AFE">
              <w:rPr>
                <w:rFonts w:ascii="Times New Roman" w:hAnsi="Times New Roman" w:cs="Times New Roman"/>
                <w:sz w:val="20"/>
              </w:rPr>
              <w:t>Serwetnyk</w:t>
            </w:r>
            <w:proofErr w:type="spellEnd"/>
            <w:r w:rsidRPr="00F66AFE">
              <w:rPr>
                <w:rFonts w:ascii="Times New Roman" w:hAnsi="Times New Roman" w:cs="Times New Roman"/>
                <w:sz w:val="20"/>
              </w:rPr>
              <w:t xml:space="preserve"> et al.,2015)29 (Anderson et al.,2019)46 (</w:t>
            </w:r>
            <w:proofErr w:type="spellStart"/>
            <w:r w:rsidRPr="00F66AFE">
              <w:rPr>
                <w:rFonts w:ascii="Times New Roman" w:hAnsi="Times New Roman" w:cs="Times New Roman"/>
                <w:sz w:val="20"/>
              </w:rPr>
              <w:t>Aqel</w:t>
            </w:r>
            <w:proofErr w:type="spellEnd"/>
            <w:r w:rsidRPr="00F66AFE">
              <w:rPr>
                <w:rFonts w:ascii="Times New Roman" w:hAnsi="Times New Roman" w:cs="Times New Roman"/>
                <w:sz w:val="20"/>
              </w:rPr>
              <w:t xml:space="preserve"> &amp; Ahmad, 2014)26 </w:t>
            </w:r>
          </w:p>
        </w:tc>
        <w:tc>
          <w:tcPr>
            <w:tcW w:w="1350" w:type="dxa"/>
          </w:tcPr>
          <w:p w14:paraId="1C1ABDA1"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Saramma</w:t>
            </w:r>
            <w:proofErr w:type="spellEnd"/>
            <w:r w:rsidRPr="00F66AFE">
              <w:rPr>
                <w:rFonts w:ascii="Times New Roman" w:hAnsi="Times New Roman" w:cs="Times New Roman"/>
                <w:sz w:val="20"/>
              </w:rPr>
              <w:t xml:space="preserve"> et al., 2016)37</w:t>
            </w:r>
          </w:p>
          <w:p w14:paraId="48E99AEF"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Mardegan</w:t>
            </w:r>
            <w:proofErr w:type="spellEnd"/>
            <w:r w:rsidRPr="00F66AFE">
              <w:rPr>
                <w:rFonts w:ascii="Times New Roman" w:hAnsi="Times New Roman" w:cs="Times New Roman"/>
                <w:sz w:val="20"/>
              </w:rPr>
              <w:t xml:space="preserve"> et al., 2015)24</w:t>
            </w:r>
          </w:p>
          <w:p w14:paraId="44E9ADAC"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Toubasi</w:t>
            </w:r>
            <w:proofErr w:type="spellEnd"/>
            <w:r w:rsidRPr="00F66AFE">
              <w:rPr>
                <w:rFonts w:ascii="Times New Roman" w:hAnsi="Times New Roman" w:cs="Times New Roman"/>
                <w:sz w:val="20"/>
              </w:rPr>
              <w:t xml:space="preserve"> etal.,2015)42 (Terzi et al., 2017)43 (</w:t>
            </w:r>
            <w:proofErr w:type="spellStart"/>
            <w:r w:rsidRPr="00F66AFE">
              <w:rPr>
                <w:rFonts w:ascii="Times New Roman" w:hAnsi="Times New Roman" w:cs="Times New Roman"/>
                <w:sz w:val="20"/>
              </w:rPr>
              <w:t>Rajeswaran</w:t>
            </w:r>
            <w:proofErr w:type="spellEnd"/>
            <w:r w:rsidRPr="00F66AFE">
              <w:rPr>
                <w:rFonts w:ascii="Times New Roman" w:hAnsi="Times New Roman" w:cs="Times New Roman"/>
                <w:sz w:val="20"/>
              </w:rPr>
              <w:t xml:space="preserve"> et al.,.2018) 13</w:t>
            </w:r>
          </w:p>
        </w:tc>
        <w:tc>
          <w:tcPr>
            <w:tcW w:w="1440" w:type="dxa"/>
          </w:tcPr>
          <w:p w14:paraId="53B87A12"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Munezero</w:t>
            </w:r>
            <w:proofErr w:type="spellEnd"/>
            <w:r w:rsidRPr="00F66AFE">
              <w:rPr>
                <w:rFonts w:ascii="Times New Roman" w:hAnsi="Times New Roman" w:cs="Times New Roman"/>
                <w:sz w:val="20"/>
              </w:rPr>
              <w:t xml:space="preserve"> et al., 2018)36 (Niles et al., 2017)44 (Chen et al., 2018)27</w:t>
            </w:r>
          </w:p>
          <w:p w14:paraId="672FF587"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fldChar w:fldCharType="begin" w:fldLock="1"/>
            </w:r>
            <w:r w:rsidRPr="00F66AFE">
              <w:rPr>
                <w:rFonts w:ascii="Times New Roman" w:hAnsi="Times New Roman" w:cs="Times New Roman"/>
                <w:sz w:val="20"/>
              </w:rPr>
              <w:instrText>ADDIN CSL_CITATION {"citationItems":[{"id":"ITEM-1","itemData":{"DOI":"10.1016/j.resuscitation.2014.10.021","ISSN":"18731570","abstract":"Background: Traditional American Heart Association (AHA) cardiopulmonary resuscitation (CPR) curriculum focuses on teams of two performing quality chest compressions with rescuers on their knees but does not include training specific to In-Hospital Cardiac Arrests (IHCA), i.e. patient in hospital bed with large resuscitation teams and sophisticated technology available. DesignA randomized controlled trial was conducted with the primary goal of evaluating the effectiveness and ideal frequency of in-situ training on time elapsed from call for help to; (1) initiation of chest compressions and (2) successful defibrillation in IHCA. MethodsNon-intensive care unit nurses were randomized into four groups: standard AHA training (C) and three groups that participated in 15. min in-situ IHCA training sessions every two (2M), three (3M) or six months (6M). Curriculum included specific choreography for teams to achieve immediate chest compressions, high chest compression fractions and rapid defibrillation while incorporating use of a backboard, stepstool. ResultsMore frequent training was associated with decreased median (IQR) seconds to: starting compressions: [C: 33(25-40) vs. 6M: 21(15-26) vs. 3M: 14(10-20) vs. 2M: 13(9-20); p&lt;. 0.001]; and defibrillation: [C: 157(140-254) vs. 6M: 138(107-158) vs. 3M: 115(101-119) vs. 2M: 109(98-129); p&lt;. 0.001]. A composite outcome of key priorities, compressions within 20. s, defibrillation within 180. s and use of a backboard, revealed improvement with more frequent training sessions: [C:5%(1/18) vs. 6M: 23%(4/17) vs. 3M: 56%(9/16) vs. 2M: 73%(11/15); p&lt;. 0.001]. ConclusionResults revealed short in-situ training sessions conducted every 3 months are effective in improving timely initiation of chest compressions and defibrillation in IHCA.","author":[{"dropping-particle":"","family":"Sullivan","given":"Nancy J.","non-dropping-particle":"","parse-names":false,"suffix":""},{"dropping-particle":"","family":"Duval-Arnould","given":"Jordan","non-dropping-particle":"","parse-names":false,"suffix":""},{"dropping-particle":"","family":"Twilley","given":"Marida","non-dropping-particle":"","parse-names":false,"suffix":""},{"dropping-particle":"","family":"Smith","given":"Sarah P.","non-dropping-particle":"","parse-names":false,"suffix":""},{"dropping-particle":"","family":"Aksamit","given":"Deborah","non-dropping-particle":"","parse-names":false,"suffix":""},{"dropping-particle":"","family":"Boone-Guercio","given":"Pam","non-dropping-particle":"","parse-names":false,"suffix":""},{"dropping-particle":"","family":"Jeffries","given":"Pamela R.","non-dropping-particle":"","parse-names":false,"suffix":""},{"dropping-particle":"","family":"Hunt","given":"Elizabeth A.","non-dropping-particle":"","parse-names":false,"suffix":""}],"container-title":"Resuscitation","id":"ITEM-1","issued":{"date-parts":[["2015"]]},"page":"6-13","publisher":"European Resuscitation Council, American Heart Association, Inc., and International Liaison Committee on Resuscitation.~Published by Elsevier Ireland Ltd","title":"Simulation exercise to improve retention of cardiopulmonary resuscitation priorities for in-hospital cardiac arrests: A randomized controlled trial","type":"article-journal","volume":"86"},"uris":["http://www.mendeley.com/documents/?uuid=d7abab3b-aed7-4d5e-a5e8-b1855c6c5bef"]}],"mendeley":{"formattedCitation":"(Sullivan et al., 2015)","plainTextFormattedCitation":"(Sullivan et al., 2015)","previouslyFormattedCitation":"(Sullivan et al., 2015)"},"properties":{"noteIndex":0},"schema":"https://github.com/citation-style-language/schema/raw/master/csl-citation.json"}</w:instrText>
            </w:r>
            <w:r w:rsidRPr="00F66AFE">
              <w:rPr>
                <w:rFonts w:ascii="Times New Roman" w:hAnsi="Times New Roman" w:cs="Times New Roman"/>
                <w:sz w:val="20"/>
              </w:rPr>
              <w:fldChar w:fldCharType="separate"/>
            </w:r>
            <w:r w:rsidRPr="00F66AFE">
              <w:rPr>
                <w:rFonts w:ascii="Times New Roman" w:hAnsi="Times New Roman" w:cs="Times New Roman"/>
                <w:noProof/>
                <w:sz w:val="20"/>
              </w:rPr>
              <w:t>(Sullivan et al., 2015)</w:t>
            </w:r>
            <w:r w:rsidRPr="00F66AFE">
              <w:rPr>
                <w:rFonts w:ascii="Times New Roman" w:hAnsi="Times New Roman" w:cs="Times New Roman"/>
                <w:sz w:val="20"/>
              </w:rPr>
              <w:fldChar w:fldCharType="end"/>
            </w:r>
            <w:r w:rsidRPr="00F66AFE">
              <w:rPr>
                <w:rFonts w:ascii="Times New Roman" w:hAnsi="Times New Roman" w:cs="Times New Roman"/>
                <w:sz w:val="20"/>
              </w:rPr>
              <w:t xml:space="preserve"> 45(</w:t>
            </w:r>
            <w:proofErr w:type="spellStart"/>
            <w:r w:rsidRPr="00F66AFE">
              <w:rPr>
                <w:rFonts w:ascii="Times New Roman" w:hAnsi="Times New Roman" w:cs="Times New Roman"/>
                <w:sz w:val="20"/>
              </w:rPr>
              <w:t>Bajracharya</w:t>
            </w:r>
            <w:proofErr w:type="spellEnd"/>
            <w:r w:rsidRPr="00F66AFE">
              <w:rPr>
                <w:rFonts w:ascii="Times New Roman" w:hAnsi="Times New Roman" w:cs="Times New Roman"/>
                <w:sz w:val="20"/>
              </w:rPr>
              <w:t xml:space="preserve"> &amp;Nagarkoti.,2016)34</w:t>
            </w:r>
          </w:p>
          <w:p w14:paraId="35EB38F3"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 xml:space="preserve"> (</w:t>
            </w:r>
            <w:proofErr w:type="spellStart"/>
            <w:r w:rsidRPr="00F66AFE">
              <w:rPr>
                <w:rFonts w:ascii="Times New Roman" w:hAnsi="Times New Roman" w:cs="Times New Roman"/>
                <w:sz w:val="20"/>
              </w:rPr>
              <w:t>Aliyari</w:t>
            </w:r>
            <w:proofErr w:type="spellEnd"/>
            <w:r w:rsidRPr="00F66AFE">
              <w:rPr>
                <w:rFonts w:ascii="Times New Roman" w:hAnsi="Times New Roman" w:cs="Times New Roman"/>
                <w:sz w:val="20"/>
              </w:rPr>
              <w:t xml:space="preserve"> et al., 2019)28 (</w:t>
            </w:r>
            <w:proofErr w:type="spellStart"/>
            <w:r w:rsidRPr="00F66AFE">
              <w:rPr>
                <w:rFonts w:ascii="Times New Roman" w:hAnsi="Times New Roman" w:cs="Times New Roman"/>
                <w:sz w:val="20"/>
              </w:rPr>
              <w:t>Shahrakivahed</w:t>
            </w:r>
            <w:proofErr w:type="spellEnd"/>
            <w:r w:rsidRPr="00F66AFE">
              <w:rPr>
                <w:rFonts w:ascii="Times New Roman" w:hAnsi="Times New Roman" w:cs="Times New Roman"/>
                <w:sz w:val="20"/>
              </w:rPr>
              <w:t xml:space="preserve"> et al., 2015)38 (</w:t>
            </w:r>
            <w:proofErr w:type="spellStart"/>
            <w:r w:rsidRPr="00F66AFE">
              <w:rPr>
                <w:rFonts w:ascii="Times New Roman" w:hAnsi="Times New Roman" w:cs="Times New Roman"/>
                <w:sz w:val="20"/>
              </w:rPr>
              <w:t>Partiprajak</w:t>
            </w:r>
            <w:proofErr w:type="spellEnd"/>
            <w:r w:rsidRPr="00F66AFE">
              <w:rPr>
                <w:rFonts w:ascii="Times New Roman" w:hAnsi="Times New Roman" w:cs="Times New Roman"/>
                <w:sz w:val="20"/>
              </w:rPr>
              <w:t xml:space="preserve"> &amp; </w:t>
            </w:r>
            <w:proofErr w:type="spellStart"/>
            <w:r w:rsidRPr="00F66AFE">
              <w:rPr>
                <w:rFonts w:ascii="Times New Roman" w:hAnsi="Times New Roman" w:cs="Times New Roman"/>
                <w:sz w:val="20"/>
              </w:rPr>
              <w:t>Thongpo</w:t>
            </w:r>
            <w:proofErr w:type="spellEnd"/>
            <w:r w:rsidRPr="00F66AFE">
              <w:rPr>
                <w:rFonts w:ascii="Times New Roman" w:hAnsi="Times New Roman" w:cs="Times New Roman"/>
                <w:sz w:val="20"/>
              </w:rPr>
              <w:t>, 2016)39</w:t>
            </w:r>
          </w:p>
        </w:tc>
        <w:tc>
          <w:tcPr>
            <w:tcW w:w="1530" w:type="dxa"/>
          </w:tcPr>
          <w:p w14:paraId="1BF49440" w14:textId="77777777" w:rsidR="005C5A8B" w:rsidRPr="00F66AFE" w:rsidRDefault="005C5A8B" w:rsidP="005C5A8B">
            <w:pPr>
              <w:jc w:val="both"/>
              <w:rPr>
                <w:rFonts w:ascii="Times New Roman" w:hAnsi="Times New Roman" w:cs="Times New Roman"/>
                <w:sz w:val="20"/>
              </w:rPr>
            </w:pPr>
          </w:p>
        </w:tc>
      </w:tr>
      <w:tr w:rsidR="00F66AFE" w:rsidRPr="00F66AFE" w14:paraId="55E38168" w14:textId="77777777" w:rsidTr="006560DE">
        <w:tc>
          <w:tcPr>
            <w:tcW w:w="2425" w:type="dxa"/>
          </w:tcPr>
          <w:p w14:paraId="35A5D7E9"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Class 111 No benefit (moderate)</w:t>
            </w:r>
          </w:p>
        </w:tc>
        <w:tc>
          <w:tcPr>
            <w:tcW w:w="1350" w:type="dxa"/>
          </w:tcPr>
          <w:p w14:paraId="3658D2E6" w14:textId="77777777" w:rsidR="005C5A8B" w:rsidRPr="00F66AFE" w:rsidRDefault="005C5A8B" w:rsidP="005C5A8B">
            <w:pPr>
              <w:jc w:val="both"/>
              <w:rPr>
                <w:rFonts w:ascii="Times New Roman" w:hAnsi="Times New Roman" w:cs="Times New Roman"/>
                <w:sz w:val="20"/>
              </w:rPr>
            </w:pPr>
          </w:p>
        </w:tc>
        <w:tc>
          <w:tcPr>
            <w:tcW w:w="1350" w:type="dxa"/>
          </w:tcPr>
          <w:p w14:paraId="089F7F73" w14:textId="77777777" w:rsidR="005C5A8B" w:rsidRPr="00F66AFE" w:rsidRDefault="005C5A8B" w:rsidP="005C5A8B">
            <w:pPr>
              <w:jc w:val="both"/>
              <w:rPr>
                <w:rFonts w:ascii="Times New Roman" w:hAnsi="Times New Roman" w:cs="Times New Roman"/>
                <w:sz w:val="20"/>
              </w:rPr>
            </w:pPr>
          </w:p>
        </w:tc>
        <w:tc>
          <w:tcPr>
            <w:tcW w:w="1350" w:type="dxa"/>
          </w:tcPr>
          <w:p w14:paraId="69E91399" w14:textId="77777777" w:rsidR="005C5A8B" w:rsidRPr="00F66AFE" w:rsidRDefault="005C5A8B" w:rsidP="005C5A8B">
            <w:pPr>
              <w:jc w:val="both"/>
              <w:rPr>
                <w:rFonts w:ascii="Times New Roman" w:hAnsi="Times New Roman" w:cs="Times New Roman"/>
                <w:sz w:val="20"/>
              </w:rPr>
            </w:pPr>
          </w:p>
        </w:tc>
        <w:tc>
          <w:tcPr>
            <w:tcW w:w="1440" w:type="dxa"/>
          </w:tcPr>
          <w:p w14:paraId="2DA1D6F5"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Yılmaz</w:t>
            </w:r>
            <w:proofErr w:type="spellEnd"/>
            <w:r w:rsidRPr="00F66AFE">
              <w:rPr>
                <w:rFonts w:ascii="Times New Roman" w:hAnsi="Times New Roman" w:cs="Times New Roman"/>
                <w:sz w:val="20"/>
              </w:rPr>
              <w:t xml:space="preserve"> &amp; </w:t>
            </w:r>
            <w:proofErr w:type="spellStart"/>
            <w:r w:rsidRPr="00F66AFE">
              <w:rPr>
                <w:rFonts w:ascii="Times New Roman" w:hAnsi="Times New Roman" w:cs="Times New Roman"/>
                <w:sz w:val="20"/>
              </w:rPr>
              <w:t>Simsek</w:t>
            </w:r>
            <w:proofErr w:type="spellEnd"/>
            <w:r w:rsidRPr="00F66AFE">
              <w:rPr>
                <w:rFonts w:ascii="Times New Roman" w:hAnsi="Times New Roman" w:cs="Times New Roman"/>
                <w:sz w:val="20"/>
              </w:rPr>
              <w:t xml:space="preserve">, 2019)40 </w:t>
            </w:r>
          </w:p>
        </w:tc>
        <w:tc>
          <w:tcPr>
            <w:tcW w:w="1530" w:type="dxa"/>
          </w:tcPr>
          <w:p w14:paraId="34C050F1"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w:t>
            </w:r>
            <w:proofErr w:type="spellStart"/>
            <w:r w:rsidRPr="00F66AFE">
              <w:rPr>
                <w:rFonts w:ascii="Times New Roman" w:hAnsi="Times New Roman" w:cs="Times New Roman"/>
                <w:sz w:val="20"/>
              </w:rPr>
              <w:t>Vural</w:t>
            </w:r>
            <w:proofErr w:type="spellEnd"/>
            <w:r w:rsidRPr="00F66AFE">
              <w:rPr>
                <w:rFonts w:ascii="Times New Roman" w:hAnsi="Times New Roman" w:cs="Times New Roman"/>
                <w:sz w:val="20"/>
              </w:rPr>
              <w:t xml:space="preserve"> et al., 2017)36</w:t>
            </w:r>
          </w:p>
          <w:p w14:paraId="50EE0285"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 xml:space="preserve"> </w:t>
            </w:r>
          </w:p>
        </w:tc>
      </w:tr>
      <w:tr w:rsidR="00F66AFE" w:rsidRPr="00F66AFE" w14:paraId="28277175" w14:textId="77777777" w:rsidTr="006560DE">
        <w:tc>
          <w:tcPr>
            <w:tcW w:w="2425" w:type="dxa"/>
          </w:tcPr>
          <w:p w14:paraId="13E84B80" w14:textId="77777777" w:rsidR="005C5A8B" w:rsidRPr="00F66AFE" w:rsidRDefault="005C5A8B" w:rsidP="005C5A8B">
            <w:pPr>
              <w:jc w:val="both"/>
              <w:rPr>
                <w:rFonts w:ascii="Times New Roman" w:hAnsi="Times New Roman" w:cs="Times New Roman"/>
                <w:sz w:val="20"/>
              </w:rPr>
            </w:pPr>
            <w:r w:rsidRPr="00F66AFE">
              <w:rPr>
                <w:rFonts w:ascii="Times New Roman" w:hAnsi="Times New Roman" w:cs="Times New Roman"/>
                <w:sz w:val="20"/>
              </w:rPr>
              <w:t>Class 111 Harm (strong)</w:t>
            </w:r>
          </w:p>
        </w:tc>
        <w:tc>
          <w:tcPr>
            <w:tcW w:w="1350" w:type="dxa"/>
          </w:tcPr>
          <w:p w14:paraId="51A5235F" w14:textId="77777777" w:rsidR="005C5A8B" w:rsidRPr="00F66AFE" w:rsidRDefault="005C5A8B" w:rsidP="005C5A8B">
            <w:pPr>
              <w:jc w:val="both"/>
              <w:rPr>
                <w:rFonts w:ascii="Times New Roman" w:hAnsi="Times New Roman" w:cs="Times New Roman"/>
                <w:sz w:val="20"/>
              </w:rPr>
            </w:pPr>
          </w:p>
        </w:tc>
        <w:tc>
          <w:tcPr>
            <w:tcW w:w="1350" w:type="dxa"/>
          </w:tcPr>
          <w:p w14:paraId="474AE45B" w14:textId="77777777" w:rsidR="005C5A8B" w:rsidRPr="00F66AFE" w:rsidRDefault="005C5A8B" w:rsidP="005C5A8B">
            <w:pPr>
              <w:jc w:val="both"/>
              <w:rPr>
                <w:rFonts w:ascii="Times New Roman" w:hAnsi="Times New Roman" w:cs="Times New Roman"/>
                <w:sz w:val="20"/>
              </w:rPr>
            </w:pPr>
          </w:p>
        </w:tc>
        <w:tc>
          <w:tcPr>
            <w:tcW w:w="1350" w:type="dxa"/>
          </w:tcPr>
          <w:p w14:paraId="1F273FAB" w14:textId="77777777" w:rsidR="005C5A8B" w:rsidRPr="00F66AFE" w:rsidRDefault="005C5A8B" w:rsidP="005C5A8B">
            <w:pPr>
              <w:jc w:val="both"/>
              <w:rPr>
                <w:rFonts w:ascii="Times New Roman" w:hAnsi="Times New Roman" w:cs="Times New Roman"/>
                <w:sz w:val="20"/>
              </w:rPr>
            </w:pPr>
          </w:p>
        </w:tc>
        <w:tc>
          <w:tcPr>
            <w:tcW w:w="1440" w:type="dxa"/>
          </w:tcPr>
          <w:p w14:paraId="3FC236F9" w14:textId="77777777" w:rsidR="005C5A8B" w:rsidRPr="00F66AFE" w:rsidRDefault="005C5A8B" w:rsidP="005C5A8B">
            <w:pPr>
              <w:jc w:val="both"/>
              <w:rPr>
                <w:rFonts w:ascii="Times New Roman" w:hAnsi="Times New Roman" w:cs="Times New Roman"/>
                <w:sz w:val="20"/>
              </w:rPr>
            </w:pPr>
          </w:p>
        </w:tc>
        <w:tc>
          <w:tcPr>
            <w:tcW w:w="1530" w:type="dxa"/>
          </w:tcPr>
          <w:p w14:paraId="18C3BC9C" w14:textId="77777777" w:rsidR="005C5A8B" w:rsidRPr="00F66AFE" w:rsidRDefault="005C5A8B" w:rsidP="005C5A8B">
            <w:pPr>
              <w:jc w:val="both"/>
              <w:rPr>
                <w:rFonts w:ascii="Times New Roman" w:hAnsi="Times New Roman" w:cs="Times New Roman"/>
                <w:sz w:val="20"/>
              </w:rPr>
            </w:pPr>
          </w:p>
        </w:tc>
      </w:tr>
    </w:tbl>
    <w:p w14:paraId="0C38659B" w14:textId="77777777" w:rsidR="005C5A8B" w:rsidRPr="00F66AFE" w:rsidRDefault="005C5A8B" w:rsidP="005C5A8B">
      <w:pPr>
        <w:spacing w:after="0" w:line="240" w:lineRule="auto"/>
        <w:jc w:val="both"/>
        <w:rPr>
          <w:rFonts w:ascii="Times New Roman" w:eastAsiaTheme="minorEastAsia" w:hAnsi="Times New Roman" w:cs="Times New Roman"/>
          <w:szCs w:val="24"/>
          <w:lang w:eastAsia="zh-CN"/>
        </w:rPr>
      </w:pPr>
      <w:r w:rsidRPr="00F66AFE">
        <w:rPr>
          <w:rFonts w:ascii="Times New Roman" w:eastAsiaTheme="minorEastAsia" w:hAnsi="Times New Roman" w:cs="Times New Roman"/>
          <w:szCs w:val="24"/>
          <w:lang w:eastAsia="zh-CN"/>
        </w:rPr>
        <w:t>Note: LOE B – R (Randomized), LOE B – NR (Not randomized), LOE C- LD (Limited data), and LOE C-EO (Expert Opinion)</w:t>
      </w:r>
    </w:p>
    <w:p w14:paraId="6A9EA573" w14:textId="77777777" w:rsidR="005C5A8B" w:rsidRPr="00F66AFE" w:rsidRDefault="005C5A8B" w:rsidP="005C5A8B">
      <w:pPr>
        <w:spacing w:after="0" w:line="240" w:lineRule="auto"/>
        <w:jc w:val="both"/>
        <w:rPr>
          <w:rFonts w:ascii="Times New Roman" w:eastAsiaTheme="minorEastAsia" w:hAnsi="Times New Roman" w:cs="Times New Roman"/>
          <w:b/>
          <w:sz w:val="24"/>
          <w:szCs w:val="24"/>
          <w:lang w:eastAsia="zh-CN"/>
        </w:rPr>
        <w:sectPr w:rsidR="005C5A8B" w:rsidRPr="00F66AFE" w:rsidSect="005C5A8B">
          <w:footerReference w:type="default" r:id="rId6"/>
          <w:pgSz w:w="11907" w:h="16839" w:code="9"/>
          <w:pgMar w:top="1412" w:right="1106" w:bottom="2342" w:left="811" w:header="720" w:footer="720" w:gutter="0"/>
          <w:pgNumType w:start="0"/>
          <w:cols w:space="720"/>
          <w:docGrid w:linePitch="360"/>
        </w:sectPr>
      </w:pPr>
    </w:p>
    <w:p w14:paraId="633E2B2E" w14:textId="77777777" w:rsidR="005C5A8B" w:rsidRPr="00F66AFE" w:rsidRDefault="005C5A8B" w:rsidP="005C5A8B">
      <w:pPr>
        <w:tabs>
          <w:tab w:val="left" w:pos="14040"/>
        </w:tabs>
        <w:spacing w:after="0" w:line="240" w:lineRule="auto"/>
        <w:jc w:val="both"/>
        <w:rPr>
          <w:rFonts w:ascii="Times New Roman" w:eastAsiaTheme="minorEastAsia" w:hAnsi="Times New Roman" w:cs="Times New Roman"/>
          <w:b/>
          <w:sz w:val="24"/>
          <w:szCs w:val="24"/>
          <w:lang w:eastAsia="zh-CN"/>
        </w:rPr>
        <w:sectPr w:rsidR="005C5A8B" w:rsidRPr="00F66AFE" w:rsidSect="00177061">
          <w:type w:val="continuous"/>
          <w:pgSz w:w="11907" w:h="16839" w:code="9"/>
          <w:pgMar w:top="1418" w:right="1418" w:bottom="1418" w:left="1135" w:header="720" w:footer="720" w:gutter="0"/>
          <w:lnNumType w:countBy="1" w:restart="continuous"/>
          <w:cols w:space="720"/>
          <w:docGrid w:linePitch="360"/>
        </w:sectPr>
      </w:pPr>
    </w:p>
    <w:p w14:paraId="630B6DF5" w14:textId="77777777" w:rsidR="005C5A8B" w:rsidRPr="00F66AFE" w:rsidRDefault="005C5A8B"/>
    <w:sectPr w:rsidR="005C5A8B" w:rsidRPr="00F66AFE" w:rsidSect="003C6640">
      <w:pgSz w:w="11906" w:h="16838" w:code="9"/>
      <w:pgMar w:top="1440" w:right="1440" w:bottom="1440" w:left="1987"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5C4550" w14:textId="77777777" w:rsidR="005518A7" w:rsidRDefault="005518A7">
      <w:pPr>
        <w:spacing w:after="0" w:line="240" w:lineRule="auto"/>
      </w:pPr>
      <w:r>
        <w:separator/>
      </w:r>
    </w:p>
  </w:endnote>
  <w:endnote w:type="continuationSeparator" w:id="0">
    <w:p w14:paraId="58ED7034" w14:textId="77777777" w:rsidR="005518A7" w:rsidRDefault="005518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19987030"/>
      <w:docPartObj>
        <w:docPartGallery w:val="Page Numbers (Bottom of Page)"/>
        <w:docPartUnique/>
      </w:docPartObj>
    </w:sdtPr>
    <w:sdtEndPr>
      <w:rPr>
        <w:noProof/>
      </w:rPr>
    </w:sdtEndPr>
    <w:sdtContent>
      <w:p w14:paraId="0E59F6D8" w14:textId="77777777" w:rsidR="00F13D35" w:rsidRDefault="005C5A8B">
        <w:pPr>
          <w:pStyle w:val="Footer"/>
          <w:jc w:val="center"/>
        </w:pPr>
        <w:r>
          <w:fldChar w:fldCharType="begin"/>
        </w:r>
        <w:r>
          <w:instrText xml:space="preserve"> PAGE   \* MERGEFORMAT </w:instrText>
        </w:r>
        <w:r>
          <w:fldChar w:fldCharType="separate"/>
        </w:r>
        <w:r>
          <w:rPr>
            <w:noProof/>
          </w:rPr>
          <w:t>0</w:t>
        </w:r>
        <w:r>
          <w:rPr>
            <w:noProof/>
          </w:rPr>
          <w:fldChar w:fldCharType="end"/>
        </w:r>
      </w:p>
    </w:sdtContent>
  </w:sdt>
  <w:p w14:paraId="2C5F7C62" w14:textId="77777777" w:rsidR="00F13D35" w:rsidRDefault="005518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72C840" w14:textId="77777777" w:rsidR="005518A7" w:rsidRDefault="005518A7">
      <w:pPr>
        <w:spacing w:after="0" w:line="240" w:lineRule="auto"/>
      </w:pPr>
      <w:r>
        <w:separator/>
      </w:r>
    </w:p>
  </w:footnote>
  <w:footnote w:type="continuationSeparator" w:id="0">
    <w:p w14:paraId="0900B651" w14:textId="77777777" w:rsidR="005518A7" w:rsidRDefault="005518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8B"/>
    <w:rsid w:val="003C6640"/>
    <w:rsid w:val="005518A7"/>
    <w:rsid w:val="005C5A8B"/>
    <w:rsid w:val="00725B7D"/>
    <w:rsid w:val="00F66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4B886"/>
  <w15:chartTrackingRefBased/>
  <w15:docId w15:val="{4D7050A0-9C83-4AEF-84A6-70C042E6D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C5A8B"/>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C5A8B"/>
    <w:pPr>
      <w:tabs>
        <w:tab w:val="center" w:pos="4680"/>
        <w:tab w:val="right" w:pos="9360"/>
      </w:tabs>
      <w:spacing w:after="0" w:line="240" w:lineRule="auto"/>
    </w:pPr>
    <w:rPr>
      <w:rFonts w:eastAsiaTheme="minorEastAsia"/>
      <w:lang w:eastAsia="zh-CN"/>
    </w:rPr>
  </w:style>
  <w:style w:type="character" w:customStyle="1" w:styleId="FooterChar">
    <w:name w:val="Footer Char"/>
    <w:basedOn w:val="DefaultParagraphFont"/>
    <w:link w:val="Footer"/>
    <w:uiPriority w:val="99"/>
    <w:rsid w:val="005C5A8B"/>
    <w:rPr>
      <w:rFonts w:eastAsiaTheme="minorEastAsia"/>
      <w:lang w:eastAsia="zh-CN"/>
    </w:rPr>
  </w:style>
  <w:style w:type="character" w:styleId="LineNumber">
    <w:name w:val="line number"/>
    <w:basedOn w:val="DefaultParagraphFont"/>
    <w:uiPriority w:val="99"/>
    <w:semiHidden/>
    <w:unhideWhenUsed/>
    <w:rsid w:val="005C5A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707</Words>
  <Characters>4033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SAIDU AHMED</dc:creator>
  <cp:keywords/>
  <dc:description/>
  <cp:lastModifiedBy>Lim Poh Ying</cp:lastModifiedBy>
  <cp:revision>2</cp:revision>
  <dcterms:created xsi:type="dcterms:W3CDTF">2021-09-13T01:34:00Z</dcterms:created>
  <dcterms:modified xsi:type="dcterms:W3CDTF">2021-10-26T05:47:00Z</dcterms:modified>
</cp:coreProperties>
</file>