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D2BD95" w14:textId="4A4F4EB8" w:rsidR="009504D4" w:rsidRPr="002828D3" w:rsidRDefault="002828D3" w:rsidP="00937657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2828D3">
        <w:rPr>
          <w:rFonts w:ascii="Times New Roman" w:hAnsi="Times New Roman" w:cs="Times New Roman"/>
          <w:b/>
          <w:szCs w:val="21"/>
        </w:rPr>
        <w:t>Additional file 1-</w:t>
      </w:r>
      <w:r w:rsidR="009504D4" w:rsidRPr="002828D3">
        <w:rPr>
          <w:rFonts w:ascii="Times New Roman" w:hAnsi="Times New Roman" w:cs="Times New Roman" w:hint="eastAsia"/>
          <w:b/>
          <w:szCs w:val="21"/>
        </w:rPr>
        <w:t>S</w:t>
      </w:r>
      <w:r w:rsidR="009504D4" w:rsidRPr="002828D3">
        <w:rPr>
          <w:rFonts w:ascii="Times New Roman" w:hAnsi="Times New Roman" w:cs="Times New Roman"/>
          <w:b/>
          <w:szCs w:val="21"/>
        </w:rPr>
        <w:t>upplementary Figures</w:t>
      </w:r>
    </w:p>
    <w:p w14:paraId="71D46293" w14:textId="4F52109C" w:rsidR="005B0E97" w:rsidRDefault="00BC1FD9" w:rsidP="00937657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noProof/>
        </w:rPr>
        <w:drawing>
          <wp:inline distT="0" distB="0" distL="0" distR="0" wp14:anchorId="4CEA2935" wp14:editId="1F2106FE">
            <wp:extent cx="5274310" cy="10318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BA90B" w14:textId="30CFDB9A" w:rsidR="005B0E97" w:rsidRDefault="002828D3" w:rsidP="00937657">
      <w:pPr>
        <w:spacing w:line="480" w:lineRule="auto"/>
        <w:rPr>
          <w:rFonts w:ascii="Times New Roman" w:hAnsi="Times New Roman" w:cs="Times New Roman"/>
        </w:rPr>
      </w:pPr>
      <w:r w:rsidRPr="00310099">
        <w:rPr>
          <w:rFonts w:ascii="Times New Roman" w:hAnsi="Times New Roman" w:cs="Times New Roman" w:hint="eastAsia"/>
          <w:b/>
          <w:color w:val="000000" w:themeColor="text1"/>
          <w:kern w:val="0"/>
          <w:szCs w:val="21"/>
        </w:rPr>
        <w:t>Fig</w:t>
      </w:r>
      <w:r>
        <w:rPr>
          <w:rFonts w:ascii="Times New Roman" w:hAnsi="Times New Roman" w:cs="Times New Roman"/>
          <w:b/>
          <w:color w:val="000000" w:themeColor="text1"/>
          <w:kern w:val="0"/>
          <w:szCs w:val="21"/>
        </w:rPr>
        <w:t>ure</w:t>
      </w:r>
      <w:r w:rsidR="004E2EDF">
        <w:rPr>
          <w:rFonts w:ascii="Times New Roman" w:hAnsi="Times New Roman" w:cs="Times New Roman"/>
          <w:b/>
          <w:color w:val="000000" w:themeColor="text1"/>
          <w:kern w:val="0"/>
          <w:szCs w:val="21"/>
        </w:rPr>
        <w:t xml:space="preserve"> </w:t>
      </w:r>
      <w:r w:rsidRPr="00310099">
        <w:rPr>
          <w:rFonts w:ascii="Times New Roman" w:hAnsi="Times New Roman" w:cs="Times New Roman"/>
          <w:b/>
          <w:color w:val="000000" w:themeColor="text1"/>
          <w:kern w:val="0"/>
          <w:szCs w:val="21"/>
        </w:rPr>
        <w:t>S1</w:t>
      </w:r>
      <w:r w:rsidR="00EB3F63">
        <w:rPr>
          <w:rFonts w:ascii="Times New Roman" w:hAnsi="Times New Roman" w:cs="Times New Roman"/>
          <w:b/>
          <w:bCs/>
        </w:rPr>
        <w:t>.</w:t>
      </w:r>
      <w:r w:rsidR="006E3533" w:rsidRPr="006E3533">
        <w:rPr>
          <w:rFonts w:ascii="Times New Roman" w:hAnsi="Times New Roman" w:cs="Times New Roman"/>
        </w:rPr>
        <w:t xml:space="preserve"> </w:t>
      </w:r>
      <w:r w:rsidR="005B0E97" w:rsidRPr="005B0E97">
        <w:rPr>
          <w:rFonts w:ascii="Times New Roman" w:hAnsi="Times New Roman" w:cs="Times New Roman"/>
          <w:b/>
          <w:bCs/>
        </w:rPr>
        <w:t xml:space="preserve">The effect of apatinib on the expression of </w:t>
      </w:r>
      <w:r w:rsidR="005B0E97" w:rsidRPr="005B0E97">
        <w:rPr>
          <w:rFonts w:ascii="Times New Roman" w:hAnsi="Times New Roman" w:cs="Times New Roman"/>
          <w:b/>
          <w:bCs/>
          <w:i/>
          <w:iCs/>
        </w:rPr>
        <w:t>PD-L1</w:t>
      </w:r>
      <w:r w:rsidR="005B0E97" w:rsidRPr="005B0E97">
        <w:rPr>
          <w:rFonts w:ascii="Times New Roman" w:hAnsi="Times New Roman" w:cs="Times New Roman"/>
          <w:b/>
          <w:bCs/>
        </w:rPr>
        <w:t xml:space="preserve"> mRNA in GC cell lines and the effect of LTβR signaling antagonistic antibody(aLTβR) on the proliferation of GC cell lines.</w:t>
      </w:r>
      <w:r w:rsidR="005B0E97">
        <w:rPr>
          <w:rFonts w:ascii="Times New Roman" w:hAnsi="Times New Roman" w:cs="Times New Roman"/>
        </w:rPr>
        <w:t xml:space="preserve"> </w:t>
      </w:r>
    </w:p>
    <w:p w14:paraId="2D6C022F" w14:textId="05BD9830" w:rsidR="005B0E97" w:rsidRDefault="002828D3" w:rsidP="005B0E97">
      <w:pPr>
        <w:pStyle w:val="a8"/>
        <w:autoSpaceDE w:val="0"/>
        <w:autoSpaceDN w:val="0"/>
        <w:adjustRightInd w:val="0"/>
        <w:spacing w:line="480" w:lineRule="auto"/>
        <w:ind w:firstLineChars="0" w:firstLine="0"/>
        <w:rPr>
          <w:szCs w:val="21"/>
        </w:rPr>
      </w:pPr>
      <w:r>
        <w:rPr>
          <w:rFonts w:hint="eastAsia"/>
          <w:b/>
          <w:bCs/>
        </w:rPr>
        <w:t>a</w:t>
      </w:r>
      <w:r w:rsidR="005B0E97">
        <w:t xml:space="preserve"> </w:t>
      </w:r>
      <w:r w:rsidR="005B0E97" w:rsidRPr="00CC2BAB">
        <w:rPr>
          <w:szCs w:val="21"/>
        </w:rPr>
        <w:t xml:space="preserve">qRT-PCR was performed to analyze the expression of </w:t>
      </w:r>
      <w:r w:rsidR="005B0E97" w:rsidRPr="005B0E97">
        <w:rPr>
          <w:i/>
          <w:iCs/>
          <w:szCs w:val="21"/>
        </w:rPr>
        <w:t>PD-L1</w:t>
      </w:r>
      <w:r w:rsidR="005B0E97">
        <w:rPr>
          <w:szCs w:val="21"/>
        </w:rPr>
        <w:t xml:space="preserve"> mRNA</w:t>
      </w:r>
      <w:r w:rsidR="005B0E97" w:rsidRPr="00BF0D6B">
        <w:rPr>
          <w:szCs w:val="21"/>
        </w:rPr>
        <w:t xml:space="preserve"> </w:t>
      </w:r>
      <w:r w:rsidR="005B0E97" w:rsidRPr="00CC2BAB">
        <w:rPr>
          <w:szCs w:val="21"/>
        </w:rPr>
        <w:t xml:space="preserve">in </w:t>
      </w:r>
      <w:r w:rsidR="005B0E97" w:rsidRPr="005B0E97">
        <w:rPr>
          <w:szCs w:val="21"/>
        </w:rPr>
        <w:t xml:space="preserve">MKN45 and N87 human and MFC mouse GC cell lines </w:t>
      </w:r>
      <w:r w:rsidR="005B0E97">
        <w:rPr>
          <w:szCs w:val="21"/>
        </w:rPr>
        <w:t xml:space="preserve">treated </w:t>
      </w:r>
      <w:r w:rsidR="005B0E97" w:rsidRPr="00731A14">
        <w:rPr>
          <w:szCs w:val="21"/>
        </w:rPr>
        <w:t xml:space="preserve">for </w:t>
      </w:r>
      <w:r w:rsidR="005B0E97">
        <w:rPr>
          <w:szCs w:val="21"/>
        </w:rPr>
        <w:t>48</w:t>
      </w:r>
      <w:r w:rsidR="005B0E97" w:rsidRPr="00731A14">
        <w:rPr>
          <w:szCs w:val="21"/>
        </w:rPr>
        <w:t xml:space="preserve"> hour</w:t>
      </w:r>
      <w:r w:rsidR="005B0E97">
        <w:rPr>
          <w:szCs w:val="21"/>
        </w:rPr>
        <w:t xml:space="preserve">s with apatinib </w:t>
      </w:r>
      <w:r w:rsidR="005B0E97">
        <w:rPr>
          <w:rFonts w:hint="eastAsia"/>
          <w:szCs w:val="21"/>
        </w:rPr>
        <w:t>(</w:t>
      </w:r>
      <w:r w:rsidR="005B0E97" w:rsidRPr="005B0E97">
        <w:rPr>
          <w:szCs w:val="21"/>
        </w:rPr>
        <w:t>5μM</w:t>
      </w:r>
      <w:r w:rsidR="005B0E97">
        <w:rPr>
          <w:szCs w:val="21"/>
        </w:rPr>
        <w:t xml:space="preserve">) </w:t>
      </w:r>
      <w:r w:rsidR="005B0E97" w:rsidRPr="005B0E97">
        <w:rPr>
          <w:szCs w:val="21"/>
        </w:rPr>
        <w:t>under hypoxia(1%) or normoxia condition</w:t>
      </w:r>
      <w:r w:rsidR="005B0E97" w:rsidRPr="00BF0D6B">
        <w:rPr>
          <w:szCs w:val="21"/>
        </w:rPr>
        <w:t>.</w:t>
      </w:r>
    </w:p>
    <w:p w14:paraId="1CA501A8" w14:textId="080DED22" w:rsidR="005B0E97" w:rsidRDefault="002828D3" w:rsidP="005B0E97">
      <w:pPr>
        <w:pStyle w:val="a8"/>
        <w:autoSpaceDE w:val="0"/>
        <w:autoSpaceDN w:val="0"/>
        <w:adjustRightInd w:val="0"/>
        <w:spacing w:line="480" w:lineRule="auto"/>
        <w:ind w:firstLineChars="0" w:firstLine="0"/>
        <w:rPr>
          <w:szCs w:val="21"/>
        </w:rPr>
      </w:pPr>
      <w:r>
        <w:rPr>
          <w:rFonts w:hint="eastAsia"/>
          <w:b/>
          <w:bCs/>
          <w:szCs w:val="21"/>
        </w:rPr>
        <w:t>b</w:t>
      </w:r>
      <w:r w:rsidR="005B0E97">
        <w:rPr>
          <w:szCs w:val="21"/>
        </w:rPr>
        <w:t xml:space="preserve"> </w:t>
      </w:r>
      <w:r w:rsidR="005B0E97">
        <w:rPr>
          <w:rFonts w:hint="eastAsia"/>
          <w:szCs w:val="21"/>
        </w:rPr>
        <w:t>CCK-8</w:t>
      </w:r>
      <w:r w:rsidR="005B0E97">
        <w:rPr>
          <w:szCs w:val="21"/>
        </w:rPr>
        <w:t xml:space="preserve"> </w:t>
      </w:r>
      <w:r w:rsidR="005B0E97">
        <w:rPr>
          <w:rFonts w:hint="eastAsia"/>
          <w:szCs w:val="21"/>
        </w:rPr>
        <w:t>assay</w:t>
      </w:r>
      <w:r w:rsidR="005B0E97">
        <w:rPr>
          <w:szCs w:val="21"/>
        </w:rPr>
        <w:t xml:space="preserve"> </w:t>
      </w:r>
      <w:r w:rsidR="005B0E97">
        <w:rPr>
          <w:rFonts w:hint="eastAsia"/>
          <w:szCs w:val="21"/>
        </w:rPr>
        <w:t>was</w:t>
      </w:r>
      <w:r w:rsidR="005B0E97">
        <w:rPr>
          <w:szCs w:val="21"/>
        </w:rPr>
        <w:t xml:space="preserve"> </w:t>
      </w:r>
      <w:r w:rsidR="00105EC2">
        <w:rPr>
          <w:szCs w:val="21"/>
        </w:rPr>
        <w:t xml:space="preserve">performed to evaluate the proliferation of </w:t>
      </w:r>
      <w:r w:rsidR="00105EC2" w:rsidRPr="005B0E97">
        <w:rPr>
          <w:szCs w:val="21"/>
        </w:rPr>
        <w:t xml:space="preserve">MKN45 and N87 human and MFC mouse GC cell lines </w:t>
      </w:r>
      <w:r w:rsidR="00105EC2">
        <w:rPr>
          <w:szCs w:val="21"/>
        </w:rPr>
        <w:t xml:space="preserve">treated with </w:t>
      </w:r>
      <w:r w:rsidR="00105EC2" w:rsidRPr="00105EC2">
        <w:t>LTβR signaling antagonistic antibody(aLTβR)</w:t>
      </w:r>
      <w:r w:rsidR="00105EC2">
        <w:rPr>
          <w:szCs w:val="21"/>
        </w:rPr>
        <w:t xml:space="preserve"> </w:t>
      </w:r>
      <w:r w:rsidR="00105EC2">
        <w:rPr>
          <w:rFonts w:hint="eastAsia"/>
          <w:szCs w:val="21"/>
        </w:rPr>
        <w:t>(</w:t>
      </w:r>
      <w:r w:rsidR="00105EC2">
        <w:rPr>
          <w:szCs w:val="21"/>
        </w:rPr>
        <w:t>100ng</w:t>
      </w:r>
      <w:r w:rsidR="00105EC2">
        <w:rPr>
          <w:rFonts w:hint="eastAsia"/>
          <w:szCs w:val="21"/>
        </w:rPr>
        <w:t>/</w:t>
      </w:r>
      <w:r w:rsidR="00105EC2">
        <w:rPr>
          <w:szCs w:val="21"/>
        </w:rPr>
        <w:t>ml;200ng/</w:t>
      </w:r>
      <w:r w:rsidR="00105EC2">
        <w:rPr>
          <w:rFonts w:hint="eastAsia"/>
          <w:szCs w:val="21"/>
        </w:rPr>
        <w:t>ml</w:t>
      </w:r>
      <w:r w:rsidR="00105EC2">
        <w:rPr>
          <w:szCs w:val="21"/>
        </w:rPr>
        <w:t xml:space="preserve">) </w:t>
      </w:r>
      <w:r w:rsidR="00105EC2" w:rsidRPr="00F67D8F">
        <w:rPr>
          <w:szCs w:val="21"/>
        </w:rPr>
        <w:t>at indicated times</w:t>
      </w:r>
      <w:r w:rsidR="00105EC2">
        <w:rPr>
          <w:rFonts w:hint="eastAsia"/>
          <w:szCs w:val="21"/>
        </w:rPr>
        <w:t>.</w:t>
      </w:r>
    </w:p>
    <w:p w14:paraId="668CFB4D" w14:textId="4817DF0E" w:rsidR="005453C0" w:rsidRPr="00937657" w:rsidRDefault="005453C0" w:rsidP="00937657">
      <w:pPr>
        <w:spacing w:line="480" w:lineRule="auto"/>
        <w:rPr>
          <w:rFonts w:ascii="Times New Roman" w:hAnsi="Times New Roman" w:cs="Times New Roman"/>
          <w:b/>
          <w:bCs/>
        </w:rPr>
      </w:pPr>
    </w:p>
    <w:sectPr w:rsidR="005453C0" w:rsidRPr="009376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0E57EF" w14:textId="77777777" w:rsidR="003A4D02" w:rsidRDefault="003A4D02" w:rsidP="00D51D3B">
      <w:r>
        <w:separator/>
      </w:r>
    </w:p>
  </w:endnote>
  <w:endnote w:type="continuationSeparator" w:id="0">
    <w:p w14:paraId="58CB9499" w14:textId="77777777" w:rsidR="003A4D02" w:rsidRDefault="003A4D02" w:rsidP="00D5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CF8008" w14:textId="77777777" w:rsidR="003A4D02" w:rsidRDefault="003A4D02" w:rsidP="00D51D3B">
      <w:r>
        <w:separator/>
      </w:r>
    </w:p>
  </w:footnote>
  <w:footnote w:type="continuationSeparator" w:id="0">
    <w:p w14:paraId="6486B178" w14:textId="77777777" w:rsidR="003A4D02" w:rsidRDefault="003A4D02" w:rsidP="00D51D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9DD"/>
    <w:rsid w:val="00000DE5"/>
    <w:rsid w:val="00033E89"/>
    <w:rsid w:val="000371AA"/>
    <w:rsid w:val="000674FE"/>
    <w:rsid w:val="00076E9C"/>
    <w:rsid w:val="000947F4"/>
    <w:rsid w:val="000D0136"/>
    <w:rsid w:val="000D2DBD"/>
    <w:rsid w:val="00105EC2"/>
    <w:rsid w:val="00125641"/>
    <w:rsid w:val="001307A7"/>
    <w:rsid w:val="001420AD"/>
    <w:rsid w:val="00145DC7"/>
    <w:rsid w:val="00146904"/>
    <w:rsid w:val="001527E5"/>
    <w:rsid w:val="0016277E"/>
    <w:rsid w:val="00170323"/>
    <w:rsid w:val="0019771E"/>
    <w:rsid w:val="001B600D"/>
    <w:rsid w:val="001C1EDE"/>
    <w:rsid w:val="001C499A"/>
    <w:rsid w:val="001F4F25"/>
    <w:rsid w:val="002001F3"/>
    <w:rsid w:val="002270A8"/>
    <w:rsid w:val="0022735F"/>
    <w:rsid w:val="002429AD"/>
    <w:rsid w:val="00245CBF"/>
    <w:rsid w:val="00262396"/>
    <w:rsid w:val="00264A05"/>
    <w:rsid w:val="002819DD"/>
    <w:rsid w:val="002828D3"/>
    <w:rsid w:val="002C5143"/>
    <w:rsid w:val="002C77E3"/>
    <w:rsid w:val="002D3CDF"/>
    <w:rsid w:val="002E21A8"/>
    <w:rsid w:val="002E4980"/>
    <w:rsid w:val="00313B92"/>
    <w:rsid w:val="00317F16"/>
    <w:rsid w:val="0033226B"/>
    <w:rsid w:val="0036774B"/>
    <w:rsid w:val="00370104"/>
    <w:rsid w:val="0037326B"/>
    <w:rsid w:val="00377FEC"/>
    <w:rsid w:val="00382FFC"/>
    <w:rsid w:val="003A4D02"/>
    <w:rsid w:val="003A53CC"/>
    <w:rsid w:val="003B5C2E"/>
    <w:rsid w:val="003C43E0"/>
    <w:rsid w:val="003F0F78"/>
    <w:rsid w:val="00403DC1"/>
    <w:rsid w:val="0041092A"/>
    <w:rsid w:val="004110DE"/>
    <w:rsid w:val="00414931"/>
    <w:rsid w:val="0044492C"/>
    <w:rsid w:val="004534EC"/>
    <w:rsid w:val="00482B3A"/>
    <w:rsid w:val="0048674E"/>
    <w:rsid w:val="0048678C"/>
    <w:rsid w:val="004B22D4"/>
    <w:rsid w:val="004C0D94"/>
    <w:rsid w:val="004C42E1"/>
    <w:rsid w:val="004D4B09"/>
    <w:rsid w:val="004E2EDF"/>
    <w:rsid w:val="004E4231"/>
    <w:rsid w:val="00504447"/>
    <w:rsid w:val="00506AA0"/>
    <w:rsid w:val="005102CA"/>
    <w:rsid w:val="005453C0"/>
    <w:rsid w:val="00597CDC"/>
    <w:rsid w:val="005A5802"/>
    <w:rsid w:val="005B0E97"/>
    <w:rsid w:val="005B472B"/>
    <w:rsid w:val="005C3735"/>
    <w:rsid w:val="005D4BBB"/>
    <w:rsid w:val="005F3E17"/>
    <w:rsid w:val="006033DB"/>
    <w:rsid w:val="00605A55"/>
    <w:rsid w:val="006206C7"/>
    <w:rsid w:val="00657272"/>
    <w:rsid w:val="006913B8"/>
    <w:rsid w:val="006B48AE"/>
    <w:rsid w:val="006B7B14"/>
    <w:rsid w:val="006E3533"/>
    <w:rsid w:val="006F0846"/>
    <w:rsid w:val="00700975"/>
    <w:rsid w:val="00710E83"/>
    <w:rsid w:val="00714E68"/>
    <w:rsid w:val="007437A4"/>
    <w:rsid w:val="00752C28"/>
    <w:rsid w:val="0079185E"/>
    <w:rsid w:val="007A3160"/>
    <w:rsid w:val="007C2730"/>
    <w:rsid w:val="007D7C1E"/>
    <w:rsid w:val="007F16F7"/>
    <w:rsid w:val="007F477F"/>
    <w:rsid w:val="008336FD"/>
    <w:rsid w:val="008510D1"/>
    <w:rsid w:val="008705A0"/>
    <w:rsid w:val="00887421"/>
    <w:rsid w:val="008B20D1"/>
    <w:rsid w:val="008C3D14"/>
    <w:rsid w:val="008C7BBE"/>
    <w:rsid w:val="008D13DD"/>
    <w:rsid w:val="009031E1"/>
    <w:rsid w:val="00934576"/>
    <w:rsid w:val="00937657"/>
    <w:rsid w:val="009504D4"/>
    <w:rsid w:val="0099179F"/>
    <w:rsid w:val="009C5E61"/>
    <w:rsid w:val="009D5970"/>
    <w:rsid w:val="00A07F7E"/>
    <w:rsid w:val="00A55BBF"/>
    <w:rsid w:val="00A77AA5"/>
    <w:rsid w:val="00A831A1"/>
    <w:rsid w:val="00A97595"/>
    <w:rsid w:val="00AA396B"/>
    <w:rsid w:val="00AD662D"/>
    <w:rsid w:val="00AF6C99"/>
    <w:rsid w:val="00B21D7E"/>
    <w:rsid w:val="00B252CC"/>
    <w:rsid w:val="00B479EE"/>
    <w:rsid w:val="00B83CE1"/>
    <w:rsid w:val="00BA40EE"/>
    <w:rsid w:val="00BC1FD9"/>
    <w:rsid w:val="00BD6CB5"/>
    <w:rsid w:val="00BD7A28"/>
    <w:rsid w:val="00BE11C0"/>
    <w:rsid w:val="00BE7DF0"/>
    <w:rsid w:val="00BF08CC"/>
    <w:rsid w:val="00BF73FA"/>
    <w:rsid w:val="00C1250F"/>
    <w:rsid w:val="00C616D3"/>
    <w:rsid w:val="00C61782"/>
    <w:rsid w:val="00C6349E"/>
    <w:rsid w:val="00C80DF7"/>
    <w:rsid w:val="00C8650B"/>
    <w:rsid w:val="00C873D3"/>
    <w:rsid w:val="00CA538C"/>
    <w:rsid w:val="00CE388B"/>
    <w:rsid w:val="00D1596D"/>
    <w:rsid w:val="00D25462"/>
    <w:rsid w:val="00D34001"/>
    <w:rsid w:val="00D51D3B"/>
    <w:rsid w:val="00D52409"/>
    <w:rsid w:val="00D6760F"/>
    <w:rsid w:val="00D67EB6"/>
    <w:rsid w:val="00D72109"/>
    <w:rsid w:val="00D82C77"/>
    <w:rsid w:val="00D838C9"/>
    <w:rsid w:val="00D973E6"/>
    <w:rsid w:val="00DC5604"/>
    <w:rsid w:val="00DD70FB"/>
    <w:rsid w:val="00E062DF"/>
    <w:rsid w:val="00E2099B"/>
    <w:rsid w:val="00E21C44"/>
    <w:rsid w:val="00E3581C"/>
    <w:rsid w:val="00E54C7B"/>
    <w:rsid w:val="00E57695"/>
    <w:rsid w:val="00E73176"/>
    <w:rsid w:val="00E74641"/>
    <w:rsid w:val="00E76E77"/>
    <w:rsid w:val="00EA0541"/>
    <w:rsid w:val="00EB02DE"/>
    <w:rsid w:val="00EB3F63"/>
    <w:rsid w:val="00EE1D3F"/>
    <w:rsid w:val="00F04414"/>
    <w:rsid w:val="00F30230"/>
    <w:rsid w:val="00F42C0C"/>
    <w:rsid w:val="00F45F9F"/>
    <w:rsid w:val="00F50E5F"/>
    <w:rsid w:val="00F662CF"/>
    <w:rsid w:val="00FC68F6"/>
    <w:rsid w:val="00FD4385"/>
    <w:rsid w:val="00FF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18F1B5"/>
  <w15:chartTrackingRefBased/>
  <w15:docId w15:val="{0D113986-E9CC-4D8A-A199-1D27508F9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7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51D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51D3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1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51D3B"/>
    <w:rPr>
      <w:sz w:val="18"/>
      <w:szCs w:val="18"/>
    </w:rPr>
  </w:style>
  <w:style w:type="paragraph" w:styleId="a8">
    <w:name w:val="List Paragraph"/>
    <w:basedOn w:val="a"/>
    <w:uiPriority w:val="34"/>
    <w:qFormat/>
    <w:rsid w:val="005B0E97"/>
    <w:pPr>
      <w:ind w:firstLineChars="200" w:firstLine="420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84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E80BE-806D-40EF-A451-76482D5B7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3082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钰</dc:creator>
  <cp:keywords/>
  <dc:description/>
  <cp:lastModifiedBy>张 钰</cp:lastModifiedBy>
  <cp:revision>220</cp:revision>
  <dcterms:created xsi:type="dcterms:W3CDTF">2020-02-27T00:35:00Z</dcterms:created>
  <dcterms:modified xsi:type="dcterms:W3CDTF">2020-10-15T14:41:00Z</dcterms:modified>
</cp:coreProperties>
</file>