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AE5E06">
      <w:pPr>
        <w:pStyle w:val="12"/>
        <w:keepNext/>
        <w:keepLines/>
        <w:pageBreakBefore/>
        <w:widowControl/>
        <w:kinsoku/>
        <w:wordWrap/>
        <w:overflowPunct/>
        <w:topLinePunct w:val="0"/>
        <w:autoSpaceDE/>
        <w:autoSpaceDN/>
        <w:bidi w:val="0"/>
        <w:adjustRightInd/>
        <w:snapToGrid/>
        <w:spacing w:before="361" w:beforeLines="100" w:after="361" w:afterLines="100" w:line="300" w:lineRule="auto"/>
        <w:textAlignment w:val="auto"/>
        <w:rPr>
          <w:rFonts w:hint="default" w:ascii="Times New Roman" w:hAnsi="Times New Roman" w:cs="Times New Roman"/>
          <w:b/>
          <w:bCs/>
          <w:sz w:val="28"/>
          <w:szCs w:val="28"/>
          <w:lang w:eastAsia="zh-CN"/>
        </w:rPr>
      </w:pPr>
      <w:r>
        <w:rPr>
          <w:rFonts w:hint="default" w:ascii="Times New Roman" w:hAnsi="Times New Roman" w:cs="Times New Roman"/>
          <w:sz w:val="28"/>
          <w:szCs w:val="28"/>
        </w:rPr>
        <w:t xml:space="preserve">Appendix </w:t>
      </w:r>
      <w:r>
        <w:rPr>
          <w:rFonts w:hint="default" w:ascii="Times New Roman" w:hAnsi="Times New Roman" w:cs="Times New Roman"/>
          <w:sz w:val="28"/>
          <w:szCs w:val="28"/>
          <w:lang w:val="en-US" w:eastAsia="zh-CN"/>
        </w:rPr>
        <w:t>A</w:t>
      </w:r>
      <w:r>
        <w:rPr>
          <w:rFonts w:hint="default" w:ascii="Times New Roman" w:hAnsi="Times New Roman" w:cs="Times New Roman"/>
          <w:sz w:val="28"/>
          <w:szCs w:val="28"/>
        </w:rPr>
        <w:t xml:space="preserve">. </w:t>
      </w:r>
      <w:r>
        <w:rPr>
          <w:rFonts w:hint="default" w:ascii="Times New Roman" w:hAnsi="Times New Roman" w:cs="Times New Roman"/>
          <w:sz w:val="28"/>
          <w:szCs w:val="28"/>
          <w:lang w:val="en-US" w:eastAsia="zh-CN"/>
        </w:rPr>
        <w:t>Methods</w:t>
      </w:r>
    </w:p>
    <w:p w14:paraId="694D58DD">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
          <w:bCs/>
          <w:sz w:val="24"/>
          <w:szCs w:val="24"/>
          <w:lang w:val="en-US" w:eastAsia="zh-CN"/>
        </w:rPr>
      </w:pPr>
      <w:r>
        <w:rPr>
          <w:rFonts w:hint="default" w:ascii="Times New Roman" w:hAnsi="Times New Roman" w:cs="Times New Roman"/>
          <w:bCs/>
          <w:sz w:val="24"/>
          <w:szCs w:val="24"/>
          <w:lang w:eastAsia="zh-CN"/>
        </w:rPr>
        <w:t xml:space="preserve">Supplementary </w:t>
      </w:r>
      <w:r>
        <w:rPr>
          <w:rFonts w:hint="default" w:ascii="Times New Roman" w:hAnsi="Times New Roman" w:cs="Times New Roman"/>
          <w:bCs/>
          <w:sz w:val="24"/>
          <w:szCs w:val="24"/>
          <w:lang w:val="en-US" w:eastAsia="zh-CN"/>
        </w:rPr>
        <w:t>Methods 1. Construction of the elite-university classification</w:t>
      </w:r>
    </w:p>
    <w:p w14:paraId="052F103A">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This study collected all annual editions of the QS World University Rankings, Times Higher Education World University Rankings, Academic Ranking of World Universities, and U.S. News Best Global Universities Rankings published between 2015 and 2024. Institutional entities were linked across ranking systems and years after harmonizing character formats, translated names, abbreviations, country or territory names, and identifiable historical name variants. Name variants and records of renaming that clearly referred to the same university were combined. Universities that participated in the rankings as independent institutions before subsequently merging were retained as separate historical entities unless a clear historical continuity could be established.</w:t>
      </w:r>
    </w:p>
    <w:p w14:paraId="1D9A77FE">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composite ranking was constructed in two stages. We first calculated each university’s mean raw rank across the years in which it was actually included in each ranking system. We then calculated an equally weighted mean across the available ranking-specific averages to produce the cross-ranking composite order. Exact and tied ranks retained their original values, while bounded rank intervals were assigned their midpoints. Years in which a university was not ranked and open-ended rank intervals were treated as missing rather than assigned a fixed low rank.</w:t>
      </w:r>
    </w:p>
    <w:p w14:paraId="6FB67FE2">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cs="Times New Roman"/>
          <w:b/>
          <w:bCs/>
          <w:sz w:val="24"/>
          <w:szCs w:val="32"/>
          <w:lang w:val="en-US" w:eastAsia="zh-CN"/>
        </w:rPr>
      </w:pPr>
      <w:r>
        <w:rPr>
          <w:rFonts w:hint="default" w:ascii="Times New Roman" w:hAnsi="Times New Roman" w:eastAsia="宋体" w:cs="Times New Roman"/>
          <w:szCs w:val="32"/>
          <w:lang w:eastAsia="zh-CN"/>
        </w:rPr>
        <w:t>Under the baseline classification, a university was required to have appeared in at least two of the four ranking systems during the observation period. The top 500 universities in the composite order were defined as elite universities. The final list included 347 universities appearing in all four ranking systems, 70 appearing in three, and 83 appearing in two. An alternative classification required each university to have at least five valid ranking-year records before the composite order was reconstructed. The resulting top-500 list overlapped with the baseline list for 499 universities. The top-100 and top-1,000 thresholds used in the robustness analyses were constructed using the same composite-ranking procedure</w:t>
      </w:r>
      <w:r>
        <w:rPr>
          <w:rFonts w:hint="default" w:ascii="Times New Roman" w:hAnsi="Times New Roman" w:eastAsia="宋体" w:cs="Times New Roman"/>
          <w:szCs w:val="32"/>
          <w:lang w:val="en-US" w:eastAsia="zh-CN"/>
        </w:rPr>
        <w:t>.</w:t>
      </w:r>
    </w:p>
    <w:p w14:paraId="348913C7">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Cs/>
          <w:i w:val="0"/>
          <w:sz w:val="24"/>
          <w:szCs w:val="24"/>
          <w:lang w:eastAsia="zh-CN"/>
        </w:rPr>
      </w:pPr>
      <w:r>
        <w:rPr>
          <w:rFonts w:hint="default" w:ascii="Times New Roman" w:hAnsi="Times New Roman" w:cs="Times New Roman"/>
          <w:bCs/>
          <w:i w:val="0"/>
          <w:sz w:val="24"/>
          <w:szCs w:val="24"/>
          <w:lang w:eastAsia="zh-CN"/>
        </w:rPr>
        <w:t>Supplementary Methods 2. Construction of OpenAlex data, linkage to ORCID, and identification of institutional affiliations</w:t>
      </w:r>
    </w:p>
    <w:p w14:paraId="455CB371">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We extracted records linking authors, scholarly works, topics, and institutions through the OpenAlex API on 31 May 2025. The extracted information included OpenAlex author identifiers, ORCID identifiers, work identifiers, publication dates, author affiliations, institutional ROR identifiers, and the Topics and Fields assigned to scholarly works. Because OpenAlex records are continuously updated, the extraction date of 31 May 2025 identifies the version of the data used in this study.</w:t>
      </w:r>
    </w:p>
    <w:p w14:paraId="43D70ED6">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Because OpenAlex does not systematically record researchers’ educational histories, we linked OpenAlex author records to publicly available ORCID profiles. Most records were linked deterministically using the unique ORCID identifier shared by the two data sources. Name–institution matching was used only as a supplementary procedure for records without a valid shared ORCID identifier. Names and institutional information were first standardized and then used to generate candidate matches. A candidate match was retained only when it provided a unique correspondence and showed no evident conflicts involving namesakes, institutional information, or career histories. Records with multiple possible matches or other ambiguities were excluded from the linked sample.</w:t>
      </w:r>
    </w:p>
    <w:p w14:paraId="7E6315FC">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Institutional affiliations for OpenAlex authors were identified from their publication records. We first determined each author’s most recent publication date and treated all valid affiliations appearing in works published on that date as candidate institutions. If only one valid institution was observed on the most recent publication date, it was assigned as the author’s most recently observable primary institution. If multiple institutions were observed, we selected the candidate institution appearing most frequently in the author’s publication records during the five years preceding and including the most recent publication date. The primary-institution variable was coded as missing when multiple candidate institutions occurred with equal frequency and no unique selection could be made. If no valid affiliation was recorded on the author’s most recent publication date, we selected the valid institution appearing most frequently during the preceding five years. Ties were again coded as missing. This variable represents the author’s most recently observable primary affiliation in OpenAlex publication records and does not necessarily correspond to the author’s employment relationship at the time of data extraction.</w:t>
      </w:r>
    </w:p>
    <w:p w14:paraId="181F84E8">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To construct the university faculty sample, we retained authors whose primary institutions were higher education institutions and whose available job titles or public career information identified them as holding faculty or research positions. Individuals primarily employed by hospitals, companies, government agencies, or independent research institutions were excluded. The resulting sample was used to examine the educational backgrounds and institutional affiliations of university faculty.</w:t>
      </w:r>
    </w:p>
    <w:p w14:paraId="5B353F51">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Institutional entities were harmonized primarily using the ROR identifiers provided by OpenAlex. For records with an institutional name but no valid ROR identifier, standardized institutional names were matched against primary names, aliases, abbreviations, historical names, and multilingual names in the ROR registry. Institutional records for which a reliable unique match could not be established were coded as missing.</w:t>
      </w:r>
    </w:p>
    <w:p w14:paraId="25411C8C">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Cs/>
          <w:i w:val="0"/>
          <w:sz w:val="24"/>
          <w:szCs w:val="24"/>
          <w:lang w:eastAsia="zh-CN"/>
        </w:rPr>
      </w:pPr>
      <w:r>
        <w:rPr>
          <w:rFonts w:hint="default" w:ascii="Times New Roman" w:hAnsi="Times New Roman" w:cs="Times New Roman"/>
          <w:bCs/>
          <w:i w:val="0"/>
          <w:sz w:val="24"/>
          <w:szCs w:val="24"/>
          <w:lang w:eastAsia="zh-CN"/>
        </w:rPr>
        <w:t>Supplementary Methods 3. Construction and standardization of education and employment records in ORCID</w:t>
      </w:r>
    </w:p>
    <w:p w14:paraId="771B2150">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We obtained the 2024 ORCID Public Data File on 31 May 2025. The original XML records were processed in batches and converted into structured data containing researchers’ basic information, educational histories, employment histories, and scholarly works. The original data contained 9,405,606 researcher profiles with education or employment information.</w:t>
      </w:r>
    </w:p>
    <w:p w14:paraId="054A7F0A">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Role titles in ORCID education and employment records included abbreviations, multilingual expressions, spelling variants, and entries combining information on degrees, disciplines, and positions. We extracted 1,575,505 education-role strings and 1,536,400 employment-role strings. Combining and deduplicating these records produced 3,096,719 distinct role-title strings. Of these, 681,259 non-ASCII strings were translated into English using DeepL to support a consistent classification procedure.</w:t>
      </w:r>
    </w:p>
    <w:p w14:paraId="4189E106">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Educational levels were classified with reference to ISCED 2011 and included bachelor’s, master’s, doctoral, and other levels of education. Employment roles were classified into postdoctoral positions, assistant professor or lecturer positions, associate professor or Reader positions, professor positions, researcher positions, teaching or administrative positions, and part-time positions. Role titles were identified through a sequential classification procedure.</w:t>
      </w:r>
    </w:p>
    <w:p w14:paraId="76BFEF9B">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first stage used standardized dictionaries, exact matching, regular expressions, and category-priority rules to identify common and relatively unambiguous role-title strings. High-frequency complex strings that could not be classified using these rules proceeded to the second stage. This group included 9,386 education-role strings and 20,243 employment-role strings. A GPT model applied fixed classification instructions and predefined categories to assist with semantic classification, identifying an additional 1,506 education-role strings and 2,531 employment-role strings.</w:t>
      </w:r>
    </w:p>
    <w:p w14:paraId="6E987C6F">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third stage used 15,765 labeled role-title strings identified through exact dictionary matching as reference cases. Character-level n-gram text representations were constructed, and candidate categories were assigned according to the similarity between unmatched and labeled strings. This procedure was used primarily to address spelling differences, missing characters, and non-standard expressions. It did not infer educational qualifications or employment positions from other background information about the researcher. Only results with a similarity score or classification confidence of at least 0.90 were retained. The final procedure identified 1,126,400 education-role strings and 524,133 employment-role strings, corresponding to coverage rates of 71.49% and 34.11%, respectively. All remaining strings were coded as missing.</w:t>
      </w:r>
    </w:p>
    <w:p w14:paraId="3000A742">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Records classified as Doctorate or equivalent were used to identify formal doctoral education, while records classified as Bachelor’s or equivalent were used to identify formal bachelor’s education. Honorary degrees, short-term training, visiting experiences, and records with indeterminate educational levels were excluded from the corresponding educational-background classifications. When an individual had multiple formal education records at the same level, all identifiable institutions were retained. Elite educational backgrounds were coded at the person level using the harmonized rules described in the main text. The corresponding educational institutions were linked to the university-ranking database using ROR identifiers or standardized institutional names.</w:t>
      </w:r>
    </w:p>
    <w:p w14:paraId="394502A5">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Researchers’ institutional affiliations were identified from their publicly available employment histories. When multiple employment records were available, priority was given to formal employment that could be identified as current or most recent. Visiting, part-time, and other records that could not be confirmed as primary employment were not used independently to determine the primary institution. The primary-institution variable was coded as missing when multiple equally valid records prevented a unique institutional assignment. Institutions were linked to the university-ranking database using ROR identifiers or standardized institutional names. The sample used in the academic-position analyses was further restricted to researchers whose primary employing institutions could be identified as higher education institutions.</w:t>
      </w:r>
    </w:p>
    <w:p w14:paraId="01807A43">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highlight w:val="none"/>
          <w:lang w:eastAsia="zh-CN"/>
        </w:rPr>
      </w:pPr>
      <w:r>
        <w:rPr>
          <w:rFonts w:hint="default" w:ascii="Times New Roman" w:hAnsi="Times New Roman" w:eastAsia="宋体" w:cs="Times New Roman"/>
          <w:szCs w:val="32"/>
          <w:lang w:eastAsia="zh-CN"/>
        </w:rPr>
        <w:t>After the role classifications were linked back to individual education and employment histories and the educational institutions, employing institutions, and related variables were standardized, the final sample comprised 1,011,278 researchers with the educational and employment information required for the study.</w:t>
      </w:r>
    </w:p>
    <w:p w14:paraId="6AF68CC7">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Cs/>
          <w:i w:val="0"/>
          <w:sz w:val="24"/>
          <w:szCs w:val="24"/>
          <w:lang w:eastAsia="zh-CN"/>
        </w:rPr>
      </w:pPr>
      <w:r>
        <w:rPr>
          <w:rFonts w:hint="default" w:ascii="Times New Roman" w:hAnsi="Times New Roman" w:cs="Times New Roman"/>
          <w:bCs/>
          <w:i w:val="0"/>
          <w:sz w:val="24"/>
          <w:szCs w:val="24"/>
          <w:lang w:eastAsia="zh-CN"/>
        </w:rPr>
        <w:t>Supplementary Methods 4. Construction of the global faculty CV data</w:t>
      </w:r>
    </w:p>
    <w:p w14:paraId="5A0DCCC0">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global faculty CV data were constructed by the research team using publicly accessible university websites, departmental webpages, faculty profiles, and public CV pages collected between March 2025 and February 2026. The list of candidate institutions was derived from the directory of universities and research institutions covered by the Nature Index. The research team further identified higher education institutions within this directory and collected publicly available information on faculty status, current institutional affiliation, position, educational history, and career history.</w:t>
      </w:r>
    </w:p>
    <w:p w14:paraId="56ECE14A">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Universities were not included on the basis of whether they appeared in the global university rankings used in this study or met the definition of an elite university. Candidate institutions were first identified from the Nature Index directory and then verified as higher education institutions using ROR institution types, official website information, and institutional names. Universities were included only if they maintained an accessible official website and provided faculty directories, departmental webpages, personal profiles, or public CVs from which faculty status and career information could be identified. Some universities lacked public faculty directories, had webpages that could not be accessed consistently, or provided insufficient public information. The final sample therefore does not cover all candidate institutions in the Nature Index directory and is not a probability sample of universities worldwide. The database is used to assess whether the core associations can be reproduced in large-scale, cross-national public career-history data rather than to estimate the population distribution of university faculty worldwide.</w:t>
      </w:r>
    </w:p>
    <w:p w14:paraId="5051FE23">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Public webpages were parsed into structured records, after which faculty records obtained from different pages were organized and deduplicated. Duplicate records were identified primarily using faculty names, employing institutions, departments, and other available information. Similar records were not forcibly combined when they could not be reliably identified as belonging to the same individual. Following webpage parsing, person-level deduplication, extraction of educational and employment histories, and institutional-name standardization, the final analytical dataset comprised 4,545,214 university faculty members. Faculty members with non-missing information on their current country of employment were distributed across 202 countries and territories. Among the full sample, 4,417,869 faculty members could be linked to the ROR ID of their current institution, representing 97.20% of all records. These successfully matched records covered 20,108 ROR-standardized universities. This figure represents the number of universities that could be identified consistently through ROR within this database and does not represent the total number of universities worldwide.</w:t>
      </w:r>
    </w:p>
    <w:p w14:paraId="3211AD76">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To harmonize institutional names across webpages, we first standardized character formats, abbreviations, aliases, and multilingual variants and then matched the resulting names against the ROR registry. Records that could not be matched directly were further evaluated using institutional-name similarity and supplementary information such as country or territory. Records with evident ambiguities or without a reliable match were not assigned an ROR ID. Doctoral institutions, bachelor’s institutions, and current employing institutions were standardized using the same rules. The resulting records were then used to code educational backgrounds and institutional tiers.</w:t>
      </w:r>
    </w:p>
    <w:p w14:paraId="06D441F2">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eastAsia="zh-CN"/>
        </w:rPr>
        <w:t>Faculty disciplines were standardized into the seven categories described in Supplementary Methods 5. Gender information was identified and harmonized using the procedures described in Supplementary Methods 6, and academic ranks were standardized using the procedures described in Supplementary Methods 7. Because the coverage of candidate institutions was initially constrained by the Nature Index directory and because countries, territories, and universities differ in the public availability, completeness, and structure of their webpages, the database constitutes a non-probability sample shaped by institutional coverage and the availability of public webpages. It is not used to infer the population distribution of university faculty worldwide. Its primary purpose is to assess whether the study’s core findings can be reproduced in an independently constructed, large-scale, cross-national dataset of faculty career histories</w:t>
      </w:r>
      <w:r>
        <w:rPr>
          <w:rFonts w:hint="eastAsia" w:ascii="Times New Roman" w:hAnsi="Times New Roman" w:eastAsia="宋体" w:cs="Times New Roman"/>
          <w:szCs w:val="32"/>
          <w:lang w:val="en-US" w:eastAsia="zh-CN"/>
        </w:rPr>
        <w:t>.</w:t>
      </w:r>
    </w:p>
    <w:p w14:paraId="51344D1D">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eastAsia="宋体" w:cs="Times New Roman"/>
          <w:szCs w:val="32"/>
          <w:lang w:eastAsia="zh-CN"/>
        </w:rPr>
      </w:pPr>
      <w:r>
        <w:rPr>
          <w:rFonts w:hint="default" w:ascii="Times New Roman" w:hAnsi="Times New Roman" w:cs="Times New Roman"/>
          <w:bCs/>
          <w:i w:val="0"/>
          <w:sz w:val="24"/>
          <w:szCs w:val="24"/>
          <w:lang w:eastAsia="zh-CN"/>
        </w:rPr>
        <w:t>Supplementary Methods 5. Identification and harmonization of discipline information</w:t>
      </w:r>
    </w:p>
    <w:p w14:paraId="02EE3246">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To improve comparability across the three academic datasets, all discipline information was standardized into seven broad categories comprising Applied Sciences, Engineering, Humanities, Mathematics and Computing, Medicine and Health, Natural Sciences, and Social Sciences. Because disciplines were originally identified differently across the datasets, they were first classified within each dataset and then harmonized to the same seven-category system.</w:t>
      </w:r>
    </w:p>
    <w:p w14:paraId="647F531D">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original discipline information in OpenAlex follows its work-level Topic classification system. This system uses machine-learning methods to assign one or more Topic labels and corresponding scores to each work based on information such as its title, abstract, journal, and references. Topics are successively nested within Subfields, Fields, and Domains, forming a hierarchical classification that extends from specific research topics to broad disciplinary domains. To identify each author’s primary research field, we aggregated the scores assigned to each Topic across all of the author’s works and selected the Topic with the highest cumulative score. The primary research field was coded as missing when multiple Topics had the same highest cumulative score and no unique assignment could be made. The author’s initial discipline was determined by the OpenAlex Field containing the primary Topic. To support comparisons across datasets and subgroup analyses, the research team drew on broad disciplinary classifications used in previous studies of university faculty[14] and considered both the OpenAlex Field system and the categories that could be identified consistently across the three datasets. The 26 OpenAlex Fields were then consolidated into seven analytical discipline categories. This classification was developed specifically to harmonize the three academic datasets and does not directly reproduce any single existing classification framework. The complete Field–discipline mapping is provided in Supplementary Methods Table 1.</w:t>
      </w:r>
    </w:p>
    <w:p w14:paraId="2EC0CE1C">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ORCID does not provide a standardized discipline variable suitable for this study. Discipline information for ORCID researchers was therefore obtained through reliable linkage to OpenAlex author records using the procedures described in Supplementary Methods 2. The seven-category discipline information was linked to an ORCID record only when a unique correspondence with an OpenAlex author could be established without evident conflicts. The discipline variable was coded as missing for ORCID researchers who could not be linked reliably to OpenAlex. Consequently, the ORCID discipline variable represents the primary research field identified from a researcher’s OpenAlex publication record rather than job titles, departmental names, or degree names entered as free text in the ORCID profile.</w:t>
      </w:r>
    </w:p>
    <w:p w14:paraId="65B6CDC5">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Disciplines in the global faculty CV data were identified primarily from the formal names of faculty members’ current departments, schools, faculties, institutes, or research centers. After these organizational names were standardized, they were mapped to intermediate discipline categories using disciplinary keywords, organizational-name patterns, and predefined rules. When organizational information was available at multiple levels, priority was given to department-level information with a clearer disciplinary designation, while the names of schools, faculties, institutes, or research centers were used as supplementary information. Records for which no reliable classification could be established were coded as missing. The intermediate categories were subsequently consolidated into the same seven discipline categories used for OpenAlex and ORCID.</w:t>
      </w:r>
    </w:p>
    <w:p w14:paraId="27DE1880">
      <w:pPr>
        <w:pStyle w:val="4"/>
        <w:keepNext w:val="0"/>
        <w:keepLines w:val="0"/>
        <w:pageBreakBefore w:val="0"/>
        <w:widowControl/>
        <w:kinsoku/>
        <w:wordWrap/>
        <w:overflowPunct/>
        <w:topLinePunct w:val="0"/>
        <w:autoSpaceDE/>
        <w:autoSpaceDN/>
        <w:bidi w:val="0"/>
        <w:adjustRightInd/>
        <w:snapToGrid/>
        <w:spacing w:before="181" w:beforeLines="50" w:beforeAutospacing="0" w:afterAutospacing="0" w:line="300" w:lineRule="auto"/>
        <w:jc w:val="left"/>
        <w:textAlignment w:val="auto"/>
        <w:rPr>
          <w:rFonts w:hint="default" w:ascii="Times New Roman" w:hAnsi="Times New Roman" w:eastAsia="宋体" w:cs="Times New Roman"/>
          <w:b/>
          <w:bCs/>
          <w:szCs w:val="32"/>
          <w:highlight w:val="none"/>
          <w:lang w:eastAsia="zh-CN"/>
        </w:rPr>
      </w:pPr>
      <w:r>
        <w:rPr>
          <w:rFonts w:hint="default" w:ascii="Times New Roman" w:hAnsi="Times New Roman" w:eastAsia="宋体" w:cs="Times New Roman"/>
          <w:b/>
          <w:bCs/>
          <w:szCs w:val="32"/>
          <w:highlight w:val="none"/>
          <w:lang w:eastAsia="zh-CN"/>
        </w:rPr>
        <w:t>Supplementary Methods Table 1</w:t>
      </w:r>
      <w:r>
        <w:rPr>
          <w:rFonts w:hint="default" w:ascii="Times New Roman" w:hAnsi="Times New Roman" w:eastAsia="宋体" w:cs="Times New Roman"/>
          <w:b/>
          <w:bCs/>
          <w:szCs w:val="32"/>
          <w:highlight w:val="none"/>
          <w:lang w:val="en-US" w:eastAsia="zh-CN"/>
        </w:rPr>
        <w:t xml:space="preserve">. </w:t>
      </w:r>
      <w:r>
        <w:rPr>
          <w:rFonts w:hint="default" w:ascii="Times New Roman" w:hAnsi="Times New Roman" w:eastAsia="宋体" w:cs="Times New Roman"/>
          <w:b/>
          <w:bCs/>
          <w:szCs w:val="32"/>
          <w:highlight w:val="none"/>
          <w:lang w:eastAsia="zh-CN"/>
        </w:rPr>
        <w:t>OpenAlex Field—discipline mapping</w:t>
      </w:r>
    </w:p>
    <w:tbl>
      <w:tblPr>
        <w:tblStyle w:val="5"/>
        <w:tblW w:w="7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24"/>
        <w:gridCol w:w="2664"/>
      </w:tblGrid>
      <w:tr w14:paraId="091C6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1DBE859">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OpenAlex Field</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9842C">
            <w:pPr>
              <w:keepNext w:val="0"/>
              <w:keepLines w:val="0"/>
              <w:widowControl/>
              <w:suppressLineNumbers w:val="0"/>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Analytical discipline</w:t>
            </w:r>
          </w:p>
        </w:tc>
      </w:tr>
      <w:tr w14:paraId="4FF4E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BF8D6">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Agricultural and Biological Sciences</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559AD">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Natural Sciences</w:t>
            </w:r>
          </w:p>
        </w:tc>
      </w:tr>
      <w:tr w14:paraId="58A2B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5F910">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Arts and Humanities</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73155">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Humanities</w:t>
            </w:r>
          </w:p>
        </w:tc>
      </w:tr>
      <w:tr w14:paraId="14F86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1010A">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Biochemistry, Genetics and Molecular Biology</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C999D">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Natural Sciences</w:t>
            </w:r>
          </w:p>
        </w:tc>
      </w:tr>
      <w:tr w14:paraId="6073A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112D2">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Business, Management and Accounting</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2658F">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Social Sciences</w:t>
            </w:r>
          </w:p>
        </w:tc>
      </w:tr>
      <w:tr w14:paraId="1009F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1DFFF">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Chemical Engineering</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9CCBE">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Engineering</w:t>
            </w:r>
          </w:p>
        </w:tc>
      </w:tr>
      <w:tr w14:paraId="263FB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6E48C">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Chemistry</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B1E2F">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Natural Sciences</w:t>
            </w:r>
          </w:p>
        </w:tc>
      </w:tr>
      <w:tr w14:paraId="6464A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A16A4">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Computer Science</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58407">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Mathematics and Computing</w:t>
            </w:r>
          </w:p>
        </w:tc>
      </w:tr>
      <w:tr w14:paraId="7A0A0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3651A">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Decision Sciences</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96DB4">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Social Sciences</w:t>
            </w:r>
          </w:p>
        </w:tc>
      </w:tr>
      <w:tr w14:paraId="416EA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981FD">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Earth and Planetary Sciences</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195EF">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Natural Sciences</w:t>
            </w:r>
          </w:p>
        </w:tc>
      </w:tr>
      <w:tr w14:paraId="14AD5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FF93F">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Economics, Econometrics and Finance</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F1D52">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Social Sciences</w:t>
            </w:r>
          </w:p>
        </w:tc>
      </w:tr>
      <w:tr w14:paraId="13127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539D5">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Energy</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D83E6">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Engineering</w:t>
            </w:r>
          </w:p>
        </w:tc>
      </w:tr>
      <w:tr w14:paraId="136E1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E1CC6">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Engineering</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80545">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Engineering</w:t>
            </w:r>
          </w:p>
        </w:tc>
      </w:tr>
      <w:tr w14:paraId="5D439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FEBF9">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Environmental Science</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585C8">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Natural Sciences</w:t>
            </w:r>
          </w:p>
        </w:tc>
      </w:tr>
      <w:tr w14:paraId="7CEEF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06800">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Immunology and Microbiology</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966BB">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Medicine and Health</w:t>
            </w:r>
          </w:p>
        </w:tc>
      </w:tr>
      <w:tr w14:paraId="22022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580B8">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Materials Science</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A2C97">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Applied Sciences</w:t>
            </w:r>
          </w:p>
        </w:tc>
      </w:tr>
      <w:tr w14:paraId="30965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04F15">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Mathematics</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7DCDB">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Mathematics and Computing</w:t>
            </w:r>
          </w:p>
        </w:tc>
      </w:tr>
      <w:tr w14:paraId="65117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700A0">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Medicine</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E19FC">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Medicine and Health</w:t>
            </w:r>
          </w:p>
        </w:tc>
      </w:tr>
      <w:tr w14:paraId="12C79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20589">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Neuroscience</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1B4EA">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Medicine and Health</w:t>
            </w:r>
          </w:p>
        </w:tc>
      </w:tr>
      <w:tr w14:paraId="52F55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5990D">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Nursing</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51E59">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Medicine and Health</w:t>
            </w:r>
          </w:p>
        </w:tc>
      </w:tr>
      <w:tr w14:paraId="785D8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2927B2">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Pharmacology, Toxicology and Pharmaceutics</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8F11F">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Medicine and Health</w:t>
            </w:r>
          </w:p>
        </w:tc>
      </w:tr>
      <w:tr w14:paraId="3DE76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5213FA">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Physics and Astronomy</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2EAE3">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Natural Sciences</w:t>
            </w:r>
          </w:p>
        </w:tc>
      </w:tr>
      <w:tr w14:paraId="1B337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0C944">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Psychology</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51F6F">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Social Sciences</w:t>
            </w:r>
          </w:p>
        </w:tc>
      </w:tr>
      <w:tr w14:paraId="28AED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2FB2B">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Social Sciences</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168E7">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Social Sciences</w:t>
            </w:r>
          </w:p>
        </w:tc>
      </w:tr>
      <w:tr w14:paraId="4631E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26A0B7">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Veterinary</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56986">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Medicine and Health</w:t>
            </w:r>
          </w:p>
        </w:tc>
      </w:tr>
      <w:tr w14:paraId="50A9D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42858">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Dentistry</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F673C">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Medicine and Health</w:t>
            </w:r>
          </w:p>
        </w:tc>
      </w:tr>
      <w:tr w14:paraId="12481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6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5B8F6">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Health Professions</w:t>
            </w:r>
          </w:p>
        </w:tc>
        <w:tc>
          <w:tcPr>
            <w:tcW w:w="2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D64FC">
            <w:pPr>
              <w:keepNext w:val="0"/>
              <w:keepLines w:val="0"/>
              <w:widowControl/>
              <w:suppressLineNumbers w:val="0"/>
              <w:jc w:val="left"/>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Medicine and Health</w:t>
            </w:r>
          </w:p>
        </w:tc>
      </w:tr>
    </w:tbl>
    <w:p w14:paraId="4B1F3AB7">
      <w:pPr>
        <w:pStyle w:val="19"/>
        <w:widowControl/>
        <w:snapToGrid w:val="0"/>
        <w:textAlignment w:val="center"/>
        <w:rPr>
          <w:rFonts w:hint="default" w:ascii="Times New Roman" w:hAnsi="Times New Roman" w:cs="Times New Roman"/>
          <w:sz w:val="20"/>
          <w:szCs w:val="28"/>
          <w:lang w:val="en-US" w:eastAsia="zh-CN"/>
        </w:rPr>
      </w:pPr>
      <w:r>
        <w:rPr>
          <w:rFonts w:hint="default" w:ascii="Times New Roman" w:hAnsi="Times New Roman" w:cs="Times New Roman"/>
          <w:sz w:val="20"/>
          <w:szCs w:val="28"/>
          <w:lang w:eastAsia="zh-CN"/>
        </w:rPr>
        <w:t xml:space="preserve">Note. </w:t>
      </w:r>
      <w:r>
        <w:rPr>
          <w:rFonts w:hint="default" w:ascii="Times New Roman" w:hAnsi="Times New Roman" w:cs="Times New Roman"/>
          <w:sz w:val="20"/>
          <w:szCs w:val="28"/>
          <w:lang w:val="en-US" w:eastAsia="zh-CN"/>
        </w:rPr>
        <w:t>OpenAlex Fields were aggregated into seven broad analytical disciplines to harmonize discipline information across the OpenAlex, ORCID and global faculty CV datasets. The aggregation was informed by prior research on faculty fields but was customized for the cross-dataset structure of the present study. ORCID researchers were assigned the analytical discipline constructed for their reliably linked OpenAlex author records; discipline was coded as missing when no reliable cross-dataset link was available.</w:t>
      </w:r>
    </w:p>
    <w:p w14:paraId="294E845F">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Cs/>
          <w:i w:val="0"/>
          <w:sz w:val="24"/>
          <w:szCs w:val="24"/>
          <w:lang w:val="en-US" w:eastAsia="zh-CN"/>
        </w:rPr>
      </w:pPr>
      <w:r>
        <w:rPr>
          <w:rFonts w:hint="default" w:ascii="Times New Roman" w:hAnsi="Times New Roman" w:cs="Times New Roman"/>
          <w:bCs/>
          <w:i w:val="0"/>
          <w:sz w:val="24"/>
          <w:szCs w:val="24"/>
          <w:lang w:eastAsia="zh-CN"/>
        </w:rPr>
        <w:t>Supplementary Methods 6. Identification and harmonization of gender information</w:t>
      </w:r>
    </w:p>
    <w:p w14:paraId="047222C5">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OpenAlex and ORCID do not systematically provide researcher gender information suitable for analysis. We therefore constructed a binary gender control variable primarily from researchers’ names. For the global faculty CV data, priority was given to gender information that could be identified directly from university websites, departmental webpages, faculty profiles, or public CVs. Faculty members whose gender was not reported or could not be identified reliably from public pages were classified using the same name-based procedure applied to OpenAlex and ORCID.</w:t>
      </w:r>
    </w:p>
    <w:p w14:paraId="6D046956">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Names were classified using a sequential procedure. The NBGC name-based gender classification model was first used to estimate the probability of being female. Results with probabilities no greater than 0.35 were coded as male, while those with probabilities of at least 0.65 were coded as female. Names that could not be classified by NBGC were subsequently processed using gender_guesser, and the remaining unclassified names were evaluated using a DistilBERT model.</w:t>
      </w:r>
    </w:p>
    <w:p w14:paraId="72208BBF">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Chinese-character names that remained unclassified and records identifiable as romanized Chinese names were further evaluated using Chinese name-reference data. Gender information obtained directly from public pages took precedence over name-based inference. Records were coded as missing when classification methods produced conflicting results or no reliable assignment could be made.</w:t>
      </w:r>
    </w:p>
    <w:p w14:paraId="27F4BE4C">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eastAsia="zh-CN"/>
        </w:rPr>
        <w:t>Gender was used only as a statistical control variable and was harmonized as a binary category. The variable reflects information reported on public webpages or classifications inferred from names and does not necessarily correspond to researchers’ self-identified or officially registered gender identities</w:t>
      </w:r>
      <w:r>
        <w:rPr>
          <w:rFonts w:hint="eastAsia" w:ascii="Times New Roman" w:hAnsi="Times New Roman" w:eastAsia="宋体" w:cs="Times New Roman"/>
          <w:szCs w:val="32"/>
          <w:lang w:val="en-US" w:eastAsia="zh-CN"/>
        </w:rPr>
        <w:t>.</w:t>
      </w:r>
    </w:p>
    <w:p w14:paraId="375453F0">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Cs/>
          <w:i w:val="0"/>
          <w:sz w:val="24"/>
          <w:szCs w:val="24"/>
          <w:lang w:eastAsia="zh-CN"/>
        </w:rPr>
      </w:pPr>
      <w:r>
        <w:rPr>
          <w:rFonts w:hint="default" w:ascii="Times New Roman" w:hAnsi="Times New Roman" w:cs="Times New Roman"/>
          <w:bCs/>
          <w:i w:val="0"/>
          <w:sz w:val="24"/>
          <w:szCs w:val="24"/>
          <w:lang w:eastAsia="zh-CN"/>
        </w:rPr>
        <w:t>Supplementary Methods 7. Standardization of academic ranks in the global faculty CV data</w:t>
      </w:r>
    </w:p>
    <w:p w14:paraId="737EF3DF">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Job titles in the global faculty CV data varied considerably across national and linguistic systems. Classification was conducted using each unique combination of job title and the country or territory of the employing institution. After cleaning character encoding, capitalization, punctuation, spacing, and anomalous webpage text, academic ranks were identified using a combination of globally applicable job-title rules and country- or language-specific rules.</w:t>
      </w:r>
    </w:p>
    <w:p w14:paraId="5432D342">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classification procedure prioritized complete job titles with clear meanings. Longer phrases took precedence over shorter phrases, institution-specific rules took precedence over general rules, and explicit academic ranks took precedence over ambiguous occupational terms. Complete phrases such as Assistant Professor and Associate Professor were matched before the individual term Professor to prevent junior or mid-level positions from being misclassified as senior professorial positions. Titles whose meanings depend heavily on institutional context, including Research Fellow, Investigator, and Principal Investigator, were not used independently to determine academic rank in the absence of other clear information.</w:t>
      </w:r>
    </w:p>
    <w:p w14:paraId="784DA57A">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main academic ranks used in the analyses were junior, mid-level, and senior positions. Assistant Professor, Lecturer, and equivalent positions within the relevant national systems were classified as junior academic positions. Associate Professor, Reader, and equivalent positions were classified as mid-level academic positions. Professor and equivalent positions were classified as senior academic positions. Postdoctoral positions, student roles, research-support positions, and records that could not be assigned reliably to an academic rank were excluded from the career-advancement analyses.</w:t>
      </w:r>
    </w:p>
    <w:p w14:paraId="74919F52">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eastAsia="zh-CN"/>
        </w:rPr>
        <w:t>When a faculty member’s job-title text contained an academic rank together with administrative duties, visiting status, or part-time information, coding was based primarily on the information that clearly indicated the individual’s formal academic rank. Administrative, visiting, or part-time information did not independently alter the primary academic-rank classification. Records for which academic rank could not be identified reliably were coded as missing. The career-advancement analyses used only the standardized academic-rank variable</w:t>
      </w:r>
      <w:r>
        <w:rPr>
          <w:rFonts w:hint="eastAsia" w:ascii="Times New Roman" w:hAnsi="Times New Roman" w:eastAsia="宋体" w:cs="Times New Roman"/>
          <w:szCs w:val="32"/>
          <w:lang w:val="en-US" w:eastAsia="zh-CN"/>
        </w:rPr>
        <w:t>.</w:t>
      </w:r>
    </w:p>
    <w:p w14:paraId="01FCA76B">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Cs/>
          <w:i w:val="0"/>
          <w:sz w:val="24"/>
          <w:szCs w:val="24"/>
          <w:lang w:eastAsia="zh-CN"/>
        </w:rPr>
      </w:pPr>
      <w:r>
        <w:rPr>
          <w:rFonts w:hint="default" w:ascii="Times New Roman" w:hAnsi="Times New Roman" w:cs="Times New Roman"/>
          <w:bCs/>
          <w:i w:val="0"/>
          <w:sz w:val="24"/>
          <w:szCs w:val="24"/>
          <w:lang w:eastAsia="zh-CN"/>
        </w:rPr>
        <w:t>Supplementary Methods 8. Construction and standardization of LinkedIn-derived career-history data</w:t>
      </w:r>
    </w:p>
    <w:p w14:paraId="134EAD8A">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global corporate career-history data were drawn from a LinkedIn-derived database extracted in 2024. The database was constructed by integrating and standardizing large-scale publicly available career-history information, including information derived from LinkedIn. It covers approximately 162 million individuals, while the complete local position-record table contains 529,834,419 employment records. The database includes information on individuals’ educational histories, employers, job titles, employment start and end dates, industry classifications, and employer attributes.</w:t>
      </w:r>
    </w:p>
    <w:p w14:paraId="7825CE68">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original data are structured at the person–employment-record level. Career and education records belonging to the same individual were first organized using stable personal identifiers. Employment records were ordered by their start and end dates to construct person-level career trajectories. Duplicate employment records were merged using personal identifiers, employers, job titles, and employment dates. Records were excluded when they lacked a valid personal identifier, employer, job title, or identifiable employment period, or when evident conflicts existed across records. When an individual held multiple valid positions during the same period, all position records were retained in the baseline position-entry analysis. For person-level career trajectories and promotion variables, the highest seniority level observed during that period represented the highest position attained by the individual.</w:t>
      </w:r>
    </w:p>
    <w:p w14:paraId="2FD489CF">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corporate and government career samples were defined using the industry-classification variable provided by the database. Records classified under government administration constituted the government career sample described in Supplementary Methods 10. Employment records from all other industries constituted the corporate career sample. Following industry filtering, record cleaning, person-level deduplication, and career-trajectory construction, the corporate sample included 12,815,759 individuals and 44,513,063 valid position records.</w:t>
      </w:r>
    </w:p>
    <w:p w14:paraId="61CB6473">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database provides a seven-level seniority variable indicating the organizational position associated with each employment record.</w:t>
      </w:r>
    </w:p>
    <w:p w14:paraId="583510CE">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Level 7: Senior executive level (e.g., CFO, COO, and CEO)</w:t>
      </w:r>
    </w:p>
    <w:p w14:paraId="078FC23C">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Level 6: Executive level (e.g., managing director, director of engineering, and partner)</w:t>
      </w:r>
    </w:p>
    <w:p w14:paraId="59C55734">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Level 5: Director level (e.g., chief accountant, vice president of network engineering, and head of legal)</w:t>
      </w:r>
    </w:p>
    <w:p w14:paraId="45B766EE">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Level 4: Manager level (e.g., account manager, superintendent engineer, and lead lawyer)</w:t>
      </w:r>
    </w:p>
    <w:p w14:paraId="03E6FF41">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Level 3: Associate or analyst level (e.g., senior tax accountant, lead electrical engineer, and attorney)</w:t>
      </w:r>
    </w:p>
    <w:p w14:paraId="07A94055">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Level 2: Junior level (e.g., accounts receivable bookkeeper, junior software quality-assurance engineer, and legal adviser)</w:t>
      </w:r>
    </w:p>
    <w:p w14:paraId="4338A5BC">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Level 1: Entry-level or internship position (e.g., accounting intern, software-engineering trainee, and paralegal)</w:t>
      </w:r>
    </w:p>
    <w:p w14:paraId="1EFE66C7">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Seniority levels 6–7 were classified as senior positions. These levels correspond primarily to Executive and Senior Executive roles involving senior management or major decision-making responsibilities. They were classified as senior corporate positions in the corporate sample and senior government positions in the government sample. Positions at Level 5 or below were coded as non-senior positions.</w:t>
      </w:r>
    </w:p>
    <w:p w14:paraId="2E07215A">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baseline position-entry analysis used position records as the unit of analysis. Records at seniority levels 6–7 were coded as senior positions, while records at seniority levels 1–5 with other valid information were coded as non-senior positions. Descriptive analyses of educational origins, matching analyses, and career-advancement analyses were conducted at the person level. Individuals who attained seniority level 6–7 at least once during the observation period were coded as having entered the corresponding senior position. Individuals who never attained this level but had at least one valid career record were coded as 0. The descriptive analysis of educational origins in the corporate sector included 829,530 individuals who had attained seniority level 6–7 and whose bachelor’s institutions could be identified. The corresponding government analysis included 67,039 individuals.</w:t>
      </w:r>
    </w:p>
    <w:p w14:paraId="6A76EA56">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Degree names and educational qualifications in the career histories contained multilingual expressions, abbreviations, synonymous terms, and entries combining multiple educational levels. Degree names and educational levels were standardized, semantically equivalent or similar expressions were combined, and records containing evident errors, substantial missing information, or indeterminate educational levels were excluded. Duplicate education records and highly similar records at the same educational level were merged and deduplicated using educational institutions, degree names, and enrollment and graduation dates.</w:t>
      </w:r>
    </w:p>
    <w:p w14:paraId="18D24377">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corporate and government analyses both used formal bachelor’s education. Honorary degrees, short-term education, non-degree training, and records that could not be confirmed as formal bachelor’s education were excluded from the identification of bachelor’s backgrounds. When an individual had multiple formal bachelor’s records, all identifiable institutions were retained. An individual was coded as having an elite bachelor’s background if at least one institution was among the top 500 universities. An individual with at least one identifiable bachelor’s institution, none of which belonged to the top 500, was coded as having a non-elite bachelor’s background. Individuals without an identifiable formal bachelor’s record were coded as missing. Bachelor’s institution names were standardized across character formats, abbreviations, spelling variants, multilingual names, and translated names before being linked to the ROR registry and the harmonized university-ranking database. Name variants that clearly referred to the same university were combined, while records without a reliable unique institutional match were coded as missing. The corporate and government samples used the same procedures for identifying educational levels, standardizing institutions, and coding elite bachelor’s backgrounds.</w:t>
      </w:r>
    </w:p>
    <w:p w14:paraId="53035B8C">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color w:val="0000FF"/>
          <w:szCs w:val="32"/>
          <w:lang w:val="en-US" w:eastAsia="zh-CN"/>
        </w:rPr>
      </w:pPr>
      <w:r>
        <w:rPr>
          <w:rFonts w:hint="default" w:ascii="Times New Roman" w:hAnsi="Times New Roman" w:eastAsia="宋体" w:cs="Times New Roman"/>
          <w:szCs w:val="32"/>
          <w:lang w:eastAsia="zh-CN"/>
        </w:rPr>
        <w:t>Promotion variables in the corporate and government sectors were constructed using the same rules. The analyses were restricted to individuals with identifiable position levels and employment dates and excluded those who had already attained seniority level 6–7 when first observed. For the corporate sample, the risk period began with the individual’s first observable corporate position at seniority level 1–5. For the government sample, it began with the first observable government or public-administration position at seniority level 1–5. A promotion event occurred when the individual first attained seniority level 6–7 after entering the risk period. The fixed-window analysis examined whether promotion occurred within ten years of the start of the risk period and included only individuals with sufficient observation time for the ten-year outcome to be determined. The event-history analysis retained individuals who had not experienced promotion and right-censored them at their last valid career record or the end of the database observation period</w:t>
      </w:r>
      <w:r>
        <w:rPr>
          <w:rFonts w:hint="eastAsia" w:ascii="Times New Roman" w:hAnsi="Times New Roman" w:eastAsia="宋体" w:cs="Times New Roman"/>
          <w:szCs w:val="32"/>
          <w:lang w:val="en-US" w:eastAsia="zh-CN"/>
        </w:rPr>
        <w:t>.</w:t>
      </w:r>
    </w:p>
    <w:p w14:paraId="1ADC8FBB">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Cs/>
          <w:i w:val="0"/>
          <w:sz w:val="24"/>
          <w:szCs w:val="24"/>
          <w:lang w:eastAsia="zh-CN"/>
        </w:rPr>
      </w:pPr>
      <w:r>
        <w:rPr>
          <w:rFonts w:hint="default" w:ascii="Times New Roman" w:hAnsi="Times New Roman" w:cs="Times New Roman"/>
          <w:bCs/>
          <w:i w:val="0"/>
          <w:sz w:val="24"/>
          <w:szCs w:val="24"/>
          <w:lang w:eastAsia="zh-CN"/>
        </w:rPr>
        <w:t>Supplementary Methods 9. Chinese listed-company executive data</w:t>
      </w:r>
    </w:p>
    <w:p w14:paraId="740A85DE">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Chinese listed-company executive data were obtained from CSMAR and cover the period from 2008 to 2023. The data comprise 184,860 executive records, 49,691 unique executives, and 4,257 listed companies. Duplicate records were identified using personal identifiers, names, companies, and years. When an executive held multiple positions within the same company-year, all identifiable positions were combined. When an executive worked for multiple companies, the corresponding executive–company records were retained separately.</w:t>
      </w:r>
    </w:p>
    <w:p w14:paraId="0550D223">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primary position-entry analysis used the executive–company record as the unit of analysis. Annual records for the same executive within the same listed company were aggregated into a single record. Core executive positions included major decision-making roles such as chairperson, general manager, president, chief executive officer, and chief financial officer. An executive–company record was coded as 1 if the executive held at least one core executive position in that company during the observation period. Executives who held only other executive positions throughout the period were coded as 0. The primary position outcome therefore indicates whether an executive ever entered the core management team of the corresponding listed company.</w:t>
      </w:r>
    </w:p>
    <w:p w14:paraId="0254961F">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Formal bachelor’s records were linked to the harmonized university-ranking database after educational levels and institutional names were standardized. When an individual had multiple formal bachelor’s records, the person-level elite bachelor’s background was constructed using the harmonized educational-background coding rules and linked to the corresponding executive–company records. Records with unidentifiable bachelor’s education levels or degree-granting institutions were excluded from analyses involving bachelor’s backgrounds. Because the same executive could work for multiple companies, models retaining multiple executive–company records accounted for within-person correlation at the individual level.</w:t>
      </w:r>
    </w:p>
    <w:p w14:paraId="7D354307">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Cs/>
          <w:i w:val="0"/>
          <w:sz w:val="24"/>
          <w:szCs w:val="24"/>
          <w:lang w:eastAsia="zh-CN"/>
        </w:rPr>
      </w:pPr>
      <w:r>
        <w:rPr>
          <w:rFonts w:hint="default" w:ascii="Times New Roman" w:hAnsi="Times New Roman" w:cs="Times New Roman"/>
          <w:bCs/>
          <w:i w:val="0"/>
          <w:sz w:val="24"/>
          <w:szCs w:val="24"/>
          <w:lang w:eastAsia="zh-CN"/>
        </w:rPr>
        <w:t>Supplementary Methods 10. LinkedIn public-administration subsample</w:t>
      </w:r>
    </w:p>
    <w:p w14:paraId="20E87EE6">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government analysis used records classified under government administration in the LinkedIn-derived career-history database described in Supplementary Methods 8. The government career subsample was selected using the industry-classification variable provided by the database. Employment-record cleaning, person identification, career-trajectory construction, seniority coding, educational-history standardization, and institutional matching followed the procedures described in Supplementary Methods 8. After industry filtering and standardized processing, the final sample contained 4,522,784 valid government position records for the baseline position-entry analysis. At the position-record level, records at seniority levels 6–7 were coded as senior government positions, while other government position records with valid seniority information were coded as non-senior government positions.</w:t>
      </w:r>
    </w:p>
    <w:p w14:paraId="1D691DE5">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eastAsia="zh-CN"/>
        </w:rPr>
        <w:t>Descriptive analyses of educational origins, matching analyses, and career-advancement analyses were conducted at the person level. The descriptive analysis of educational origins included 67,039 individuals who had attained seniority level 6–7 at least once and whose bachelor’s institutions could be identified. For the person-level matching analysis, the position outcome indicated whether the individual had ever attained seniority level 6–7 during the observation period. The career-advancement analysis excluded individuals whose first observable government position was already at seniority level 6–7 and defined the first subsequent attainment of seniority level 6–7 as the promotion event. Actual sample sizes varied according to the availability of educational backgrounds, career dates, and model covariates and are reported in the corresponding tables</w:t>
      </w:r>
      <w:r>
        <w:rPr>
          <w:rFonts w:hint="eastAsia" w:ascii="Times New Roman" w:hAnsi="Times New Roman" w:eastAsia="宋体" w:cs="Times New Roman"/>
          <w:szCs w:val="32"/>
          <w:lang w:val="en-US" w:eastAsia="zh-CN"/>
        </w:rPr>
        <w:t>.</w:t>
      </w:r>
    </w:p>
    <w:p w14:paraId="34FE928E">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Cs/>
          <w:i w:val="0"/>
          <w:sz w:val="24"/>
          <w:szCs w:val="24"/>
          <w:lang w:eastAsia="zh-CN"/>
        </w:rPr>
      </w:pPr>
      <w:r>
        <w:rPr>
          <w:rFonts w:hint="default" w:ascii="Times New Roman" w:hAnsi="Times New Roman" w:cs="Times New Roman"/>
          <w:bCs/>
          <w:i w:val="0"/>
          <w:sz w:val="24"/>
          <w:szCs w:val="24"/>
          <w:lang w:eastAsia="zh-CN"/>
        </w:rPr>
        <w:t>Supplementary Methods 11. Construction of political-elite datasets</w:t>
      </w:r>
    </w:p>
    <w:p w14:paraId="520C046E">
      <w:pPr>
        <w:pStyle w:val="14"/>
        <w:keepNext/>
        <w:keepLines/>
        <w:pageBreakBefore w:val="0"/>
        <w:widowControl/>
        <w:kinsoku/>
        <w:wordWrap/>
        <w:overflowPunct/>
        <w:topLinePunct w:val="0"/>
        <w:autoSpaceDE/>
        <w:autoSpaceDN/>
        <w:bidi w:val="0"/>
        <w:adjustRightInd/>
        <w:snapToGrid/>
        <w:spacing w:before="181" w:beforeLines="50" w:beforeAutospacing="0" w:after="181" w:afterLines="50" w:afterAutospacing="0" w:line="300" w:lineRule="auto"/>
        <w:jc w:val="both"/>
        <w:textAlignment w:val="auto"/>
        <w:rPr>
          <w:rFonts w:hint="default" w:ascii="Times New Roman" w:hAnsi="Times New Roman" w:eastAsia="宋体" w:cs="Times New Roman"/>
          <w:b/>
          <w:bCs/>
          <w:sz w:val="22"/>
          <w:szCs w:val="36"/>
          <w:lang w:eastAsia="zh-CN"/>
        </w:rPr>
      </w:pPr>
      <w:r>
        <w:rPr>
          <w:rFonts w:hint="default" w:ascii="Times New Roman" w:hAnsi="Times New Roman" w:cs="Times New Roman"/>
          <w:sz w:val="22"/>
          <w:szCs w:val="28"/>
        </w:rPr>
        <w:t>Part A. Chinese senior-official dataset</w:t>
      </w:r>
    </w:p>
    <w:p w14:paraId="4F7CC9DB">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Chinese political-elite sample was constructed from the CSMAR databases of national- and ministerial-level officials, provincial officials, and municipal officials. The sample covers principal Party and government leaders at the prefecture-level municipal, provincial, and national or ministerial levels. After the three databases were combined, the sample included 5,051 officials, of whom 207 reached the national or ministerial level and 4,844 served at the provincial or municipal level.</w:t>
      </w:r>
    </w:p>
    <w:p w14:paraId="72F48206">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Because principal Party and government leaders at the prefecture-level city or above already occupy important positions within China’s political power structure, all officials in the sample were classified as political elites. The analyses therefore do not compare whether individuals entered the political elite. Instead, they examine whether an elite bachelor’s background was associated with attaining a higher administrative rank within the political elite. The highest administrative rank attained was classified as municipal, provincial, or national or ministerial. The baseline analysis used this three-category ordered outcome. To facilitate interpretation, we also report the average marginal effect of an elite bachelor’s background on the probability of attaining a national- or ministerial-level position.</w:t>
      </w:r>
    </w:p>
    <w:p w14:paraId="7E1A5AEF">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eastAsia="zh-CN"/>
        </w:rPr>
        <w:t>Officials’ bachelor’s institutions were identified from formal education records reported in their public career histories. Institutional names were standardized and linked to the harmonized university-ranking database. When an official had multiple bachelor’s education records, the elite bachelor’s indicator was constructed using the harmonized educational-background coding rules. Records for which the bachelor’s institution could not be identified reliably were excluded from the corresponding analyses</w:t>
      </w:r>
      <w:r>
        <w:rPr>
          <w:rFonts w:hint="eastAsia" w:ascii="Times New Roman" w:hAnsi="Times New Roman" w:eastAsia="宋体" w:cs="Times New Roman"/>
          <w:szCs w:val="32"/>
          <w:lang w:val="en-US" w:eastAsia="zh-CN"/>
        </w:rPr>
        <w:t>.</w:t>
      </w:r>
    </w:p>
    <w:p w14:paraId="7386E4CB">
      <w:pPr>
        <w:pStyle w:val="14"/>
        <w:keepNext/>
        <w:keepLines/>
        <w:pageBreakBefore w:val="0"/>
        <w:widowControl/>
        <w:kinsoku/>
        <w:wordWrap/>
        <w:overflowPunct/>
        <w:topLinePunct w:val="0"/>
        <w:autoSpaceDE/>
        <w:autoSpaceDN/>
        <w:bidi w:val="0"/>
        <w:adjustRightInd/>
        <w:snapToGrid/>
        <w:spacing w:before="181" w:beforeLines="50" w:beforeAutospacing="0" w:after="181" w:afterLines="50" w:afterAutospacing="0" w:line="300" w:lineRule="auto"/>
        <w:jc w:val="both"/>
        <w:textAlignment w:val="auto"/>
        <w:rPr>
          <w:rFonts w:hint="default" w:ascii="Times New Roman" w:hAnsi="Times New Roman" w:cs="Times New Roman"/>
          <w:i w:val="0"/>
          <w:sz w:val="22"/>
          <w:szCs w:val="28"/>
          <w:lang w:eastAsia="zh-CN"/>
        </w:rPr>
      </w:pPr>
      <w:r>
        <w:rPr>
          <w:rFonts w:hint="default" w:ascii="Times New Roman" w:hAnsi="Times New Roman" w:cs="Times New Roman"/>
          <w:i w:val="0"/>
          <w:sz w:val="22"/>
          <w:szCs w:val="28"/>
        </w:rPr>
        <w:t>Part B. Construction of the U.S. federal political-elite dataset</w:t>
      </w:r>
    </w:p>
    <w:p w14:paraId="18334590">
      <w:pPr>
        <w:pStyle w:val="4"/>
        <w:widowControl/>
        <w:spacing w:beforeAutospacing="0" w:afterAutospacing="0" w:line="300" w:lineRule="auto"/>
        <w:ind w:firstLine="420"/>
        <w:jc w:val="both"/>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1. Population coverage and officeholding records</w:t>
      </w:r>
    </w:p>
    <w:p w14:paraId="3CEEC030">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We constructed a database of US federal political elites covering the period from 1789 to the point of data collection in 2026. The sample includes all identified members of the House of Representatives, senators, vice presidents, and presidents serving during this period. Information on individuals and their periods in office was obtained primarily from congressional biographical records and supplemented with records of former presidents and vice presidents. The data retain individuals’ names, dates of birth, stable person identifiers, offices held, and the start and end dates of each period in office.</w:t>
      </w:r>
    </w:p>
    <w:p w14:paraId="70C4B56E">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eastAsia="zh-CN"/>
        </w:rPr>
        <w:t>Records from different sources were linked primarily using stable person identifiers. When no common identifier was available, records were matched using standardized names, dates of birth, and officeholding histories. Name abbreviations, middle names, suffixes, spelling variants, and non-consecutive terms were standardized. Multiple terms and transitions across offices were aggregated to the person level, while all offices held and the highest office attained were retained. After cross-source linkage and person-level deduplication, the database included 12,794 federal political figures</w:t>
      </w:r>
      <w:r>
        <w:rPr>
          <w:rFonts w:hint="eastAsia" w:ascii="Times New Roman" w:hAnsi="Times New Roman" w:eastAsia="宋体" w:cs="Times New Roman"/>
          <w:szCs w:val="32"/>
          <w:lang w:val="en-US" w:eastAsia="zh-CN"/>
        </w:rPr>
        <w:t>.</w:t>
      </w:r>
    </w:p>
    <w:p w14:paraId="477F47B4">
      <w:pPr>
        <w:pStyle w:val="4"/>
        <w:widowControl/>
        <w:spacing w:beforeAutospacing="0" w:afterAutospacing="0" w:line="300" w:lineRule="auto"/>
        <w:ind w:firstLine="420"/>
        <w:jc w:val="both"/>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2. Identification of educational histories and institutional standardization</w:t>
      </w:r>
    </w:p>
    <w:p w14:paraId="5A2B8E25">
      <w:pPr>
        <w:pStyle w:val="4"/>
        <w:widowControl/>
        <w:spacing w:beforeAutospacing="0" w:afterAutospacing="0" w:line="300" w:lineRule="auto"/>
        <w:ind w:firstLine="420"/>
        <w:jc w:val="both"/>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Educational histories were obtained primarily from congressional biographies and structured education records in Wikidata. We first constructed a person–education long-form dataset containing institutional names, degrees or educational levels, graduation information, and data sources. Education records in biographical texts were processed using a combination of rule-based identification and manual review. The procedure distinguished completed degrees, attendance without a confirmed degree, and records for which the educational level could not be determined.</w:t>
      </w:r>
      <w:r>
        <w:rPr>
          <w:rFonts w:hint="eastAsia" w:ascii="Times New Roman" w:hAnsi="Times New Roman" w:eastAsia="宋体" w:cs="Times New Roman"/>
          <w:szCs w:val="32"/>
          <w:lang w:val="en-US" w:eastAsia="zh-CN"/>
        </w:rPr>
        <w:t xml:space="preserve"> </w:t>
      </w:r>
      <w:r>
        <w:rPr>
          <w:rFonts w:hint="default" w:ascii="Times New Roman" w:hAnsi="Times New Roman" w:eastAsia="宋体" w:cs="Times New Roman"/>
          <w:szCs w:val="32"/>
          <w:lang w:eastAsia="zh-CN"/>
        </w:rPr>
        <w:t>Secondary-school education, honorary degrees, and records that could not be confirmed as formal higher education were excluded from the identification of bachelor’s backgrounds. Records stating only that an individual attended an institution were not classified directly as bachelor’s education when the educational level or graduation status could not be determined. When a political figure had multiple identifiable bachelor’s education records, all records were retained.</w:t>
      </w:r>
      <w:r>
        <w:rPr>
          <w:rFonts w:hint="eastAsia" w:ascii="Times New Roman" w:hAnsi="Times New Roman" w:eastAsia="宋体" w:cs="Times New Roman"/>
          <w:szCs w:val="32"/>
          <w:lang w:val="en-US" w:eastAsia="zh-CN"/>
        </w:rPr>
        <w:t xml:space="preserve"> </w:t>
      </w:r>
      <w:r>
        <w:rPr>
          <w:rFonts w:hint="default" w:ascii="Times New Roman" w:hAnsi="Times New Roman" w:eastAsia="宋体" w:cs="Times New Roman"/>
          <w:szCs w:val="32"/>
          <w:lang w:eastAsia="zh-CN"/>
        </w:rPr>
        <w:t>Institutional names were standardized across character formats, abbreviations, historical names, institutional renaming, and identifiable mergers. Records were combined only when they could be confirmed reliably as referring to the same institution. Similar institutional names with unresolved ambiguities were not forcibly assigned to the same entity. The person–education dataset contained approximately 29,000 records and was linked to the main person-level database after educational levels and institutional names were standardized.</w:t>
      </w:r>
    </w:p>
    <w:p w14:paraId="7E374024">
      <w:pPr>
        <w:pStyle w:val="4"/>
        <w:widowControl/>
        <w:spacing w:beforeAutospacing="0" w:afterAutospacing="0" w:line="300" w:lineRule="auto"/>
        <w:ind w:firstLine="420"/>
        <w:jc w:val="both"/>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3. Bachelor’s backgrounds and analytical sample</w:t>
      </w:r>
    </w:p>
    <w:p w14:paraId="679686DE">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After educational-level identification and institutional standardization, 6,025 political figures had at least one identifiable formal bachelor’s institution. For individuals with multiple bachelor’s education records, the elite bachelor’s indicator was constructed using the harmonized educational-background coding rules. Individuals without an identifiable bachelor’s institution were excluded from the corresponding analyses.</w:t>
      </w:r>
    </w:p>
    <w:p w14:paraId="1DDC6287">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All sample members met this study’s definition of federal political elites. The person-level position outcome was determined by the highest federal office attained during the individual’s career. Individuals whose highest office was membership in the House of Representatives were coded as 0. Individuals who had served as senator, vice president, or president were coded as having attained the office of senator or higher.</w:t>
      </w:r>
    </w:p>
    <w:p w14:paraId="7031215D">
      <w:pPr>
        <w:pStyle w:val="4"/>
        <w:keepNext w:val="0"/>
        <w:keepLines w:val="0"/>
        <w:pageBreakBefore w:val="0"/>
        <w:widowControl/>
        <w:kinsoku/>
        <w:wordWrap/>
        <w:overflowPunct/>
        <w:topLinePunct w:val="0"/>
        <w:autoSpaceDE/>
        <w:autoSpaceDN/>
        <w:bidi w:val="0"/>
        <w:adjustRightInd/>
        <w:snapToGrid/>
        <w:spacing w:before="181" w:beforeLines="50" w:beforeAutospacing="0" w:afterAutospacing="0" w:line="300" w:lineRule="auto"/>
        <w:jc w:val="left"/>
        <w:textAlignment w:val="auto"/>
        <w:rPr>
          <w:rFonts w:hint="default" w:ascii="Times New Roman" w:hAnsi="Times New Roman" w:eastAsia="宋体" w:cs="Times New Roman"/>
          <w:b/>
          <w:bCs/>
          <w:szCs w:val="32"/>
          <w:highlight w:val="none"/>
          <w:lang w:eastAsia="zh-CN"/>
        </w:rPr>
      </w:pPr>
      <w:r>
        <w:rPr>
          <w:rFonts w:hint="default" w:ascii="Times New Roman" w:hAnsi="Times New Roman" w:eastAsia="宋体" w:cs="Times New Roman"/>
          <w:b/>
          <w:bCs/>
          <w:szCs w:val="32"/>
          <w:highlight w:val="none"/>
          <w:lang w:eastAsia="zh-CN"/>
        </w:rPr>
        <w:t xml:space="preserve">Supplementary </w:t>
      </w:r>
      <w:r>
        <w:rPr>
          <w:rFonts w:hint="default" w:ascii="Times New Roman" w:hAnsi="Times New Roman" w:eastAsia="宋体" w:cs="Times New Roman"/>
          <w:b/>
          <w:bCs/>
          <w:szCs w:val="32"/>
          <w:highlight w:val="none"/>
          <w:lang w:val="en-US" w:eastAsia="zh-CN"/>
        </w:rPr>
        <w:t xml:space="preserve">Methods </w:t>
      </w:r>
      <w:r>
        <w:rPr>
          <w:rFonts w:hint="default" w:ascii="Times New Roman" w:hAnsi="Times New Roman" w:eastAsia="宋体" w:cs="Times New Roman"/>
          <w:b/>
          <w:bCs/>
          <w:szCs w:val="32"/>
          <w:highlight w:val="none"/>
          <w:lang w:eastAsia="zh-CN"/>
        </w:rPr>
        <w:t xml:space="preserve">Table </w:t>
      </w:r>
      <w:r>
        <w:rPr>
          <w:rFonts w:hint="default" w:ascii="Times New Roman" w:hAnsi="Times New Roman" w:eastAsia="宋体" w:cs="Times New Roman"/>
          <w:b/>
          <w:bCs/>
          <w:szCs w:val="32"/>
          <w:highlight w:val="none"/>
          <w:lang w:val="en-US" w:eastAsia="zh-CN"/>
        </w:rPr>
        <w:t>2</w:t>
      </w:r>
      <w:r>
        <w:rPr>
          <w:rFonts w:hint="default" w:ascii="Times New Roman" w:hAnsi="Times New Roman" w:eastAsia="宋体" w:cs="Times New Roman"/>
          <w:b/>
          <w:bCs/>
          <w:szCs w:val="32"/>
          <w:highlight w:val="none"/>
          <w:lang w:eastAsia="zh-CN"/>
        </w:rPr>
        <w:t>. Sample scope, educational-background measures and position outcomes across datasets</w:t>
      </w:r>
    </w:p>
    <w:tbl>
      <w:tblPr>
        <w:tblStyle w:val="5"/>
        <w:tblW w:w="110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7"/>
        <w:gridCol w:w="877"/>
        <w:gridCol w:w="1864"/>
        <w:gridCol w:w="1226"/>
        <w:gridCol w:w="1167"/>
        <w:gridCol w:w="1230"/>
        <w:gridCol w:w="1639"/>
        <w:gridCol w:w="1978"/>
      </w:tblGrid>
      <w:tr w14:paraId="3610F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4" w:hRule="atLeast"/>
          <w:jc w:val="center"/>
        </w:trPr>
        <w:tc>
          <w:tcPr>
            <w:tcW w:w="1037" w:type="dxa"/>
            <w:tcBorders>
              <w:top w:val="single" w:color="000000" w:sz="4" w:space="0"/>
              <w:left w:val="single" w:color="000000" w:sz="4" w:space="0"/>
              <w:bottom w:val="single" w:color="000000" w:sz="4" w:space="0"/>
              <w:right w:val="single" w:color="000000" w:sz="4" w:space="0"/>
              <w:tl2br w:val="nil"/>
            </w:tcBorders>
            <w:shd w:val="clear" w:color="auto" w:fill="FFFFFF"/>
            <w:tcMar>
              <w:top w:w="80" w:type="dxa"/>
              <w:left w:w="80" w:type="dxa"/>
              <w:bottom w:w="80" w:type="dxa"/>
              <w:right w:w="80" w:type="dxa"/>
            </w:tcMar>
            <w:vAlign w:val="center"/>
          </w:tcPr>
          <w:p w14:paraId="450E7494">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ascii="Times New Roman" w:hAnsi="Times New Roman"/>
                <w:b/>
                <w:sz w:val="17"/>
              </w:rPr>
              <w:t>Field</w:t>
            </w:r>
          </w:p>
        </w:tc>
        <w:tc>
          <w:tcPr>
            <w:tcW w:w="87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0F53EBC">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ascii="Times New Roman" w:hAnsi="Times New Roman"/>
                <w:b/>
                <w:sz w:val="17"/>
              </w:rPr>
              <w:t>Data source</w:t>
            </w:r>
          </w:p>
        </w:tc>
        <w:tc>
          <w:tcPr>
            <w:tcW w:w="186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013B156">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ascii="Times New Roman" w:hAnsi="Times New Roman"/>
                <w:b/>
                <w:sz w:val="17"/>
              </w:rPr>
              <w:t>Constructed sample</w:t>
            </w:r>
          </w:p>
        </w:tc>
        <w:tc>
          <w:tcPr>
            <w:tcW w:w="122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A5651C1">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ascii="Times New Roman" w:hAnsi="Times New Roman"/>
                <w:b/>
                <w:sz w:val="17"/>
              </w:rPr>
              <w:t>Primary unit of analysis</w:t>
            </w:r>
          </w:p>
        </w:tc>
        <w:tc>
          <w:tcPr>
            <w:tcW w:w="116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4E1EBAA">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ascii="Times New Roman" w:hAnsi="Times New Roman"/>
                <w:b/>
                <w:sz w:val="17"/>
              </w:rPr>
              <w:t>Main-model sample</w:t>
            </w:r>
          </w:p>
        </w:tc>
        <w:tc>
          <w:tcPr>
            <w:tcW w:w="123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CEF5F8D">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ascii="Times New Roman" w:hAnsi="Times New Roman"/>
                <w:b/>
                <w:sz w:val="17"/>
              </w:rPr>
              <w:t>Elite educational background</w:t>
            </w:r>
          </w:p>
        </w:tc>
        <w:tc>
          <w:tcPr>
            <w:tcW w:w="163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2F70218">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ascii="Times New Roman" w:hAnsi="Times New Roman"/>
                <w:b/>
                <w:sz w:val="17"/>
              </w:rPr>
              <w:t>Position outcome</w:t>
            </w:r>
          </w:p>
        </w:tc>
        <w:tc>
          <w:tcPr>
            <w:tcW w:w="19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A21BF1C">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ascii="Times New Roman" w:hAnsi="Times New Roman"/>
                <w:b/>
                <w:sz w:val="17"/>
              </w:rPr>
              <w:t>Main sample restrictions</w:t>
            </w:r>
          </w:p>
        </w:tc>
      </w:tr>
      <w:tr w14:paraId="599B0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jc w:val="center"/>
        </w:trPr>
        <w:tc>
          <w:tcPr>
            <w:tcW w:w="1037" w:type="dxa"/>
            <w:vMerge w:val="restart"/>
            <w:tcBorders>
              <w:top w:val="single" w:color="000000" w:sz="4" w:space="0"/>
              <w:left w:val="single" w:color="000000" w:sz="4" w:space="0"/>
              <w:right w:val="single" w:color="000000" w:sz="4" w:space="0"/>
            </w:tcBorders>
            <w:shd w:val="clear" w:color="auto" w:fill="FFFFFF"/>
            <w:tcMar>
              <w:top w:w="80" w:type="dxa"/>
              <w:left w:w="80" w:type="dxa"/>
              <w:bottom w:w="80" w:type="dxa"/>
              <w:right w:w="80" w:type="dxa"/>
            </w:tcMar>
            <w:vAlign w:val="center"/>
          </w:tcPr>
          <w:p w14:paraId="6C743C5F">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Academia</w:t>
            </w:r>
          </w:p>
        </w:tc>
        <w:tc>
          <w:tcPr>
            <w:tcW w:w="87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773F199">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OpenAlex</w:t>
            </w:r>
          </w:p>
        </w:tc>
        <w:tc>
          <w:tcPr>
            <w:tcW w:w="186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EE93C10">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4,000,385 university-based faculty and researchers, including 2,717,915 with identifiable doctoral institutions</w:t>
            </w:r>
          </w:p>
        </w:tc>
        <w:tc>
          <w:tcPr>
            <w:tcW w:w="122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F5D55FE">
            <w:pPr>
              <w:keepNext w:val="0"/>
              <w:keepLines w:val="0"/>
              <w:widowControl/>
              <w:suppressLineNumbers w:val="0"/>
              <w:spacing w:before="0" w:after="0" w:line="240" w:lineRule="auto"/>
              <w:jc w:val="center"/>
              <w:textAlignment w:val="center"/>
              <w:rPr>
                <w:rFonts w:ascii="Times New Roman" w:hAnsi="Times New Roman"/>
                <w:sz w:val="17"/>
              </w:rPr>
            </w:pPr>
            <w:r>
              <w:rPr>
                <w:rFonts w:ascii="Times New Roman" w:hAnsi="Times New Roman"/>
                <w:sz w:val="17"/>
              </w:rPr>
              <w:t>Author/</w:t>
            </w:r>
          </w:p>
          <w:p w14:paraId="1A4D5DEA">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researcher</w:t>
            </w:r>
          </w:p>
        </w:tc>
        <w:tc>
          <w:tcPr>
            <w:tcW w:w="116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63B8622">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1,813,704</w:t>
            </w:r>
          </w:p>
        </w:tc>
        <w:tc>
          <w:tcPr>
            <w:tcW w:w="123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0D1240D">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Elite doctoral background</w:t>
            </w:r>
          </w:p>
        </w:tc>
        <w:tc>
          <w:tcPr>
            <w:tcW w:w="163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A644F60">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Affiliation with a top-500 university</w:t>
            </w:r>
          </w:p>
        </w:tc>
        <w:tc>
          <w:tcPr>
            <w:tcW w:w="19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BABF6D1">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Records with identifiable doctoral backgrounds, primary affiliations, and model covariates</w:t>
            </w:r>
          </w:p>
        </w:tc>
      </w:tr>
      <w:tr w14:paraId="79471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right w:val="single" w:color="000000" w:sz="4" w:space="0"/>
            </w:tcBorders>
            <w:shd w:val="clear" w:color="auto" w:fill="FFFFFF"/>
            <w:tcMar>
              <w:top w:w="80" w:type="dxa"/>
              <w:left w:w="80" w:type="dxa"/>
              <w:bottom w:w="80" w:type="dxa"/>
              <w:right w:w="80" w:type="dxa"/>
            </w:tcMar>
            <w:vAlign w:val="center"/>
          </w:tcPr>
          <w:p w14:paraId="5EF18B63">
            <w:pPr>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3279335">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ORCID</w:t>
            </w:r>
          </w:p>
        </w:tc>
        <w:tc>
          <w:tcPr>
            <w:tcW w:w="186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C027DF5">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1,011,278 researchers with the education or employment information required for the study</w:t>
            </w:r>
          </w:p>
        </w:tc>
        <w:tc>
          <w:tcPr>
            <w:tcW w:w="122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03C7213">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Researcher</w:t>
            </w:r>
          </w:p>
        </w:tc>
        <w:tc>
          <w:tcPr>
            <w:tcW w:w="116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41149A6">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1,011,012</w:t>
            </w:r>
          </w:p>
        </w:tc>
        <w:tc>
          <w:tcPr>
            <w:tcW w:w="123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F00BB51">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Elite doctoral background</w:t>
            </w:r>
          </w:p>
        </w:tc>
        <w:tc>
          <w:tcPr>
            <w:tcW w:w="163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8830AB6">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Employment at a top-500 university</w:t>
            </w:r>
          </w:p>
        </w:tc>
        <w:tc>
          <w:tcPr>
            <w:tcW w:w="19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4B4CCD8">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The baseline model retains selected missing-value categories; gender, country, and the primary outcome must be identifiable</w:t>
            </w:r>
          </w:p>
        </w:tc>
      </w:tr>
      <w:tr w14:paraId="22A2D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05DE5E4">
            <w:pPr>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3FFF56D">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Global faculty CV</w:t>
            </w:r>
          </w:p>
        </w:tc>
        <w:tc>
          <w:tcPr>
            <w:tcW w:w="186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D87A8B7">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4,545,214 university faculty members, including 4,417,869 whose current institutions could be linked to ROR IDs</w:t>
            </w:r>
          </w:p>
        </w:tc>
        <w:tc>
          <w:tcPr>
            <w:tcW w:w="122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4B33DD7">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Faculty member</w:t>
            </w:r>
          </w:p>
        </w:tc>
        <w:tc>
          <w:tcPr>
            <w:tcW w:w="116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807C0FF">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4,139,853</w:t>
            </w:r>
          </w:p>
        </w:tc>
        <w:tc>
          <w:tcPr>
            <w:tcW w:w="123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10B2780">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Elite doctoral background</w:t>
            </w:r>
          </w:p>
        </w:tc>
        <w:tc>
          <w:tcPr>
            <w:tcW w:w="163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E8F8BFB">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Current employment at a top-500 university</w:t>
            </w:r>
          </w:p>
        </w:tc>
        <w:tc>
          <w:tcPr>
            <w:tcW w:w="19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B9D3562">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Records with identifiable doctoral backgrounds, current institutions, and variables required by the baseline model</w:t>
            </w:r>
          </w:p>
        </w:tc>
      </w:tr>
      <w:tr w14:paraId="46658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037" w:type="dxa"/>
            <w:vMerge w:val="restart"/>
            <w:tcBorders>
              <w:top w:val="single" w:color="000000" w:sz="4" w:space="0"/>
              <w:left w:val="single" w:color="000000" w:sz="4" w:space="0"/>
              <w:right w:val="single" w:color="000000" w:sz="4" w:space="0"/>
            </w:tcBorders>
            <w:shd w:val="clear" w:color="auto" w:fill="FFFFFF"/>
            <w:tcMar>
              <w:top w:w="80" w:type="dxa"/>
              <w:left w:w="80" w:type="dxa"/>
              <w:bottom w:w="80" w:type="dxa"/>
              <w:right w:w="80" w:type="dxa"/>
            </w:tcMar>
            <w:vAlign w:val="center"/>
          </w:tcPr>
          <w:p w14:paraId="623740E0">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Corporate</w:t>
            </w:r>
          </w:p>
        </w:tc>
        <w:tc>
          <w:tcPr>
            <w:tcW w:w="87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A2B21CF">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LinkedIn</w:t>
            </w:r>
          </w:p>
        </w:tc>
        <w:tc>
          <w:tcPr>
            <w:tcW w:w="186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5F2AE28">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12,815,759 individuals and 44,513,063 valid corporate position records; the descriptive executive sample includes 829,530 individuals</w:t>
            </w:r>
          </w:p>
        </w:tc>
        <w:tc>
          <w:tcPr>
            <w:tcW w:w="122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7B825AD">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Position records for baseline models; individuals for matching and promotion analyses</w:t>
            </w:r>
          </w:p>
        </w:tc>
        <w:tc>
          <w:tcPr>
            <w:tcW w:w="116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1CEB896">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44,101,513 position records</w:t>
            </w:r>
          </w:p>
        </w:tc>
        <w:tc>
          <w:tcPr>
            <w:tcW w:w="123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25092FC">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Elite bachelor’s background</w:t>
            </w:r>
          </w:p>
        </w:tc>
        <w:tc>
          <w:tcPr>
            <w:tcW w:w="163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474880B">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Attainment of seniority level 6–7</w:t>
            </w:r>
          </w:p>
        </w:tc>
        <w:tc>
          <w:tcPr>
            <w:tcW w:w="19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A643D60">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Baseline models require identifiable seniority, bachelor’s backgrounds, and covariates; person-level analyses apply the corresponding variable restrictions</w:t>
            </w:r>
          </w:p>
        </w:tc>
      </w:tr>
      <w:tr w14:paraId="70E5D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037" w:type="dxa"/>
            <w:vMerge w:val="continue"/>
            <w:tcBorders>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62E8BDD">
            <w:pPr>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F169FCD">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CSMAR</w:t>
            </w:r>
          </w:p>
        </w:tc>
        <w:tc>
          <w:tcPr>
            <w:tcW w:w="186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400C9D6C">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184,860 annual executive records, 49,691 unique executives, and 4,257 listed companies</w:t>
            </w:r>
          </w:p>
        </w:tc>
        <w:tc>
          <w:tcPr>
            <w:tcW w:w="122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F354F94">
            <w:pPr>
              <w:keepNext w:val="0"/>
              <w:keepLines w:val="0"/>
              <w:widowControl/>
              <w:suppressLineNumbers w:val="0"/>
              <w:spacing w:before="0" w:after="0" w:line="240" w:lineRule="auto"/>
              <w:jc w:val="center"/>
              <w:textAlignment w:val="center"/>
              <w:rPr>
                <w:rFonts w:ascii="Times New Roman" w:hAnsi="Times New Roman"/>
                <w:sz w:val="17"/>
              </w:rPr>
            </w:pPr>
            <w:r>
              <w:rPr>
                <w:rFonts w:ascii="Times New Roman" w:hAnsi="Times New Roman"/>
                <w:sz w:val="17"/>
              </w:rPr>
              <w:t>Executive–</w:t>
            </w:r>
          </w:p>
          <w:p w14:paraId="40DC22F4">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company</w:t>
            </w:r>
          </w:p>
        </w:tc>
        <w:tc>
          <w:tcPr>
            <w:tcW w:w="116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6487D51">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54,316 executive–company records</w:t>
            </w:r>
          </w:p>
        </w:tc>
        <w:tc>
          <w:tcPr>
            <w:tcW w:w="123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85F78A3">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Elite bachelor’s background</w:t>
            </w:r>
          </w:p>
        </w:tc>
        <w:tc>
          <w:tcPr>
            <w:tcW w:w="163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87E2CF7">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Whether the executive ever held a core executive position in the corresponding company</w:t>
            </w:r>
          </w:p>
        </w:tc>
        <w:tc>
          <w:tcPr>
            <w:tcW w:w="19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0B136267">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Executive–company records with identifiable bachelor’s backgrounds, position outcomes, and model covariates</w:t>
            </w:r>
          </w:p>
        </w:tc>
      </w:tr>
      <w:tr w14:paraId="04F2D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jc w:val="center"/>
        </w:trPr>
        <w:tc>
          <w:tcPr>
            <w:tcW w:w="1037" w:type="dxa"/>
            <w:vMerge w:val="restart"/>
            <w:tcBorders>
              <w:top w:val="single" w:color="000000" w:sz="4" w:space="0"/>
              <w:left w:val="single" w:color="000000" w:sz="4" w:space="0"/>
              <w:right w:val="single" w:color="000000" w:sz="4" w:space="0"/>
            </w:tcBorders>
            <w:shd w:val="clear" w:color="auto" w:fill="FFFFFF"/>
            <w:tcMar>
              <w:top w:w="80" w:type="dxa"/>
              <w:left w:w="80" w:type="dxa"/>
              <w:bottom w:w="80" w:type="dxa"/>
              <w:right w:w="80" w:type="dxa"/>
            </w:tcMar>
            <w:vAlign w:val="center"/>
          </w:tcPr>
          <w:p w14:paraId="518AF547">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Government</w:t>
            </w:r>
          </w:p>
        </w:tc>
        <w:tc>
          <w:tcPr>
            <w:tcW w:w="87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3C3EB66">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LinkedIn</w:t>
            </w:r>
          </w:p>
        </w:tc>
        <w:tc>
          <w:tcPr>
            <w:tcW w:w="186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7CEC157">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4,522,784 valid government position records; the descriptive senior-position sample includes 67,039 individuals</w:t>
            </w:r>
          </w:p>
        </w:tc>
        <w:tc>
          <w:tcPr>
            <w:tcW w:w="122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7BB518C">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Position records for baseline models; individuals for matching and promotion analyses</w:t>
            </w:r>
          </w:p>
        </w:tc>
        <w:tc>
          <w:tcPr>
            <w:tcW w:w="116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C451DF4">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4,522,784 position records</w:t>
            </w:r>
          </w:p>
        </w:tc>
        <w:tc>
          <w:tcPr>
            <w:tcW w:w="123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5760A36">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Elite bachelor’s background</w:t>
            </w:r>
          </w:p>
        </w:tc>
        <w:tc>
          <w:tcPr>
            <w:tcW w:w="163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EFE1A85">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Attainment of seniority level 6–7</w:t>
            </w:r>
          </w:p>
        </w:tc>
        <w:tc>
          <w:tcPr>
            <w:tcW w:w="19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E482AE1">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Government-administration records with identifiable seniority, bachelor’s backgrounds, and relevant covariates</w:t>
            </w:r>
          </w:p>
        </w:tc>
      </w:tr>
      <w:tr w14:paraId="13147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jc w:val="center"/>
        </w:trPr>
        <w:tc>
          <w:tcPr>
            <w:tcW w:w="1037" w:type="dxa"/>
            <w:vMerge w:val="continue"/>
            <w:tcBorders>
              <w:left w:val="single" w:color="000000" w:sz="4" w:space="0"/>
              <w:right w:val="single" w:color="000000" w:sz="4" w:space="0"/>
            </w:tcBorders>
            <w:shd w:val="clear" w:color="auto" w:fill="FFFFFF"/>
            <w:tcMar>
              <w:top w:w="80" w:type="dxa"/>
              <w:left w:w="80" w:type="dxa"/>
              <w:bottom w:w="80" w:type="dxa"/>
              <w:right w:w="80" w:type="dxa"/>
            </w:tcMar>
            <w:vAlign w:val="center"/>
          </w:tcPr>
          <w:p w14:paraId="4527CE93">
            <w:pPr>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2A5AA8D">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Chinese senior officials</w:t>
            </w:r>
          </w:p>
        </w:tc>
        <w:tc>
          <w:tcPr>
            <w:tcW w:w="186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861ECA9">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5,051 principal Party and government leaders serving at the prefecture-level city or above</w:t>
            </w:r>
          </w:p>
        </w:tc>
        <w:tc>
          <w:tcPr>
            <w:tcW w:w="122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1EB70D5B">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Official</w:t>
            </w:r>
          </w:p>
        </w:tc>
        <w:tc>
          <w:tcPr>
            <w:tcW w:w="116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75E19A5">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2,187</w:t>
            </w:r>
          </w:p>
        </w:tc>
        <w:tc>
          <w:tcPr>
            <w:tcW w:w="123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759EE302">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Elite bachelor’s background</w:t>
            </w:r>
          </w:p>
        </w:tc>
        <w:tc>
          <w:tcPr>
            <w:tcW w:w="163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DF5DE05">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Highest administrative rank attained</w:t>
            </w:r>
          </w:p>
        </w:tc>
        <w:tc>
          <w:tcPr>
            <w:tcW w:w="19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5FFD07BB">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The main model is restricted to officials with a bachelor’s degree or higher, an identifiable bachelor’s institution, and identifiable model covariates</w:t>
            </w:r>
          </w:p>
        </w:tc>
      </w:tr>
      <w:tr w14:paraId="2EA18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 w:hRule="atLeast"/>
          <w:jc w:val="center"/>
        </w:trPr>
        <w:tc>
          <w:tcPr>
            <w:tcW w:w="1037" w:type="dxa"/>
            <w:vMerge w:val="continue"/>
            <w:tcBorders>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6F13F15">
            <w:pPr>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1C08547">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US political figures</w:t>
            </w:r>
          </w:p>
        </w:tc>
        <w:tc>
          <w:tcPr>
            <w:tcW w:w="1864"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2A20CD7D">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12,794 members of the House of Representatives, senators, vice presidents, and presidents</w:t>
            </w:r>
          </w:p>
        </w:tc>
        <w:tc>
          <w:tcPr>
            <w:tcW w:w="1226"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2C8583F">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Individual</w:t>
            </w:r>
          </w:p>
        </w:tc>
        <w:tc>
          <w:tcPr>
            <w:tcW w:w="1167"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281EB19">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6,025</w:t>
            </w:r>
          </w:p>
        </w:tc>
        <w:tc>
          <w:tcPr>
            <w:tcW w:w="1230"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696CE8D">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Elite bachelor’s background</w:t>
            </w:r>
          </w:p>
        </w:tc>
        <w:tc>
          <w:tcPr>
            <w:tcW w:w="1639"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6538E7C2">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Attainment of the office of senator, vice president, or president</w:t>
            </w:r>
          </w:p>
        </w:tc>
        <w:tc>
          <w:tcPr>
            <w:tcW w:w="1978" w:type="dxa"/>
            <w:tcBorders>
              <w:top w:val="single" w:color="000000" w:sz="4" w:space="0"/>
              <w:left w:val="single" w:color="000000" w:sz="4" w:space="0"/>
              <w:bottom w:val="single" w:color="000000" w:sz="4" w:space="0"/>
              <w:right w:val="single" w:color="000000" w:sz="4" w:space="0"/>
            </w:tcBorders>
            <w:shd w:val="clear" w:color="auto" w:fill="FFFFFF"/>
            <w:tcMar>
              <w:top w:w="80" w:type="dxa"/>
              <w:left w:w="80" w:type="dxa"/>
              <w:bottom w:w="80" w:type="dxa"/>
              <w:right w:w="80" w:type="dxa"/>
            </w:tcMar>
            <w:vAlign w:val="center"/>
          </w:tcPr>
          <w:p w14:paraId="378F17AA">
            <w:pPr>
              <w:keepNext w:val="0"/>
              <w:keepLines w:val="0"/>
              <w:widowControl/>
              <w:suppressLineNumbers w:val="0"/>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ascii="Times New Roman" w:hAnsi="Times New Roman"/>
                <w:sz w:val="17"/>
              </w:rPr>
              <w:t>The main model is restricted to political figures with an identifiable formal bachelor’s institution</w:t>
            </w:r>
          </w:p>
        </w:tc>
      </w:tr>
    </w:tbl>
    <w:p w14:paraId="03661523">
      <w:pPr>
        <w:pStyle w:val="19"/>
        <w:widowControl/>
        <w:snapToGrid w:val="0"/>
        <w:textAlignment w:val="center"/>
        <w:rPr>
          <w:rFonts w:hint="default" w:ascii="Times New Roman" w:hAnsi="Times New Roman" w:cs="Times New Roman"/>
          <w:sz w:val="20"/>
          <w:szCs w:val="28"/>
          <w:lang w:eastAsia="zh-CN"/>
        </w:rPr>
      </w:pPr>
      <w:r>
        <w:rPr>
          <w:rFonts w:hint="default" w:ascii="Times New Roman" w:hAnsi="Times New Roman" w:cs="Times New Roman"/>
          <w:sz w:val="20"/>
          <w:szCs w:val="28"/>
          <w:lang w:eastAsia="zh-CN"/>
        </w:rPr>
        <w:t>Note. “Data-constructed sample” reports the broad sample obtained after dataset-specific construction and cleaning, whereas “main-model sample” reports the observations included in the corresponding baseline elite-position attainment model. Descriptive, subgroup, matching, temporal and promotion analyses may use different sample sizes because of differences in analytical unit, variable availability and model-specific eligibility criteria. LinkedIn baseline models use position records, whereas descriptive, matching and promotion analyses are conducted at the individual level. For the Chinese listed-company sample, executive–company–year records were collapsed to the executive–company level for the baseline elite-position attainment model.</w:t>
      </w:r>
    </w:p>
    <w:p w14:paraId="1D657BE1">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Cs/>
          <w:i w:val="0"/>
          <w:sz w:val="24"/>
          <w:szCs w:val="24"/>
          <w:lang w:val="en-US" w:eastAsia="zh-CN"/>
        </w:rPr>
      </w:pPr>
      <w:r>
        <w:rPr>
          <w:rFonts w:hint="default" w:ascii="Times New Roman" w:hAnsi="Times New Roman" w:cs="Times New Roman"/>
          <w:bCs/>
          <w:i w:val="0"/>
          <w:sz w:val="24"/>
          <w:szCs w:val="24"/>
          <w:lang w:val="en-US" w:eastAsia="zh-CN"/>
        </w:rPr>
        <w:t>Supplementary Methods 12. Educational-source concentration measures</w:t>
      </w:r>
    </w:p>
    <w:p w14:paraId="1192B344">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val="en-US" w:eastAsia="zh-CN"/>
        </w:rPr>
        <w:t>The analysis of educational-origin concentration was restricted to holders of the relevant elite positions whose source institutions could be identified. Measures were calculated separately by dataset and observation period. We first aggregated the number of elite-position holders by source university and then used the resulting distribution to calculate the Gini coefficient, standardized Theil index, Top N shares, and Top% shares.</w:t>
      </w:r>
    </w:p>
    <w:p w14:paraId="34EADB94">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val="en-US" w:eastAsia="zh-CN"/>
        </w:rPr>
        <w:t>The Gini coefficient measures overall inequality in the distribution of source institutions. It ranges from 0 to 1, with higher values indicating that elite-position holders are more concentrated among a small number of source universities. It was calculated as</w:t>
      </w:r>
    </w:p>
    <w:p w14:paraId="30F6975B">
      <w:pPr>
        <w:pStyle w:val="4"/>
        <w:widowControl/>
        <w:spacing w:beforeAutospacing="0" w:afterAutospacing="0" w:line="300" w:lineRule="auto"/>
        <w:jc w:val="both"/>
        <w:rPr>
          <w:rFonts w:hint="default" w:ascii="Times New Roman" w:hAnsi="Times New Roman" w:cs="Times New Roman"/>
        </w:rPr>
      </w:pPr>
      <m:oMathPara>
        <m:oMath>
          <m:r>
            <m:rPr>
              <m:nor/>
              <m:sty m:val="p"/>
            </m:rPr>
            <w:rPr>
              <w:rFonts w:hint="default" w:ascii="Times New Roman" w:hAnsi="Times New Roman" w:cs="Times New Roman"/>
              <w:b w:val="0"/>
              <w:i w:val="0"/>
              <w:szCs w:val="36"/>
              <w:lang w:bidi="ar"/>
            </w:rPr>
            <m:t xml:space="preserve">Gini = </m:t>
          </m:r>
          <m:f>
            <m:fPr>
              <m:ctrlPr>
                <w:rPr>
                  <w:rFonts w:hint="default" w:ascii="Cambria Math" w:hAnsi="Cambria Math" w:cs="Times New Roman"/>
                  <w:szCs w:val="36"/>
                  <w:lang w:bidi="ar"/>
                </w:rPr>
              </m:ctrlPr>
            </m:fPr>
            <m:num>
              <m:nary>
                <m:naryPr>
                  <m:chr m:val="∑"/>
                  <m:limLoc m:val="undOvr"/>
                  <m:ctrlPr>
                    <w:rPr>
                      <w:rFonts w:hint="default" w:ascii="Cambria Math" w:hAnsi="Cambria Math" w:cs="Times New Roman"/>
                      <w:szCs w:val="36"/>
                      <w:lang w:bidi="ar"/>
                    </w:rPr>
                  </m:ctrlPr>
                </m:naryPr>
                <m:sub>
                  <m:r>
                    <m:rPr>
                      <m:nor/>
                      <m:sty m:val="p"/>
                    </m:rPr>
                    <w:rPr>
                      <w:rFonts w:hint="default" w:ascii="Times New Roman" w:hAnsi="Times New Roman" w:cs="Times New Roman"/>
                      <w:b w:val="0"/>
                      <w:i w:val="0"/>
                      <w:szCs w:val="36"/>
                      <w:lang w:bidi="ar"/>
                    </w:rPr>
                    <m:t>i=1</m:t>
                  </m:r>
                  <m:ctrlPr>
                    <w:rPr>
                      <w:rFonts w:hint="default" w:ascii="Cambria Math" w:hAnsi="Cambria Math" w:cs="Times New Roman"/>
                      <w:szCs w:val="36"/>
                      <w:lang w:bidi="ar"/>
                    </w:rPr>
                  </m:ctrlPr>
                </m:sub>
                <m:sup>
                  <m:r>
                    <m:rPr>
                      <m:nor/>
                      <m:sty m:val="p"/>
                    </m:rPr>
                    <w:rPr>
                      <w:rFonts w:hint="default" w:ascii="Times New Roman" w:hAnsi="Times New Roman" w:cs="Times New Roman"/>
                      <w:b w:val="0"/>
                      <w:i w:val="0"/>
                      <w:szCs w:val="36"/>
                      <w:lang w:bidi="ar"/>
                    </w:rPr>
                    <m:t>n</m:t>
                  </m:r>
                  <m:ctrlPr>
                    <w:rPr>
                      <w:rFonts w:hint="default" w:ascii="Cambria Math" w:hAnsi="Cambria Math" w:cs="Times New Roman"/>
                      <w:szCs w:val="36"/>
                      <w:lang w:bidi="ar"/>
                    </w:rPr>
                  </m:ctrlPr>
                </m:sup>
                <m:e>
                  <m:nary>
                    <m:naryPr>
                      <m:chr m:val="∑"/>
                      <m:limLoc m:val="undOvr"/>
                      <m:ctrlPr>
                        <w:rPr>
                          <w:rFonts w:hint="default" w:ascii="Cambria Math" w:hAnsi="Cambria Math" w:cs="Times New Roman"/>
                          <w:szCs w:val="36"/>
                          <w:lang w:bidi="ar"/>
                        </w:rPr>
                      </m:ctrlPr>
                    </m:naryPr>
                    <m:sub>
                      <m:r>
                        <m:rPr>
                          <m:nor/>
                          <m:sty m:val="p"/>
                        </m:rPr>
                        <w:rPr>
                          <w:rFonts w:hint="default" w:ascii="Times New Roman" w:hAnsi="Times New Roman" w:cs="Times New Roman"/>
                          <w:b w:val="0"/>
                          <w:i w:val="0"/>
                          <w:szCs w:val="36"/>
                          <w:lang w:bidi="ar"/>
                        </w:rPr>
                        <m:t>j=1</m:t>
                      </m:r>
                      <m:ctrlPr>
                        <w:rPr>
                          <w:rFonts w:hint="default" w:ascii="Cambria Math" w:hAnsi="Cambria Math" w:cs="Times New Roman"/>
                          <w:szCs w:val="36"/>
                          <w:lang w:bidi="ar"/>
                        </w:rPr>
                      </m:ctrlPr>
                    </m:sub>
                    <m:sup>
                      <m:r>
                        <m:rPr>
                          <m:nor/>
                          <m:sty m:val="p"/>
                        </m:rPr>
                        <w:rPr>
                          <w:rFonts w:hint="default" w:ascii="Times New Roman" w:hAnsi="Times New Roman" w:cs="Times New Roman"/>
                          <w:b w:val="0"/>
                          <w:i w:val="0"/>
                          <w:szCs w:val="36"/>
                          <w:lang w:bidi="ar"/>
                        </w:rPr>
                        <m:t>n</m:t>
                      </m:r>
                      <m:ctrlPr>
                        <w:rPr>
                          <w:rFonts w:hint="default" w:ascii="Cambria Math" w:hAnsi="Cambria Math" w:cs="Times New Roman"/>
                          <w:szCs w:val="36"/>
                          <w:lang w:bidi="ar"/>
                        </w:rPr>
                      </m:ctrlPr>
                    </m:sup>
                    <m:e>
                      <m:r>
                        <m:rPr>
                          <m:nor/>
                          <m:sty m:val="p"/>
                        </m:rPr>
                        <w:rPr>
                          <w:rFonts w:hint="default" w:ascii="Times New Roman" w:hAnsi="Times New Roman" w:cs="Times New Roman"/>
                          <w:b w:val="0"/>
                          <w:i w:val="0"/>
                          <w:szCs w:val="36"/>
                          <w:lang w:bidi="ar"/>
                        </w:rPr>
                        <m:t>|</m:t>
                      </m:r>
                      <m:sSub>
                        <m:sSubPr>
                          <m:ctrlPr>
                            <w:rPr>
                              <w:rFonts w:hint="default" w:ascii="Cambria Math" w:hAnsi="Cambria Math" w:cs="Times New Roman"/>
                              <w:i/>
                              <w:iCs/>
                              <w:szCs w:val="36"/>
                              <w:lang w:bidi="ar"/>
                            </w:rPr>
                          </m:ctrlPr>
                        </m:sSubPr>
                        <m:e>
                          <m:r>
                            <m:rPr>
                              <m:nor/>
                            </m:rPr>
                            <w:rPr>
                              <w:rFonts w:hint="default" w:ascii="Times New Roman" w:hAnsi="Times New Roman" w:cs="Times New Roman"/>
                              <w:i/>
                              <w:iCs/>
                              <w:szCs w:val="36"/>
                              <w:lang w:bidi="ar"/>
                            </w:rPr>
                            <m:t>x</m:t>
                          </m:r>
                          <m:ctrlPr>
                            <w:rPr>
                              <w:rFonts w:hint="default" w:ascii="Cambria Math" w:hAnsi="Cambria Math" w:cs="Times New Roman"/>
                              <w:i/>
                              <w:iCs/>
                              <w:szCs w:val="36"/>
                              <w:lang w:bidi="ar"/>
                            </w:rPr>
                          </m:ctrlPr>
                        </m:e>
                        <m:sub>
                          <m:r>
                            <m:rPr>
                              <m:nor/>
                            </m:rPr>
                            <w:rPr>
                              <w:rFonts w:hint="default" w:ascii="Times New Roman" w:hAnsi="Times New Roman" w:cs="Times New Roman"/>
                              <w:i/>
                              <w:iCs/>
                              <w:szCs w:val="36"/>
                              <w:lang w:bidi="ar"/>
                            </w:rPr>
                            <m:t>i</m:t>
                          </m:r>
                          <m:ctrlPr>
                            <w:rPr>
                              <w:rFonts w:hint="default" w:ascii="Cambria Math" w:hAnsi="Cambria Math" w:cs="Times New Roman"/>
                              <w:i/>
                              <w:iCs/>
                              <w:szCs w:val="36"/>
                              <w:lang w:bidi="ar"/>
                            </w:rPr>
                          </m:ctrlPr>
                        </m:sub>
                      </m:sSub>
                      <m:r>
                        <m:rPr>
                          <m:nor/>
                          <m:sty m:val="p"/>
                        </m:rPr>
                        <w:rPr>
                          <w:rFonts w:hint="default" w:ascii="Times New Roman" w:hAnsi="Times New Roman" w:cs="Times New Roman"/>
                          <w:b w:val="0"/>
                          <w:i w:val="0"/>
                          <w:szCs w:val="36"/>
                          <w:lang w:bidi="ar"/>
                        </w:rPr>
                        <m:t>-</m:t>
                      </m:r>
                      <m:sSub>
                        <m:sSubPr>
                          <m:ctrlPr>
                            <w:rPr>
                              <w:rFonts w:hint="default" w:ascii="Cambria Math" w:hAnsi="Cambria Math" w:cs="Times New Roman"/>
                              <w:i/>
                              <w:iCs/>
                              <w:szCs w:val="36"/>
                              <w:lang w:bidi="ar"/>
                            </w:rPr>
                          </m:ctrlPr>
                        </m:sSubPr>
                        <m:e>
                          <m:r>
                            <m:rPr>
                              <m:nor/>
                            </m:rPr>
                            <w:rPr>
                              <w:rFonts w:hint="default" w:ascii="Times New Roman" w:hAnsi="Times New Roman" w:cs="Times New Roman"/>
                              <w:i/>
                              <w:iCs/>
                              <w:szCs w:val="36"/>
                              <w:lang w:bidi="ar"/>
                            </w:rPr>
                            <m:t>x</m:t>
                          </m:r>
                          <m:ctrlPr>
                            <w:rPr>
                              <w:rFonts w:hint="default" w:ascii="Cambria Math" w:hAnsi="Cambria Math" w:cs="Times New Roman"/>
                              <w:i/>
                              <w:iCs/>
                              <w:szCs w:val="36"/>
                              <w:lang w:bidi="ar"/>
                            </w:rPr>
                          </m:ctrlPr>
                        </m:e>
                        <m:sub>
                          <m:r>
                            <m:rPr>
                              <m:nor/>
                            </m:rPr>
                            <w:rPr>
                              <w:rFonts w:hint="default" w:ascii="Times New Roman" w:hAnsi="Times New Roman" w:cs="Times New Roman"/>
                              <w:i/>
                              <w:iCs/>
                              <w:szCs w:val="36"/>
                              <w:lang w:bidi="ar"/>
                            </w:rPr>
                            <m:t>j</m:t>
                          </m:r>
                          <m:ctrlPr>
                            <w:rPr>
                              <w:rFonts w:hint="default" w:ascii="Cambria Math" w:hAnsi="Cambria Math" w:cs="Times New Roman"/>
                              <w:i/>
                              <w:iCs/>
                              <w:szCs w:val="36"/>
                              <w:lang w:bidi="ar"/>
                            </w:rPr>
                          </m:ctrlPr>
                        </m:sub>
                      </m:sSub>
                      <m:r>
                        <m:rPr>
                          <m:nor/>
                          <m:sty m:val="p"/>
                        </m:rPr>
                        <w:rPr>
                          <w:rFonts w:hint="default" w:ascii="Times New Roman" w:hAnsi="Times New Roman" w:cs="Times New Roman"/>
                          <w:b w:val="0"/>
                          <w:i w:val="0"/>
                          <w:szCs w:val="36"/>
                          <w:lang w:bidi="ar"/>
                        </w:rPr>
                        <m:t>|</m:t>
                      </m:r>
                      <m:ctrlPr>
                        <w:rPr>
                          <w:rFonts w:hint="default" w:ascii="Cambria Math" w:hAnsi="Cambria Math" w:cs="Times New Roman"/>
                          <w:szCs w:val="36"/>
                          <w:lang w:bidi="ar"/>
                        </w:rPr>
                      </m:ctrlPr>
                    </m:e>
                  </m:nary>
                  <m:ctrlPr>
                    <w:rPr>
                      <w:rFonts w:hint="default" w:ascii="Cambria Math" w:hAnsi="Cambria Math" w:cs="Times New Roman"/>
                      <w:szCs w:val="36"/>
                      <w:lang w:bidi="ar"/>
                    </w:rPr>
                  </m:ctrlPr>
                </m:e>
              </m:nary>
              <m:ctrlPr>
                <w:rPr>
                  <w:rFonts w:hint="default" w:ascii="Cambria Math" w:hAnsi="Cambria Math" w:cs="Times New Roman"/>
                  <w:szCs w:val="36"/>
                  <w:lang w:bidi="ar"/>
                </w:rPr>
              </m:ctrlPr>
            </m:num>
            <m:den>
              <m:r>
                <m:rPr>
                  <m:nor/>
                  <m:sty m:val="p"/>
                </m:rPr>
                <w:rPr>
                  <w:rFonts w:hint="default" w:ascii="Times New Roman" w:hAnsi="Times New Roman" w:cs="Times New Roman"/>
                  <w:b w:val="0"/>
                  <w:i w:val="0"/>
                  <w:szCs w:val="36"/>
                  <w:lang w:bidi="ar"/>
                </w:rPr>
                <m:t>2</m:t>
              </m:r>
              <m:sSup>
                <m:sSupPr>
                  <m:ctrlPr>
                    <w:rPr>
                      <w:rFonts w:hint="default" w:ascii="Cambria Math" w:hAnsi="Cambria Math" w:cs="Times New Roman"/>
                      <w:szCs w:val="36"/>
                      <w:lang w:bidi="ar"/>
                    </w:rPr>
                  </m:ctrlPr>
                </m:sSupPr>
                <m:e>
                  <m:r>
                    <m:rPr>
                      <m:nor/>
                    </m:rPr>
                    <w:rPr>
                      <w:rFonts w:hint="default" w:ascii="Times New Roman" w:hAnsi="Times New Roman" w:cs="Times New Roman"/>
                      <w:i/>
                      <w:iCs/>
                      <w:szCs w:val="36"/>
                      <w:lang w:bidi="ar"/>
                    </w:rPr>
                    <m:t>n</m:t>
                  </m:r>
                  <m:ctrlPr>
                    <w:rPr>
                      <w:rFonts w:hint="default" w:ascii="Cambria Math" w:hAnsi="Cambria Math" w:cs="Times New Roman"/>
                      <w:szCs w:val="36"/>
                      <w:lang w:bidi="ar"/>
                    </w:rPr>
                  </m:ctrlPr>
                </m:e>
                <m:sup>
                  <m:r>
                    <m:rPr>
                      <m:nor/>
                      <m:sty m:val="p"/>
                    </m:rPr>
                    <w:rPr>
                      <w:rFonts w:hint="default" w:ascii="Times New Roman" w:hAnsi="Times New Roman" w:cs="Times New Roman"/>
                      <w:b w:val="0"/>
                      <w:i w:val="0"/>
                      <w:szCs w:val="36"/>
                      <w:lang w:bidi="ar"/>
                    </w:rPr>
                    <m:t>2</m:t>
                  </m:r>
                  <m:ctrlPr>
                    <w:rPr>
                      <w:rFonts w:hint="default" w:ascii="Cambria Math" w:hAnsi="Cambria Math" w:cs="Times New Roman"/>
                      <w:szCs w:val="36"/>
                      <w:lang w:bidi="ar"/>
                    </w:rPr>
                  </m:ctrlPr>
                </m:sup>
              </m:sSup>
              <m:bar>
                <m:barPr>
                  <m:pos m:val="top"/>
                  <m:ctrlPr>
                    <w:rPr>
                      <w:rFonts w:hint="default" w:ascii="Cambria Math" w:hAnsi="Cambria Math" w:cs="Times New Roman"/>
                      <w:i/>
                      <w:iCs/>
                      <w:szCs w:val="36"/>
                      <w:lang w:bidi="ar"/>
                    </w:rPr>
                  </m:ctrlPr>
                </m:barPr>
                <m:e>
                  <m:r>
                    <m:rPr>
                      <m:nor/>
                    </m:rPr>
                    <w:rPr>
                      <w:rFonts w:hint="default" w:ascii="Times New Roman" w:hAnsi="Times New Roman" w:cs="Times New Roman"/>
                      <w:i/>
                      <w:iCs/>
                      <w:szCs w:val="36"/>
                      <w:lang w:bidi="ar"/>
                    </w:rPr>
                    <m:t>x</m:t>
                  </m:r>
                  <m:ctrlPr>
                    <w:rPr>
                      <w:rFonts w:hint="default" w:ascii="Cambria Math" w:hAnsi="Cambria Math" w:cs="Times New Roman"/>
                      <w:i/>
                      <w:iCs/>
                      <w:szCs w:val="36"/>
                      <w:lang w:bidi="ar"/>
                    </w:rPr>
                  </m:ctrlPr>
                </m:e>
              </m:bar>
              <m:ctrlPr>
                <w:rPr>
                  <w:rFonts w:hint="default" w:ascii="Cambria Math" w:hAnsi="Cambria Math" w:cs="Times New Roman"/>
                  <w:szCs w:val="36"/>
                  <w:lang w:bidi="ar"/>
                </w:rPr>
              </m:ctrlPr>
            </m:den>
          </m:f>
        </m:oMath>
      </m:oMathPara>
    </w:p>
    <w:p w14:paraId="7F128F3D">
      <w:pPr>
        <w:keepNext w:val="0"/>
        <w:keepLines w:val="0"/>
        <w:pageBreakBefore w:val="0"/>
        <w:widowControl/>
        <w:kinsoku/>
        <w:wordWrap/>
        <w:overflowPunct/>
        <w:topLinePunct w:val="0"/>
        <w:autoSpaceDE/>
        <w:autoSpaceDN/>
        <w:bidi w:val="0"/>
        <w:adjustRightInd/>
        <w:snapToGrid/>
        <w:spacing w:before="0" w:after="0" w:line="300" w:lineRule="auto"/>
        <w:ind w:firstLine="480" w:firstLineChars="200"/>
        <w:textAlignment w:val="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Where</w:t>
      </w:r>
    </w:p>
    <w:p w14:paraId="08065E7C">
      <w:pPr>
        <w:keepNext w:val="0"/>
        <w:keepLines w:val="0"/>
        <w:pageBreakBefore w:val="0"/>
        <w:widowControl/>
        <w:kinsoku/>
        <w:wordWrap/>
        <w:overflowPunct/>
        <w:topLinePunct w:val="0"/>
        <w:autoSpaceDE/>
        <w:autoSpaceDN/>
        <w:bidi w:val="0"/>
        <w:adjustRightInd/>
        <w:snapToGrid/>
        <w:spacing w:before="0" w:after="0" w:line="300" w:lineRule="auto"/>
        <w:ind w:firstLine="480" w:firstLineChars="200"/>
        <w:textAlignment w:val="auto"/>
        <w:rPr>
          <w:rFonts w:hint="eastAsia" w:ascii="Times New Roman" w:hAnsi="Times New Roman" w:cs="Times New Roman" w:eastAsiaTheme="minorEastAsia"/>
          <w:sz w:val="24"/>
          <w:szCs w:val="32"/>
          <w:lang w:val="en-US" w:eastAsia="zh-CN"/>
        </w:rPr>
      </w:pPr>
      <w:r>
        <w:rPr>
          <w:rFonts w:hint="eastAsia" w:ascii="Times New Roman" w:hAnsi="Times New Roman" w:cs="Times New Roman"/>
          <w:i/>
          <w:iCs/>
          <w:sz w:val="24"/>
          <w:szCs w:val="32"/>
          <w:lang w:val="en-US" w:eastAsia="zh-CN"/>
        </w:rPr>
        <w:t xml:space="preserve">n </w:t>
      </w:r>
      <w:r>
        <w:rPr>
          <w:rFonts w:hint="default" w:ascii="Times New Roman" w:hAnsi="Times New Roman" w:cs="Times New Roman"/>
          <w:sz w:val="24"/>
          <w:szCs w:val="32"/>
        </w:rPr>
        <w:t>denotes the total number of source universities represented in the relevant year</w:t>
      </w:r>
      <w:r>
        <w:rPr>
          <w:rFonts w:hint="eastAsia" w:ascii="Times New Roman" w:hAnsi="Times New Roman" w:cs="Times New Roman"/>
          <w:sz w:val="24"/>
          <w:szCs w:val="32"/>
          <w:lang w:val="en-US" w:eastAsia="zh-CN"/>
        </w:rPr>
        <w:t>.</w:t>
      </w:r>
    </w:p>
    <w:p w14:paraId="776366BA">
      <w:pPr>
        <w:keepNext w:val="0"/>
        <w:keepLines w:val="0"/>
        <w:pageBreakBefore w:val="0"/>
        <w:widowControl/>
        <w:kinsoku/>
        <w:wordWrap/>
        <w:overflowPunct/>
        <w:topLinePunct w:val="0"/>
        <w:autoSpaceDE/>
        <w:autoSpaceDN/>
        <w:bidi w:val="0"/>
        <w:adjustRightInd/>
        <w:snapToGrid/>
        <w:spacing w:before="0" w:after="0" w:line="300" w:lineRule="auto"/>
        <w:ind w:firstLine="480" w:firstLineChars="200"/>
        <w:textAlignment w:val="auto"/>
        <w:rPr>
          <w:rFonts w:hint="eastAsia" w:ascii="Times New Roman" w:hAnsi="Times New Roman" w:cs="Times New Roman" w:eastAsiaTheme="minorEastAsia"/>
          <w:sz w:val="24"/>
          <w:szCs w:val="32"/>
          <w:lang w:val="en-US" w:eastAsia="zh-CN"/>
        </w:rPr>
      </w:pPr>
      <w:r>
        <w:rPr>
          <w:rFonts w:hint="default" w:ascii="Times New Roman" w:hAnsi="Times New Roman" w:cs="Times New Roman"/>
          <w:sz w:val="24"/>
          <w:szCs w:val="32"/>
        </w:rPr>
        <w:t>X</w:t>
      </w:r>
      <w:r>
        <w:rPr>
          <w:rFonts w:hint="default" w:ascii="Times New Roman" w:hAnsi="Times New Roman" w:cs="Times New Roman"/>
          <w:i/>
          <w:iCs/>
          <w:sz w:val="24"/>
          <w:szCs w:val="32"/>
          <w:vertAlign w:val="subscript"/>
        </w:rPr>
        <w:t>i</w:t>
      </w:r>
      <w:r>
        <w:rPr>
          <w:rFonts w:hint="eastAsia" w:ascii="Times New Roman" w:hAnsi="Times New Roman" w:cs="Times New Roman"/>
          <w:sz w:val="24"/>
          <w:szCs w:val="32"/>
          <w:lang w:val="en-US" w:eastAsia="zh-CN"/>
        </w:rPr>
        <w:t xml:space="preserve"> </w:t>
      </w:r>
      <w:r>
        <w:rPr>
          <w:rFonts w:hint="default" w:ascii="Times New Roman" w:hAnsi="Times New Roman" w:cs="Times New Roman"/>
          <w:sz w:val="24"/>
          <w:szCs w:val="32"/>
        </w:rPr>
        <w:t>denotes the number of elite-position holders originating from university i in that year</w:t>
      </w:r>
      <w:r>
        <w:rPr>
          <w:rFonts w:hint="eastAsia" w:ascii="Times New Roman" w:hAnsi="Times New Roman" w:cs="Times New Roman"/>
          <w:sz w:val="24"/>
          <w:szCs w:val="32"/>
          <w:lang w:val="en-US" w:eastAsia="zh-CN"/>
        </w:rPr>
        <w:t>.</w:t>
      </w:r>
    </w:p>
    <w:p w14:paraId="3B68E9CD">
      <w:pPr>
        <w:keepNext w:val="0"/>
        <w:keepLines w:val="0"/>
        <w:pageBreakBefore w:val="0"/>
        <w:widowControl/>
        <w:kinsoku/>
        <w:wordWrap/>
        <w:overflowPunct/>
        <w:topLinePunct w:val="0"/>
        <w:autoSpaceDE/>
        <w:autoSpaceDN/>
        <w:bidi w:val="0"/>
        <w:adjustRightInd/>
        <w:snapToGrid/>
        <w:spacing w:before="0" w:after="0" w:line="300" w:lineRule="auto"/>
        <w:ind w:firstLine="480" w:firstLineChars="200"/>
        <w:textAlignment w:val="auto"/>
        <w:rPr>
          <w:rFonts w:hint="eastAsia" w:ascii="Times New Roman" w:hAnsi="Times New Roman" w:cs="Times New Roman" w:eastAsiaTheme="minorEastAsia"/>
          <w:kern w:val="0"/>
          <w:sz w:val="24"/>
          <w:szCs w:val="36"/>
          <w:lang w:val="en-US" w:eastAsia="zh-CN" w:bidi="ar"/>
        </w:rPr>
      </w:pPr>
      <m:oMath>
        <m:r>
          <m:rPr>
            <m:nor/>
            <m:sty m:val="p"/>
          </m:rPr>
          <w:rPr>
            <w:rFonts w:hint="default" w:ascii="Times New Roman" w:hAnsi="Times New Roman" w:cs="Times New Roman"/>
            <w:b w:val="0"/>
            <w:i w:val="0"/>
            <w:kern w:val="0"/>
            <w:sz w:val="24"/>
            <w:szCs w:val="36"/>
            <w:lang w:bidi="ar"/>
          </w:rPr>
          <m:t>|</m:t>
        </m:r>
        <m:sSub>
          <m:sSubPr>
            <m:ctrlPr>
              <w:rPr>
                <w:rFonts w:hint="default" w:ascii="Cambria Math" w:hAnsi="Cambria Math" w:cs="Times New Roman"/>
                <w:i/>
                <w:iCs/>
                <w:kern w:val="0"/>
                <w:sz w:val="24"/>
                <w:szCs w:val="36"/>
                <w:lang w:bidi="ar"/>
              </w:rPr>
            </m:ctrlPr>
          </m:sSubPr>
          <m:e>
            <m:r>
              <m:rPr>
                <m:nor/>
              </m:rPr>
              <w:rPr>
                <w:rFonts w:hint="default" w:ascii="Times New Roman" w:hAnsi="Times New Roman" w:cs="Times New Roman"/>
                <w:i/>
                <w:iCs/>
                <w:kern w:val="0"/>
                <w:sz w:val="24"/>
                <w:szCs w:val="36"/>
                <w:lang w:bidi="ar"/>
              </w:rPr>
              <m:t>x</m:t>
            </m:r>
            <m:ctrlPr>
              <w:rPr>
                <w:rFonts w:hint="default" w:ascii="Cambria Math" w:hAnsi="Cambria Math" w:cs="Times New Roman"/>
                <w:i/>
                <w:iCs/>
                <w:kern w:val="0"/>
                <w:sz w:val="24"/>
                <w:szCs w:val="36"/>
                <w:lang w:bidi="ar"/>
              </w:rPr>
            </m:ctrlPr>
          </m:e>
          <m:sub>
            <m:r>
              <m:rPr>
                <m:nor/>
              </m:rPr>
              <w:rPr>
                <w:rFonts w:hint="default" w:ascii="Times New Roman" w:hAnsi="Times New Roman" w:cs="Times New Roman"/>
                <w:i/>
                <w:iCs/>
                <w:kern w:val="0"/>
                <w:sz w:val="24"/>
                <w:szCs w:val="36"/>
                <w:lang w:bidi="ar"/>
              </w:rPr>
              <m:t>i</m:t>
            </m:r>
            <m:ctrlPr>
              <w:rPr>
                <w:rFonts w:hint="default" w:ascii="Cambria Math" w:hAnsi="Cambria Math" w:cs="Times New Roman"/>
                <w:i/>
                <w:iCs/>
                <w:kern w:val="0"/>
                <w:sz w:val="24"/>
                <w:szCs w:val="36"/>
                <w:lang w:bidi="ar"/>
              </w:rPr>
            </m:ctrlPr>
          </m:sub>
        </m:sSub>
        <m:r>
          <m:rPr>
            <m:nor/>
            <m:sty m:val="p"/>
          </m:rPr>
          <w:rPr>
            <w:rFonts w:hint="default" w:ascii="Times New Roman" w:hAnsi="Times New Roman" w:cs="Times New Roman"/>
            <w:b w:val="0"/>
            <w:i w:val="0"/>
            <w:kern w:val="0"/>
            <w:sz w:val="24"/>
            <w:szCs w:val="36"/>
            <w:lang w:bidi="ar"/>
          </w:rPr>
          <m:t>-</m:t>
        </m:r>
        <m:sSub>
          <m:sSubPr>
            <m:ctrlPr>
              <w:rPr>
                <w:rFonts w:hint="default" w:ascii="Cambria Math" w:hAnsi="Cambria Math" w:cs="Times New Roman"/>
                <w:i/>
                <w:iCs/>
                <w:kern w:val="0"/>
                <w:sz w:val="24"/>
                <w:szCs w:val="36"/>
                <w:lang w:bidi="ar"/>
              </w:rPr>
            </m:ctrlPr>
          </m:sSubPr>
          <m:e>
            <m:r>
              <m:rPr>
                <m:nor/>
              </m:rPr>
              <w:rPr>
                <w:rFonts w:hint="default" w:ascii="Times New Roman" w:hAnsi="Times New Roman" w:cs="Times New Roman"/>
                <w:i/>
                <w:iCs/>
                <w:kern w:val="0"/>
                <w:sz w:val="24"/>
                <w:szCs w:val="36"/>
                <w:lang w:bidi="ar"/>
              </w:rPr>
              <m:t>x</m:t>
            </m:r>
            <m:ctrlPr>
              <w:rPr>
                <w:rFonts w:hint="default" w:ascii="Cambria Math" w:hAnsi="Cambria Math" w:cs="Times New Roman"/>
                <w:i/>
                <w:iCs/>
                <w:kern w:val="0"/>
                <w:sz w:val="24"/>
                <w:szCs w:val="36"/>
                <w:lang w:bidi="ar"/>
              </w:rPr>
            </m:ctrlPr>
          </m:e>
          <m:sub>
            <m:r>
              <m:rPr>
                <m:nor/>
              </m:rPr>
              <w:rPr>
                <w:rFonts w:hint="default" w:ascii="Times New Roman" w:hAnsi="Times New Roman" w:cs="Times New Roman"/>
                <w:i/>
                <w:iCs/>
                <w:kern w:val="0"/>
                <w:sz w:val="24"/>
                <w:szCs w:val="36"/>
                <w:lang w:bidi="ar"/>
              </w:rPr>
              <m:t>j</m:t>
            </m:r>
            <m:ctrlPr>
              <w:rPr>
                <w:rFonts w:hint="default" w:ascii="Cambria Math" w:hAnsi="Cambria Math" w:cs="Times New Roman"/>
                <w:i/>
                <w:iCs/>
                <w:kern w:val="0"/>
                <w:sz w:val="24"/>
                <w:szCs w:val="36"/>
                <w:lang w:bidi="ar"/>
              </w:rPr>
            </m:ctrlPr>
          </m:sub>
        </m:sSub>
        <m:r>
          <m:rPr>
            <m:nor/>
            <m:sty m:val="p"/>
          </m:rPr>
          <w:rPr>
            <w:rFonts w:hint="default" w:ascii="Times New Roman" w:hAnsi="Times New Roman" w:cs="Times New Roman"/>
            <w:b w:val="0"/>
            <w:i w:val="0"/>
            <w:kern w:val="0"/>
            <w:sz w:val="24"/>
            <w:szCs w:val="36"/>
            <w:lang w:bidi="ar"/>
          </w:rPr>
          <m:t>|</m:t>
        </m:r>
      </m:oMath>
      <w:r>
        <w:rPr>
          <w:rFonts w:hint="eastAsia" w:hAnsi="Times New Roman" w:cs="Times New Roman"/>
          <w:b w:val="0"/>
          <w:i w:val="0"/>
          <w:kern w:val="0"/>
          <w:sz w:val="24"/>
          <w:szCs w:val="36"/>
          <w:lang w:val="en-US" w:eastAsia="zh-CN" w:bidi="ar"/>
        </w:rPr>
        <w:t xml:space="preserve"> </w:t>
      </w:r>
      <w:r>
        <w:rPr>
          <w:rFonts w:hint="default" w:ascii="Times New Roman" w:hAnsi="Times New Roman" w:cs="Times New Roman"/>
          <w:kern w:val="0"/>
          <w:sz w:val="24"/>
          <w:szCs w:val="36"/>
          <w:lang w:bidi="ar"/>
        </w:rPr>
        <w:t>denotes the difference in the number of elite-position holders originating from any two universities</w:t>
      </w:r>
      <w:r>
        <w:rPr>
          <w:rFonts w:hint="eastAsia" w:ascii="Times New Roman" w:hAnsi="Times New Roman" w:cs="Times New Roman"/>
          <w:kern w:val="0"/>
          <w:sz w:val="24"/>
          <w:szCs w:val="36"/>
          <w:lang w:val="en-US" w:eastAsia="zh-CN" w:bidi="ar"/>
        </w:rPr>
        <w:t>.</w:t>
      </w:r>
    </w:p>
    <w:p w14:paraId="42DE3D9B">
      <w:pPr>
        <w:keepNext w:val="0"/>
        <w:keepLines w:val="0"/>
        <w:pageBreakBefore w:val="0"/>
        <w:widowControl/>
        <w:kinsoku/>
        <w:wordWrap/>
        <w:overflowPunct/>
        <w:topLinePunct w:val="0"/>
        <w:autoSpaceDE/>
        <w:autoSpaceDN/>
        <w:bidi w:val="0"/>
        <w:adjustRightInd/>
        <w:snapToGrid/>
        <w:spacing w:before="0" w:after="0" w:line="300" w:lineRule="auto"/>
        <w:ind w:firstLine="480" w:firstLineChars="200"/>
        <w:textAlignment w:val="auto"/>
        <w:rPr>
          <w:rFonts w:hint="eastAsia" w:ascii="Times New Roman" w:hAnsi="Times New Roman" w:cs="Times New Roman" w:eastAsiaTheme="minorEastAsia"/>
          <w:iCs/>
          <w:kern w:val="0"/>
          <w:sz w:val="24"/>
          <w:szCs w:val="36"/>
          <w:lang w:val="en-US" w:eastAsia="zh-CN" w:bidi="ar"/>
        </w:rPr>
      </w:pPr>
      <m:oMath>
        <m:bar>
          <m:barPr>
            <m:pos m:val="top"/>
            <m:ctrlPr>
              <w:rPr>
                <w:rFonts w:hint="default" w:ascii="Cambria Math" w:hAnsi="Cambria Math" w:cs="Times New Roman"/>
                <w:i/>
                <w:iCs/>
                <w:kern w:val="0"/>
                <w:sz w:val="24"/>
                <w:szCs w:val="36"/>
                <w:lang w:bidi="ar"/>
              </w:rPr>
            </m:ctrlPr>
          </m:barPr>
          <m:e>
            <m:r>
              <m:rPr>
                <m:nor/>
              </m:rPr>
              <w:rPr>
                <w:rFonts w:hint="default" w:ascii="Times New Roman" w:hAnsi="Times New Roman" w:cs="Times New Roman"/>
                <w:i/>
                <w:iCs/>
                <w:kern w:val="0"/>
                <w:sz w:val="24"/>
                <w:szCs w:val="36"/>
                <w:lang w:bidi="ar"/>
              </w:rPr>
              <m:t>x</m:t>
            </m:r>
            <m:ctrlPr>
              <w:rPr>
                <w:rFonts w:hint="default" w:ascii="Cambria Math" w:hAnsi="Cambria Math" w:cs="Times New Roman"/>
                <w:i/>
                <w:iCs/>
                <w:kern w:val="0"/>
                <w:sz w:val="24"/>
                <w:szCs w:val="36"/>
                <w:lang w:bidi="ar"/>
              </w:rPr>
            </m:ctrlPr>
          </m:e>
        </m:bar>
      </m:oMath>
      <w:r>
        <w:rPr>
          <w:rFonts w:hint="eastAsia" w:hAnsi="Cambria Math" w:cs="Times New Roman"/>
          <w:i w:val="0"/>
          <w:iCs/>
          <w:kern w:val="0"/>
          <w:sz w:val="24"/>
          <w:szCs w:val="36"/>
          <w:lang w:val="en-US" w:eastAsia="zh-CN" w:bidi="ar"/>
        </w:rPr>
        <w:t xml:space="preserve"> </w:t>
      </w:r>
      <w:r>
        <w:rPr>
          <w:rFonts w:hint="default" w:ascii="Times New Roman" w:hAnsi="Times New Roman" w:cs="Times New Roman"/>
          <w:iCs/>
          <w:kern w:val="0"/>
          <w:sz w:val="24"/>
          <w:szCs w:val="36"/>
          <w:lang w:bidi="ar"/>
        </w:rPr>
        <w:t>denotes the mean number of elite-position holders across all source universities in that year</w:t>
      </w:r>
      <w:r>
        <w:rPr>
          <w:rFonts w:hint="eastAsia" w:ascii="Times New Roman" w:hAnsi="Times New Roman" w:cs="Times New Roman"/>
          <w:iCs/>
          <w:kern w:val="0"/>
          <w:sz w:val="24"/>
          <w:szCs w:val="36"/>
          <w:lang w:val="en-US" w:eastAsia="zh-CN" w:bidi="ar"/>
        </w:rPr>
        <w:t>.</w:t>
      </w:r>
    </w:p>
    <w:p w14:paraId="62EE3EDF">
      <w:pPr>
        <w:keepNext w:val="0"/>
        <w:keepLines w:val="0"/>
        <w:pageBreakBefore w:val="0"/>
        <w:widowControl/>
        <w:kinsoku/>
        <w:wordWrap/>
        <w:overflowPunct/>
        <w:topLinePunct w:val="0"/>
        <w:autoSpaceDE/>
        <w:autoSpaceDN/>
        <w:bidi w:val="0"/>
        <w:adjustRightInd/>
        <w:snapToGrid/>
        <w:spacing w:before="0" w:after="0" w:line="300" w:lineRule="auto"/>
        <w:ind w:firstLine="480" w:firstLineChars="200"/>
        <w:textAlignment w:val="auto"/>
        <w:rPr>
          <w:rFonts w:hint="default" w:ascii="Times New Roman" w:hAnsi="Times New Roman" w:cs="Times New Roman"/>
          <w:sz w:val="24"/>
        </w:rPr>
      </w:pPr>
      <w:bookmarkStart w:id="0" w:name="OLE_LINK23"/>
      <w:r>
        <w:rPr>
          <w:rFonts w:hint="default" w:ascii="Times New Roman" w:hAnsi="Times New Roman" w:cs="Times New Roman"/>
          <w:sz w:val="24"/>
        </w:rPr>
        <w:t>The Theil index also measures inequality in the distribution of elite positions across source universities and is relatively sensitive to institutions accounting for larger shares. It was calculated as</w:t>
      </w:r>
    </w:p>
    <w:p w14:paraId="68EEC980">
      <w:pPr>
        <w:widowControl/>
        <w:spacing w:line="300" w:lineRule="auto"/>
        <w:rPr>
          <w:rFonts w:hint="default" w:ascii="Times New Roman" w:hAnsi="Times New Roman" w:cs="Times New Roman"/>
          <w:sz w:val="24"/>
        </w:rPr>
      </w:pPr>
      <m:oMathPara>
        <m:oMath>
          <m:sSub>
            <m:sSubPr>
              <m:ctrlPr>
                <w:rPr>
                  <w:rFonts w:hint="default" w:ascii="Cambria Math" w:hAnsi="Cambria Math" w:cs="Times New Roman"/>
                  <w:sz w:val="24"/>
                </w:rPr>
              </m:ctrlPr>
            </m:sSubPr>
            <m:e>
              <m:r>
                <m:rPr>
                  <m:nor/>
                  <m:sty m:val="p"/>
                </m:rPr>
                <w:rPr>
                  <w:rFonts w:hint="default" w:ascii="Times New Roman" w:hAnsi="Times New Roman" w:cs="Times New Roman"/>
                  <w:b w:val="0"/>
                  <w:i w:val="0"/>
                  <w:sz w:val="24"/>
                </w:rPr>
                <m:t>Theil</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t</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 xml:space="preserve">= </m:t>
          </m:r>
          <m:nary>
            <m:naryPr>
              <m:chr m:val="∑"/>
              <m:limLoc m:val="undOvr"/>
              <m:ctrlPr>
                <w:rPr>
                  <w:rFonts w:hint="default" w:ascii="Cambria Math" w:hAnsi="Cambria Math" w:cs="Times New Roman"/>
                  <w:sz w:val="24"/>
                </w:rPr>
              </m:ctrlPr>
            </m:naryPr>
            <m:sub>
              <m:r>
                <m:rPr>
                  <m:nor/>
                </m:rPr>
                <w:rPr>
                  <w:rFonts w:hint="default" w:ascii="Times New Roman" w:hAnsi="Times New Roman" w:cs="Times New Roman"/>
                  <w:i/>
                  <w:sz w:val="24"/>
                </w:rPr>
                <m:t>i</m:t>
              </m:r>
              <m:r>
                <m:rPr>
                  <m:nor/>
                  <m:sty m:val="p"/>
                </m:rPr>
                <w:rPr>
                  <w:rFonts w:hint="default" w:ascii="Times New Roman" w:hAnsi="Times New Roman" w:cs="Times New Roman"/>
                  <w:b w:val="0"/>
                  <w:i w:val="0"/>
                  <w:sz w:val="24"/>
                </w:rPr>
                <m:t>=1</m:t>
              </m:r>
              <m:ctrlPr>
                <w:rPr>
                  <w:rFonts w:hint="default" w:ascii="Cambria Math" w:hAnsi="Cambria Math" w:cs="Times New Roman"/>
                  <w:sz w:val="24"/>
                </w:rPr>
              </m:ctrlPr>
            </m:sub>
            <m:sup>
              <m:sSub>
                <m:sSubPr>
                  <m:ctrlPr>
                    <w:rPr>
                      <w:rFonts w:hint="default" w:ascii="Cambria Math" w:hAnsi="Cambria Math" w:cs="Times New Roman"/>
                      <w:i/>
                      <w:iCs/>
                      <w:sz w:val="24"/>
                    </w:rPr>
                  </m:ctrlPr>
                </m:sSubPr>
                <m:e>
                  <m:r>
                    <m:rPr>
                      <m:nor/>
                    </m:rPr>
                    <w:rPr>
                      <w:rFonts w:hint="default" w:ascii="Times New Roman" w:hAnsi="Times New Roman" w:cs="Times New Roman"/>
                      <w:i/>
                      <w:sz w:val="24"/>
                    </w:rPr>
                    <m:t>N</m:t>
                  </m:r>
                  <m:ctrlPr>
                    <w:rPr>
                      <w:rFonts w:hint="default" w:ascii="Cambria Math" w:hAnsi="Cambria Math" w:cs="Times New Roman"/>
                      <w:i/>
                      <w:iCs/>
                      <w:sz w:val="24"/>
                    </w:rPr>
                  </m:ctrlPr>
                </m:e>
                <m:sub>
                  <m:r>
                    <m:rPr>
                      <m:nor/>
                    </m:rPr>
                    <w:rPr>
                      <w:rFonts w:hint="default" w:ascii="Times New Roman" w:hAnsi="Times New Roman" w:cs="Times New Roman"/>
                      <w:i/>
                      <w:sz w:val="24"/>
                    </w:rPr>
                    <m:t>t</m:t>
                  </m:r>
                  <m:ctrlPr>
                    <w:rPr>
                      <w:rFonts w:hint="default" w:ascii="Cambria Math" w:hAnsi="Cambria Math" w:cs="Times New Roman"/>
                      <w:i/>
                      <w:iCs/>
                      <w:sz w:val="24"/>
                    </w:rPr>
                  </m:ctrlPr>
                </m:sub>
              </m:sSub>
              <m:ctrlPr>
                <w:rPr>
                  <w:rFonts w:hint="default" w:ascii="Cambria Math" w:hAnsi="Cambria Math" w:cs="Times New Roman"/>
                  <w:sz w:val="24"/>
                </w:rPr>
              </m:ctrlPr>
            </m:sup>
            <m:e>
              <m:d>
                <m:dPr>
                  <m:ctrlPr>
                    <w:rPr>
                      <w:rFonts w:hint="default" w:ascii="Cambria Math" w:hAnsi="Cambria Math" w:cs="Times New Roman"/>
                      <w:sz w:val="24"/>
                    </w:rPr>
                  </m:ctrlPr>
                </m:dPr>
                <m:e>
                  <m:f>
                    <m:fPr>
                      <m:ctrlPr>
                        <w:rPr>
                          <w:rFonts w:hint="default" w:ascii="Cambria Math" w:hAnsi="Cambria Math" w:cs="Times New Roman"/>
                          <w:sz w:val="24"/>
                        </w:rPr>
                      </m:ctrlPr>
                    </m:fPr>
                    <m:num>
                      <m:sSub>
                        <m:sSubPr>
                          <m:ctrlPr>
                            <w:rPr>
                              <w:rFonts w:hint="default" w:ascii="Cambria Math" w:hAnsi="Cambria Math" w:cs="Times New Roman"/>
                              <w:sz w:val="24"/>
                            </w:rPr>
                          </m:ctrlPr>
                        </m:sSubPr>
                        <m:e>
                          <m:r>
                            <m:rPr>
                              <m:nor/>
                              <m:sty m:val="p"/>
                            </m:rPr>
                            <w:rPr>
                              <w:rFonts w:hint="default" w:ascii="Times New Roman" w:hAnsi="Times New Roman" w:cs="Times New Roman"/>
                              <w:b w:val="0"/>
                              <w:i w:val="0"/>
                              <w:sz w:val="24"/>
                            </w:rPr>
                            <m:t>n</m:t>
                          </m:r>
                          <m:ctrlPr>
                            <w:rPr>
                              <w:rFonts w:hint="default" w:ascii="Cambria Math" w:hAnsi="Cambria Math" w:cs="Times New Roman"/>
                              <w:sz w:val="24"/>
                            </w:rPr>
                          </m:ctrlPr>
                        </m:e>
                        <m:sub>
                          <m:r>
                            <m:rPr>
                              <m:nor/>
                            </m:rPr>
                            <w:rPr>
                              <w:rFonts w:hint="default" w:ascii="Times New Roman" w:hAnsi="Times New Roman" w:cs="Times New Roman"/>
                              <w:i/>
                              <w:sz w:val="24"/>
                            </w:rPr>
                            <m:t>it</m:t>
                          </m:r>
                          <m:ctrlPr>
                            <w:rPr>
                              <w:rFonts w:hint="default" w:ascii="Cambria Math" w:hAnsi="Cambria Math" w:cs="Times New Roman"/>
                              <w:sz w:val="24"/>
                            </w:rPr>
                          </m:ctrlPr>
                        </m:sub>
                      </m:sSub>
                      <m:ctrlPr>
                        <w:rPr>
                          <w:rFonts w:hint="default" w:ascii="Cambria Math" w:hAnsi="Cambria Math" w:cs="Times New Roman"/>
                          <w:sz w:val="24"/>
                        </w:rPr>
                      </m:ctrlPr>
                    </m:num>
                    <m:den>
                      <m:sSubSup>
                        <m:sSubSupPr>
                          <m:ctrlPr>
                            <w:rPr>
                              <w:rFonts w:hint="default" w:ascii="Cambria Math" w:hAnsi="Cambria Math" w:cs="Times New Roman"/>
                              <w:sz w:val="24"/>
                            </w:rPr>
                          </m:ctrlPr>
                        </m:sSubSupPr>
                        <m:e>
                          <m:r>
                            <m:rPr>
                              <m:nor/>
                              <m:sty m:val="p"/>
                            </m:rPr>
                            <w:rPr>
                              <w:rFonts w:hint="default" w:ascii="Times New Roman" w:hAnsi="Times New Roman" w:cs="Times New Roman"/>
                              <w:b w:val="0"/>
                              <w:i w:val="0"/>
                              <w:sz w:val="24"/>
                            </w:rPr>
                            <m:t>T</m:t>
                          </m:r>
                          <m:ctrlPr>
                            <w:rPr>
                              <w:rFonts w:hint="default" w:ascii="Cambria Math" w:hAnsi="Cambria Math" w:cs="Times New Roman"/>
                              <w:sz w:val="24"/>
                            </w:rPr>
                          </m:ctrlPr>
                        </m:e>
                        <m:sub>
                          <m:r>
                            <m:rPr>
                              <m:nor/>
                            </m:rPr>
                            <w:rPr>
                              <w:rFonts w:hint="default" w:ascii="Times New Roman" w:hAnsi="Times New Roman" w:cs="Times New Roman"/>
                              <w:i/>
                              <w:sz w:val="24"/>
                            </w:rPr>
                            <m:t>t</m:t>
                          </m:r>
                          <m:ctrlPr>
                            <w:rPr>
                              <w:rFonts w:hint="default" w:ascii="Cambria Math" w:hAnsi="Cambria Math" w:cs="Times New Roman"/>
                              <w:sz w:val="24"/>
                            </w:rPr>
                          </m:ctrlPr>
                        </m:sub>
                        <m:sup>
                          <m:r>
                            <m:rPr>
                              <m:nor/>
                              <m:sty m:val="p"/>
                            </m:rPr>
                            <w:rPr>
                              <w:rFonts w:hint="default" w:ascii="Times New Roman" w:hAnsi="Times New Roman" w:cs="Times New Roman"/>
                              <w:b w:val="0"/>
                              <w:i w:val="0"/>
                              <w:sz w:val="24"/>
                            </w:rPr>
                            <m:t>total</m:t>
                          </m:r>
                          <m:ctrlPr>
                            <w:rPr>
                              <w:rFonts w:hint="default" w:ascii="Cambria Math" w:hAnsi="Cambria Math" w:cs="Times New Roman"/>
                              <w:sz w:val="24"/>
                            </w:rPr>
                          </m:ctrlPr>
                        </m:sup>
                      </m:sSubSup>
                      <m:ctrlPr>
                        <w:rPr>
                          <w:rFonts w:hint="default" w:ascii="Cambria Math" w:hAnsi="Cambria Math" w:cs="Times New Roman"/>
                          <w:sz w:val="24"/>
                        </w:rPr>
                      </m:ctrlPr>
                    </m:den>
                  </m:f>
                  <m:r>
                    <m:rPr>
                      <m:nor/>
                      <m:sty m:val="p"/>
                    </m:rPr>
                    <w:rPr>
                      <w:rFonts w:hint="default" w:ascii="Times New Roman" w:hAnsi="Times New Roman" w:cs="Times New Roman"/>
                      <w:b w:val="0"/>
                      <w:i w:val="0"/>
                      <w:sz w:val="24"/>
                    </w:rPr>
                    <m:t xml:space="preserve"> ⋅ln</m:t>
                  </m:r>
                  <m:d>
                    <m:dPr>
                      <m:ctrlPr>
                        <w:rPr>
                          <w:rFonts w:hint="default" w:ascii="Cambria Math" w:hAnsi="Cambria Math" w:cs="Times New Roman"/>
                          <w:sz w:val="24"/>
                        </w:rPr>
                      </m:ctrlPr>
                    </m:dPr>
                    <m:e>
                      <m:f>
                        <m:fPr>
                          <m:ctrlPr>
                            <w:rPr>
                              <w:rFonts w:hint="default" w:ascii="Cambria Math" w:hAnsi="Cambria Math" w:cs="Times New Roman"/>
                              <w:sz w:val="24"/>
                            </w:rPr>
                          </m:ctrlPr>
                        </m:fPr>
                        <m:num>
                          <m:sSub>
                            <m:sSubPr>
                              <m:ctrlPr>
                                <w:rPr>
                                  <w:rFonts w:hint="default" w:ascii="Cambria Math" w:hAnsi="Cambria Math" w:cs="Times New Roman"/>
                                  <w:sz w:val="24"/>
                                </w:rPr>
                              </m:ctrlPr>
                            </m:sSubPr>
                            <m:e>
                              <m:r>
                                <m:rPr>
                                  <m:nor/>
                                  <m:sty m:val="p"/>
                                </m:rPr>
                                <w:rPr>
                                  <w:rFonts w:hint="default" w:ascii="Times New Roman" w:hAnsi="Times New Roman" w:cs="Times New Roman"/>
                                  <w:b w:val="0"/>
                                  <w:i w:val="0"/>
                                  <w:sz w:val="24"/>
                                </w:rPr>
                                <m:t>n</m:t>
                              </m:r>
                              <m:ctrlPr>
                                <w:rPr>
                                  <w:rFonts w:hint="default" w:ascii="Cambria Math" w:hAnsi="Cambria Math" w:cs="Times New Roman"/>
                                  <w:sz w:val="24"/>
                                </w:rPr>
                              </m:ctrlPr>
                            </m:e>
                            <m:sub>
                              <m:r>
                                <m:rPr>
                                  <m:nor/>
                                </m:rPr>
                                <w:rPr>
                                  <w:rFonts w:hint="default" w:ascii="Times New Roman" w:hAnsi="Times New Roman" w:cs="Times New Roman"/>
                                  <w:i/>
                                  <w:sz w:val="24"/>
                                </w:rPr>
                                <m:t>it</m:t>
                              </m:r>
                              <m:ctrlPr>
                                <w:rPr>
                                  <w:rFonts w:hint="default" w:ascii="Cambria Math" w:hAnsi="Cambria Math" w:cs="Times New Roman"/>
                                  <w:sz w:val="24"/>
                                </w:rPr>
                              </m:ctrlPr>
                            </m:sub>
                          </m:sSub>
                          <m:ctrlPr>
                            <w:rPr>
                              <w:rFonts w:hint="default" w:ascii="Cambria Math" w:hAnsi="Cambria Math" w:cs="Times New Roman"/>
                              <w:sz w:val="24"/>
                            </w:rPr>
                          </m:ctrlPr>
                        </m:num>
                        <m:den>
                          <m:sSubSup>
                            <m:sSubSupPr>
                              <m:ctrlPr>
                                <w:rPr>
                                  <w:rFonts w:hint="default" w:ascii="Cambria Math" w:hAnsi="Cambria Math" w:cs="Times New Roman"/>
                                  <w:sz w:val="24"/>
                                </w:rPr>
                              </m:ctrlPr>
                            </m:sSubSupPr>
                            <m:e>
                              <m:r>
                                <m:rPr>
                                  <m:nor/>
                                  <m:sty m:val="p"/>
                                </m:rPr>
                                <w:rPr>
                                  <w:rFonts w:hint="default" w:ascii="Times New Roman" w:hAnsi="Times New Roman" w:cs="Times New Roman"/>
                                  <w:b w:val="0"/>
                                  <w:i w:val="0"/>
                                  <w:sz w:val="24"/>
                                </w:rPr>
                                <m:t>T</m:t>
                              </m:r>
                              <m:ctrlPr>
                                <w:rPr>
                                  <w:rFonts w:hint="default" w:ascii="Cambria Math" w:hAnsi="Cambria Math" w:cs="Times New Roman"/>
                                  <w:sz w:val="24"/>
                                </w:rPr>
                              </m:ctrlPr>
                            </m:e>
                            <m:sub>
                              <m:r>
                                <m:rPr>
                                  <m:nor/>
                                </m:rPr>
                                <w:rPr>
                                  <w:rFonts w:hint="default" w:ascii="Times New Roman" w:hAnsi="Times New Roman" w:cs="Times New Roman"/>
                                  <w:i/>
                                  <w:sz w:val="24"/>
                                </w:rPr>
                                <m:t>t</m:t>
                              </m:r>
                              <m:ctrlPr>
                                <w:rPr>
                                  <w:rFonts w:hint="default" w:ascii="Cambria Math" w:hAnsi="Cambria Math" w:cs="Times New Roman"/>
                                  <w:sz w:val="24"/>
                                </w:rPr>
                              </m:ctrlPr>
                            </m:sub>
                            <m:sup>
                              <m:r>
                                <m:rPr>
                                  <m:nor/>
                                  <m:sty m:val="p"/>
                                </m:rPr>
                                <w:rPr>
                                  <w:rFonts w:hint="default" w:ascii="Times New Roman" w:hAnsi="Times New Roman" w:cs="Times New Roman"/>
                                  <w:b w:val="0"/>
                                  <w:i w:val="0"/>
                                  <w:sz w:val="24"/>
                                </w:rPr>
                                <m:t>total</m:t>
                              </m:r>
                              <m:ctrlPr>
                                <w:rPr>
                                  <w:rFonts w:hint="default" w:ascii="Cambria Math" w:hAnsi="Cambria Math" w:cs="Times New Roman"/>
                                  <w:sz w:val="24"/>
                                </w:rPr>
                              </m:ctrlPr>
                            </m:sup>
                          </m:sSubSup>
                          <m:ctrlPr>
                            <w:rPr>
                              <w:rFonts w:hint="default" w:ascii="Cambria Math" w:hAnsi="Cambria Math" w:cs="Times New Roman"/>
                              <w:sz w:val="24"/>
                            </w:rPr>
                          </m:ctrlPr>
                        </m:den>
                      </m:f>
                      <m:r>
                        <m:rPr>
                          <m:nor/>
                          <m:sty m:val="p"/>
                        </m:rPr>
                        <w:rPr>
                          <w:rFonts w:hint="default" w:ascii="Times New Roman" w:hAnsi="Times New Roman" w:cs="Times New Roman"/>
                          <w:b w:val="0"/>
                          <w:i w:val="0"/>
                          <w:sz w:val="24"/>
                        </w:rPr>
                        <m:t>⋅</m:t>
                      </m:r>
                      <m:sSub>
                        <m:sSubPr>
                          <m:ctrlPr>
                            <w:rPr>
                              <w:rFonts w:hint="default" w:ascii="Cambria Math" w:hAnsi="Cambria Math" w:cs="Times New Roman"/>
                              <w:sz w:val="24"/>
                            </w:rPr>
                          </m:ctrlPr>
                        </m:sSubPr>
                        <m:e>
                          <m:r>
                            <m:rPr>
                              <m:nor/>
                              <m:sty m:val="p"/>
                            </m:rPr>
                            <w:rPr>
                              <w:rFonts w:hint="default" w:ascii="Times New Roman" w:hAnsi="Times New Roman" w:cs="Times New Roman"/>
                              <w:b w:val="0"/>
                              <w:i w:val="0"/>
                              <w:sz w:val="24"/>
                            </w:rPr>
                            <m:t>N</m:t>
                          </m:r>
                          <m:ctrlPr>
                            <w:rPr>
                              <w:rFonts w:hint="default" w:ascii="Cambria Math" w:hAnsi="Cambria Math" w:cs="Times New Roman"/>
                              <w:sz w:val="24"/>
                            </w:rPr>
                          </m:ctrlPr>
                        </m:e>
                        <m:sub>
                          <m:r>
                            <m:rPr>
                              <m:nor/>
                              <m:sty m:val="p"/>
                            </m:rPr>
                            <w:rPr>
                              <w:rFonts w:hint="default" w:ascii="Times New Roman" w:hAnsi="Times New Roman" w:cs="Times New Roman"/>
                              <w:b w:val="0"/>
                              <w:i w:val="0"/>
                              <w:sz w:val="24"/>
                            </w:rPr>
                            <m:t>t</m:t>
                          </m:r>
                          <m:ctrlPr>
                            <w:rPr>
                              <w:rFonts w:hint="default" w:ascii="Cambria Math" w:hAnsi="Cambria Math" w:cs="Times New Roman"/>
                              <w:sz w:val="24"/>
                            </w:rPr>
                          </m:ctrlPr>
                        </m:sub>
                      </m:sSub>
                      <m:ctrlPr>
                        <w:rPr>
                          <w:rFonts w:hint="default" w:ascii="Cambria Math" w:hAnsi="Cambria Math" w:cs="Times New Roman"/>
                          <w:sz w:val="24"/>
                        </w:rPr>
                      </m:ctrlPr>
                    </m:e>
                  </m:d>
                  <m:ctrlPr>
                    <w:rPr>
                      <w:rFonts w:hint="default" w:ascii="Cambria Math" w:hAnsi="Cambria Math" w:cs="Times New Roman"/>
                      <w:sz w:val="24"/>
                    </w:rPr>
                  </m:ctrlPr>
                </m:e>
              </m:d>
              <m:ctrlPr>
                <w:rPr>
                  <w:rFonts w:hint="default" w:ascii="Cambria Math" w:hAnsi="Cambria Math" w:cs="Times New Roman"/>
                  <w:sz w:val="24"/>
                </w:rPr>
              </m:ctrlPr>
            </m:e>
          </m:nary>
          <m:r>
            <m:rPr>
              <m:nor/>
              <m:sty m:val="p"/>
            </m:rPr>
            <w:rPr>
              <w:rFonts w:hint="default" w:ascii="Times New Roman" w:hAnsi="Times New Roman" w:cs="Times New Roman"/>
              <w:b w:val="0"/>
              <w:i w:val="0"/>
              <w:sz w:val="24"/>
            </w:rPr>
            <m:t xml:space="preserve"> </m:t>
          </m:r>
        </m:oMath>
      </m:oMathPara>
    </w:p>
    <w:p w14:paraId="0CF41EFF">
      <w:pPr>
        <w:keepNext w:val="0"/>
        <w:keepLines w:val="0"/>
        <w:pageBreakBefore w:val="0"/>
        <w:widowControl/>
        <w:kinsoku/>
        <w:wordWrap/>
        <w:overflowPunct/>
        <w:topLinePunct w:val="0"/>
        <w:autoSpaceDE/>
        <w:autoSpaceDN/>
        <w:bidi w:val="0"/>
        <w:adjustRightInd/>
        <w:snapToGrid/>
        <w:spacing w:before="0" w:after="0" w:line="300" w:lineRule="auto"/>
        <w:ind w:firstLine="480" w:firstLineChars="200"/>
        <w:textAlignment w:val="auto"/>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t>Where</w:t>
      </w:r>
    </w:p>
    <w:p w14:paraId="5CD1582D">
      <w:pPr>
        <w:keepNext w:val="0"/>
        <w:keepLines w:val="0"/>
        <w:pageBreakBefore w:val="0"/>
        <w:widowControl/>
        <w:kinsoku/>
        <w:wordWrap/>
        <w:overflowPunct/>
        <w:topLinePunct w:val="0"/>
        <w:autoSpaceDE/>
        <w:autoSpaceDN/>
        <w:bidi w:val="0"/>
        <w:adjustRightInd/>
        <w:snapToGrid/>
        <w:spacing w:before="0" w:after="0" w:line="300" w:lineRule="auto"/>
        <w:ind w:firstLine="480" w:firstLineChars="200"/>
        <w:textAlignment w:val="auto"/>
        <w:rPr>
          <w:rFonts w:hint="default" w:ascii="Times New Roman" w:hAnsi="Times New Roman" w:cs="Times New Roman"/>
          <w:i w:val="0"/>
          <w:iCs w:val="0"/>
          <w:sz w:val="24"/>
          <w:szCs w:val="32"/>
          <w:lang w:val="en-US" w:eastAsia="zh-CN"/>
        </w:rPr>
      </w:pPr>
      <w:r>
        <w:rPr>
          <w:rFonts w:hint="default" w:ascii="Times New Roman" w:hAnsi="Times New Roman" w:cs="Times New Roman"/>
          <w:i/>
          <w:iCs/>
          <w:sz w:val="24"/>
          <w:szCs w:val="32"/>
          <w:lang w:val="en-US" w:eastAsia="zh-CN"/>
        </w:rPr>
        <w:t>N</w:t>
      </w:r>
      <w:r>
        <w:rPr>
          <w:rFonts w:hint="default" w:ascii="Times New Roman" w:hAnsi="Times New Roman" w:cs="Times New Roman"/>
          <w:i/>
          <w:iCs/>
          <w:sz w:val="24"/>
          <w:szCs w:val="32"/>
          <w:vertAlign w:val="subscript"/>
          <w:lang w:val="en-US" w:eastAsia="zh-CN"/>
        </w:rPr>
        <w:t>it</w:t>
      </w:r>
      <w:r>
        <w:rPr>
          <w:rFonts w:hint="eastAsia" w:ascii="Times New Roman" w:hAnsi="Times New Roman" w:cs="Times New Roman"/>
          <w:i/>
          <w:iCs/>
          <w:sz w:val="24"/>
          <w:szCs w:val="32"/>
          <w:lang w:val="en-US" w:eastAsia="zh-CN"/>
        </w:rPr>
        <w:t xml:space="preserve">  </w:t>
      </w:r>
      <w:r>
        <w:rPr>
          <w:rFonts w:hint="default" w:ascii="Times New Roman" w:hAnsi="Times New Roman" w:cs="Times New Roman"/>
          <w:i w:val="0"/>
          <w:iCs w:val="0"/>
          <w:sz w:val="24"/>
          <w:szCs w:val="32"/>
          <w:lang w:val="en-US" w:eastAsia="zh-CN"/>
        </w:rPr>
        <w:t xml:space="preserve">denotes the number of elite-position holders originating from source university i in year </w:t>
      </w:r>
      <w:r>
        <w:rPr>
          <w:rFonts w:hint="default" w:ascii="Times New Roman" w:hAnsi="Times New Roman" w:cs="Times New Roman"/>
          <w:i/>
          <w:iCs/>
          <w:sz w:val="24"/>
          <w:szCs w:val="32"/>
          <w:lang w:val="en-US" w:eastAsia="zh-CN"/>
        </w:rPr>
        <w:t>t</w:t>
      </w:r>
      <w:r>
        <w:rPr>
          <w:rFonts w:hint="eastAsia" w:ascii="Times New Roman" w:hAnsi="Times New Roman" w:cs="Times New Roman"/>
          <w:i w:val="0"/>
          <w:iCs w:val="0"/>
          <w:sz w:val="24"/>
          <w:szCs w:val="32"/>
          <w:lang w:val="en-US" w:eastAsia="zh-CN"/>
        </w:rPr>
        <w:t>.</w:t>
      </w:r>
    </w:p>
    <w:p w14:paraId="49A58BAC">
      <w:pPr>
        <w:keepNext w:val="0"/>
        <w:keepLines w:val="0"/>
        <w:pageBreakBefore w:val="0"/>
        <w:widowControl/>
        <w:kinsoku/>
        <w:wordWrap/>
        <w:overflowPunct/>
        <w:topLinePunct w:val="0"/>
        <w:autoSpaceDE/>
        <w:autoSpaceDN/>
        <w:bidi w:val="0"/>
        <w:adjustRightInd/>
        <w:snapToGrid/>
        <w:spacing w:before="0" w:after="0" w:line="300" w:lineRule="auto"/>
        <w:ind w:firstLine="480" w:firstLineChars="200"/>
        <w:textAlignment w:val="auto"/>
        <w:rPr>
          <w:rFonts w:hint="default" w:ascii="Times New Roman" w:hAnsi="Times New Roman" w:cs="Times New Roman"/>
          <w:i w:val="0"/>
          <w:iCs w:val="0"/>
          <w:sz w:val="24"/>
          <w:szCs w:val="32"/>
          <w:lang w:val="en-US" w:eastAsia="zh-CN"/>
        </w:rPr>
      </w:pPr>
      <m:oMath>
        <m:sSubSup>
          <m:sSubSupPr>
            <m:ctrlPr>
              <w:rPr>
                <w:rFonts w:hint="default" w:ascii="Cambria Math" w:hAnsi="Cambria Math" w:cs="Times New Roman"/>
                <w:i/>
                <w:iCs/>
                <w:sz w:val="24"/>
                <w:szCs w:val="32"/>
                <w:lang w:val="en-US" w:eastAsia="zh-CN"/>
              </w:rPr>
            </m:ctrlPr>
          </m:sSubSupPr>
          <m:e>
            <m:r>
              <m:rPr>
                <m:nor/>
              </m:rPr>
              <w:rPr>
                <w:rFonts w:hint="default" w:ascii="Times New Roman" w:hAnsi="Times New Roman" w:cs="Times New Roman"/>
                <w:i/>
                <w:iCs/>
                <w:sz w:val="24"/>
                <w:szCs w:val="32"/>
                <w:lang w:val="en-US" w:eastAsia="zh-CN"/>
              </w:rPr>
              <m:t>T</m:t>
            </m:r>
            <m:ctrlPr>
              <w:rPr>
                <w:rFonts w:hint="default" w:ascii="Cambria Math" w:hAnsi="Cambria Math" w:cs="Times New Roman"/>
                <w:i/>
                <w:iCs/>
                <w:sz w:val="24"/>
                <w:szCs w:val="32"/>
                <w:lang w:val="en-US" w:eastAsia="zh-CN"/>
              </w:rPr>
            </m:ctrlPr>
          </m:e>
          <m:sub>
            <m:r>
              <m:rPr>
                <m:nor/>
              </m:rPr>
              <w:rPr>
                <w:rFonts w:hint="default" w:ascii="Times New Roman" w:hAnsi="Times New Roman" w:cs="Times New Roman"/>
                <w:i/>
                <w:iCs/>
                <w:sz w:val="24"/>
                <w:szCs w:val="32"/>
                <w:lang w:val="en-US" w:eastAsia="zh-CN"/>
              </w:rPr>
              <m:t>t</m:t>
            </m:r>
            <m:ctrlPr>
              <w:rPr>
                <w:rFonts w:hint="default" w:ascii="Cambria Math" w:hAnsi="Cambria Math" w:cs="Times New Roman"/>
                <w:i/>
                <w:iCs/>
                <w:sz w:val="24"/>
                <w:szCs w:val="32"/>
                <w:lang w:val="en-US" w:eastAsia="zh-CN"/>
              </w:rPr>
            </m:ctrlPr>
          </m:sub>
          <m:sup>
            <m:r>
              <m:rPr>
                <m:nor/>
              </m:rPr>
              <w:rPr>
                <w:rFonts w:hint="default" w:ascii="Times New Roman" w:hAnsi="Times New Roman" w:cs="Times New Roman"/>
                <w:i/>
                <w:iCs/>
                <w:sz w:val="24"/>
                <w:szCs w:val="32"/>
                <w:lang w:val="en-US" w:eastAsia="zh-CN"/>
              </w:rPr>
              <m:t>total</m:t>
            </m:r>
            <m:ctrlPr>
              <w:rPr>
                <w:rFonts w:hint="default" w:ascii="Cambria Math" w:hAnsi="Cambria Math" w:cs="Times New Roman"/>
                <w:i/>
                <w:iCs/>
                <w:sz w:val="24"/>
                <w:szCs w:val="32"/>
                <w:lang w:val="en-US" w:eastAsia="zh-CN"/>
              </w:rPr>
            </m:ctrlPr>
          </m:sup>
        </m:sSubSup>
      </m:oMath>
      <w:r>
        <w:rPr>
          <w:rFonts w:hint="eastAsia" w:ascii="Times New Roman" w:hAnsi="Times New Roman" w:cs="Times New Roman"/>
          <w:i/>
          <w:iCs/>
          <w:sz w:val="24"/>
          <w:szCs w:val="32"/>
          <w:lang w:val="en-US" w:eastAsia="zh-CN"/>
        </w:rPr>
        <w:t xml:space="preserve"> </w:t>
      </w:r>
      <w:r>
        <w:rPr>
          <w:rFonts w:hint="default" w:ascii="Times New Roman" w:hAnsi="Times New Roman" w:cs="Times New Roman"/>
          <w:i w:val="0"/>
          <w:iCs w:val="0"/>
          <w:sz w:val="24"/>
          <w:szCs w:val="32"/>
          <w:lang w:val="en-US" w:eastAsia="zh-CN"/>
        </w:rPr>
        <w:t xml:space="preserve">denotes the total number of elite-position holders in year </w:t>
      </w:r>
      <w:r>
        <w:rPr>
          <w:rFonts w:hint="default" w:ascii="Times New Roman" w:hAnsi="Times New Roman" w:cs="Times New Roman"/>
          <w:i/>
          <w:iCs/>
          <w:sz w:val="24"/>
          <w:szCs w:val="32"/>
          <w:lang w:val="en-US" w:eastAsia="zh-CN"/>
        </w:rPr>
        <w:t>t</w:t>
      </w:r>
      <w:r>
        <w:rPr>
          <w:rFonts w:hint="eastAsia" w:ascii="Times New Roman" w:hAnsi="Times New Roman" w:cs="Times New Roman"/>
          <w:i w:val="0"/>
          <w:iCs w:val="0"/>
          <w:sz w:val="24"/>
          <w:szCs w:val="32"/>
          <w:lang w:val="en-US" w:eastAsia="zh-CN"/>
        </w:rPr>
        <w:t>.</w:t>
      </w:r>
    </w:p>
    <w:p w14:paraId="1FD67C09">
      <w:pPr>
        <w:keepNext w:val="0"/>
        <w:keepLines w:val="0"/>
        <w:pageBreakBefore w:val="0"/>
        <w:widowControl/>
        <w:kinsoku/>
        <w:wordWrap/>
        <w:overflowPunct/>
        <w:topLinePunct w:val="0"/>
        <w:autoSpaceDE/>
        <w:autoSpaceDN/>
        <w:bidi w:val="0"/>
        <w:adjustRightInd/>
        <w:snapToGrid/>
        <w:spacing w:before="0" w:after="0" w:line="300" w:lineRule="auto"/>
        <w:ind w:firstLine="480" w:firstLineChars="200"/>
        <w:textAlignment w:val="auto"/>
        <w:rPr>
          <w:rFonts w:hint="default" w:ascii="Times New Roman" w:hAnsi="Times New Roman" w:cs="Times New Roman"/>
          <w:i w:val="0"/>
          <w:iCs w:val="0"/>
          <w:sz w:val="24"/>
          <w:szCs w:val="32"/>
          <w:lang w:val="en-US" w:eastAsia="zh-CN"/>
        </w:rPr>
      </w:pPr>
      <w:r>
        <w:rPr>
          <w:rFonts w:hint="default" w:ascii="Times New Roman" w:hAnsi="Times New Roman" w:cs="Times New Roman"/>
          <w:i/>
          <w:iCs/>
          <w:sz w:val="24"/>
          <w:szCs w:val="32"/>
          <w:lang w:val="en-US" w:eastAsia="zh-CN"/>
        </w:rPr>
        <w:t>N</w:t>
      </w:r>
      <w:r>
        <w:rPr>
          <w:rFonts w:hint="default" w:ascii="Times New Roman" w:hAnsi="Times New Roman" w:cs="Times New Roman"/>
          <w:i/>
          <w:iCs/>
          <w:sz w:val="24"/>
          <w:szCs w:val="32"/>
          <w:vertAlign w:val="subscript"/>
          <w:lang w:val="en-US" w:eastAsia="zh-CN"/>
        </w:rPr>
        <w:t>t</w:t>
      </w:r>
      <w:r>
        <w:rPr>
          <w:rFonts w:hint="eastAsia" w:ascii="Times New Roman" w:hAnsi="Times New Roman" w:cs="Times New Roman"/>
          <w:i/>
          <w:iCs/>
          <w:sz w:val="24"/>
          <w:szCs w:val="32"/>
          <w:vertAlign w:val="subscript"/>
          <w:lang w:val="en-US" w:eastAsia="zh-CN"/>
        </w:rPr>
        <w:t xml:space="preserve">  </w:t>
      </w:r>
      <w:r>
        <w:rPr>
          <w:rFonts w:hint="default" w:ascii="Times New Roman" w:hAnsi="Times New Roman" w:cs="Times New Roman"/>
          <w:i w:val="0"/>
          <w:iCs w:val="0"/>
          <w:sz w:val="24"/>
          <w:szCs w:val="32"/>
          <w:lang w:val="en-US" w:eastAsia="zh-CN"/>
        </w:rPr>
        <w:t xml:space="preserve">denotes the total number of source universities represented in year </w:t>
      </w:r>
      <w:r>
        <w:rPr>
          <w:rFonts w:hint="default" w:ascii="Times New Roman" w:hAnsi="Times New Roman" w:cs="Times New Roman"/>
          <w:i/>
          <w:iCs/>
          <w:sz w:val="24"/>
          <w:szCs w:val="32"/>
          <w:lang w:val="en-US" w:eastAsia="zh-CN"/>
        </w:rPr>
        <w:t>t</w:t>
      </w:r>
      <w:r>
        <w:rPr>
          <w:rFonts w:hint="eastAsia" w:ascii="Times New Roman" w:hAnsi="Times New Roman" w:cs="Times New Roman"/>
          <w:i w:val="0"/>
          <w:iCs w:val="0"/>
          <w:sz w:val="24"/>
          <w:szCs w:val="32"/>
          <w:lang w:val="en-US" w:eastAsia="zh-CN"/>
        </w:rPr>
        <w:t>.</w:t>
      </w:r>
    </w:p>
    <w:p w14:paraId="02612483">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eastAsia" w:ascii="Times New Roman" w:hAnsi="Times New Roman" w:eastAsia="宋体" w:cs="Times New Roman"/>
          <w:szCs w:val="32"/>
          <w:lang w:val="en-US" w:eastAsia="zh-CN"/>
        </w:rPr>
        <w:t>T</w:t>
      </w:r>
      <w:r>
        <w:rPr>
          <w:rFonts w:hint="default" w:ascii="Times New Roman" w:hAnsi="Times New Roman" w:eastAsia="宋体" w:cs="Times New Roman"/>
          <w:szCs w:val="32"/>
          <w:lang w:val="en-US" w:eastAsia="zh-CN"/>
        </w:rPr>
        <w:t>he Theil index increases as educational origins become more concentrated among a small number of universities and approaches zero as the distribution becomes more equal. Because the value of the Theil index varies with the number of participating institutions, we standardized it to improve comparability across years and occupational sectors. The standardized index was calculated as</w:t>
      </w:r>
    </w:p>
    <w:p w14:paraId="54B0B3A2">
      <w:pPr>
        <w:keepNext w:val="0"/>
        <w:keepLines w:val="0"/>
        <w:pageBreakBefore w:val="0"/>
        <w:widowControl/>
        <w:kinsoku/>
        <w:wordWrap/>
        <w:overflowPunct/>
        <w:topLinePunct w:val="0"/>
        <w:autoSpaceDE/>
        <w:autoSpaceDN/>
        <w:bidi w:val="0"/>
        <w:adjustRightInd/>
        <w:snapToGrid/>
        <w:spacing w:before="156" w:beforeLines="50" w:line="300" w:lineRule="auto"/>
        <w:ind w:firstLine="480" w:firstLineChars="200"/>
        <w:textAlignment w:val="auto"/>
        <w:rPr>
          <w:rFonts w:hint="default" w:ascii="Times New Roman" w:hAnsi="Times New Roman" w:eastAsia="宋体" w:cs="Times New Roman"/>
          <w:szCs w:val="32"/>
          <w:lang w:val="en-US" w:eastAsia="zh-CN"/>
        </w:rPr>
      </w:pPr>
      <m:oMathPara>
        <m:oMath>
          <m:sSub>
            <m:sSubPr>
              <m:ctrlPr>
                <w:rPr>
                  <w:rFonts w:hint="default" w:ascii="Cambria Math" w:hAnsi="Cambria Math" w:cs="Times New Roman"/>
                  <w:iCs/>
                  <w:sz w:val="24"/>
                </w:rPr>
              </m:ctrlPr>
            </m:sSubPr>
            <m:e>
              <m:r>
                <m:rPr>
                  <m:nor/>
                  <m:sty m:val="p"/>
                </m:rPr>
                <w:rPr>
                  <w:rFonts w:hint="default" w:ascii="Times New Roman" w:hAnsi="Times New Roman" w:cs="Times New Roman"/>
                  <w:b w:val="0"/>
                  <w:i w:val="0"/>
                  <w:sz w:val="24"/>
                </w:rPr>
                <m:t>Theil</m:t>
              </m:r>
              <m:ctrlPr>
                <w:rPr>
                  <w:rFonts w:hint="default" w:ascii="Cambria Math" w:hAnsi="Cambria Math" w:cs="Times New Roman"/>
                  <w:iCs/>
                  <w:sz w:val="24"/>
                </w:rPr>
              </m:ctrlPr>
            </m:e>
            <m:sub>
              <m:r>
                <m:rPr>
                  <m:nor/>
                  <m:sty m:val="p"/>
                </m:rPr>
                <w:rPr>
                  <w:rFonts w:hint="default" w:ascii="Times New Roman" w:hAnsi="Times New Roman" w:cs="Times New Roman"/>
                  <w:b w:val="0"/>
                  <w:i w:val="0"/>
                  <w:sz w:val="24"/>
                </w:rPr>
                <m:t>norm</m:t>
              </m:r>
              <m:ctrlPr>
                <w:rPr>
                  <w:rFonts w:hint="default" w:ascii="Cambria Math" w:hAnsi="Cambria Math" w:cs="Times New Roman"/>
                  <w:iCs/>
                  <w:sz w:val="24"/>
                </w:rPr>
              </m:ctrlPr>
            </m:sub>
          </m:sSub>
          <m:r>
            <m:rPr>
              <m:nor/>
              <m:sty m:val="p"/>
            </m:rPr>
            <w:rPr>
              <w:rFonts w:hint="default" w:ascii="Times New Roman" w:hAnsi="Times New Roman" w:cs="Times New Roman"/>
              <w:b w:val="0"/>
              <w:i w:val="0"/>
              <w:sz w:val="24"/>
            </w:rPr>
            <m:t xml:space="preserve">= </m:t>
          </m:r>
          <m:f>
            <m:fPr>
              <m:ctrlPr>
                <w:rPr>
                  <w:rFonts w:hint="default" w:ascii="Cambria Math" w:hAnsi="Cambria Math" w:cs="Times New Roman"/>
                  <w:iCs/>
                  <w:sz w:val="24"/>
                </w:rPr>
              </m:ctrlPr>
            </m:fPr>
            <m:num>
              <m:sSub>
                <m:sSubPr>
                  <m:ctrlPr>
                    <w:rPr>
                      <w:rFonts w:hint="default" w:ascii="Cambria Math" w:hAnsi="Cambria Math" w:cs="Times New Roman"/>
                      <w:iCs/>
                      <w:sz w:val="24"/>
                    </w:rPr>
                  </m:ctrlPr>
                </m:sSubPr>
                <m:e>
                  <m:r>
                    <m:rPr>
                      <m:nor/>
                      <m:sty m:val="p"/>
                    </m:rPr>
                    <w:rPr>
                      <w:rFonts w:hint="default" w:ascii="Times New Roman" w:hAnsi="Times New Roman" w:cs="Times New Roman"/>
                      <w:b w:val="0"/>
                      <w:i w:val="0"/>
                      <w:sz w:val="24"/>
                    </w:rPr>
                    <m:t>Theil</m:t>
                  </m:r>
                  <m:ctrlPr>
                    <w:rPr>
                      <w:rFonts w:hint="default" w:ascii="Cambria Math" w:hAnsi="Cambria Math" w:cs="Times New Roman"/>
                      <w:iCs/>
                      <w:sz w:val="24"/>
                    </w:rPr>
                  </m:ctrlPr>
                </m:e>
                <m:sub>
                  <m:r>
                    <m:rPr>
                      <m:nor/>
                      <m:sty m:val="p"/>
                    </m:rPr>
                    <w:rPr>
                      <w:rFonts w:hint="default" w:ascii="Times New Roman" w:hAnsi="Times New Roman" w:cs="Times New Roman"/>
                      <w:b w:val="0"/>
                      <w:i w:val="0"/>
                      <w:sz w:val="24"/>
                    </w:rPr>
                    <m:t>raw</m:t>
                  </m:r>
                  <m:ctrlPr>
                    <w:rPr>
                      <w:rFonts w:hint="default" w:ascii="Cambria Math" w:hAnsi="Cambria Math" w:cs="Times New Roman"/>
                      <w:iCs/>
                      <w:sz w:val="24"/>
                    </w:rPr>
                  </m:ctrlPr>
                </m:sub>
              </m:sSub>
              <m:ctrlPr>
                <w:rPr>
                  <w:rFonts w:hint="default" w:ascii="Cambria Math" w:hAnsi="Cambria Math" w:cs="Times New Roman"/>
                  <w:iCs/>
                  <w:sz w:val="24"/>
                </w:rPr>
              </m:ctrlPr>
            </m:num>
            <m:den>
              <m:r>
                <m:rPr>
                  <m:nor/>
                  <m:sty m:val="p"/>
                </m:rPr>
                <w:rPr>
                  <w:rFonts w:hint="default" w:ascii="Times New Roman" w:hAnsi="Times New Roman" w:cs="Times New Roman"/>
                  <w:b w:val="0"/>
                  <w:i w:val="0"/>
                  <w:sz w:val="24"/>
                </w:rPr>
                <m:t>ln(n)</m:t>
              </m:r>
              <w:bookmarkEnd w:id="0"/>
              <m:ctrlPr>
                <w:rPr>
                  <w:rFonts w:hint="default" w:ascii="Cambria Math" w:hAnsi="Cambria Math" w:cs="Times New Roman"/>
                  <w:iCs/>
                  <w:sz w:val="24"/>
                </w:rPr>
              </m:ctrlPr>
            </m:den>
          </m:f>
        </m:oMath>
      </m:oMathPara>
    </w:p>
    <w:p w14:paraId="380E3E11">
      <w:pPr>
        <w:keepNext w:val="0"/>
        <w:keepLines w:val="0"/>
        <w:pageBreakBefore w:val="0"/>
        <w:widowControl w:val="0"/>
        <w:kinsoku/>
        <w:wordWrap/>
        <w:overflowPunct/>
        <w:topLinePunct w:val="0"/>
        <w:autoSpaceDE/>
        <w:autoSpaceDN/>
        <w:bidi w:val="0"/>
        <w:adjustRightInd/>
        <w:snapToGrid/>
        <w:spacing w:after="0" w:line="300" w:lineRule="auto"/>
        <w:ind w:firstLine="480" w:firstLineChars="200"/>
        <w:textAlignment w:val="auto"/>
        <w:rPr>
          <w:rFonts w:hint="eastAsia" w:ascii="Times New Roman" w:hAnsi="Times New Roman" w:cs="Times New Roman" w:eastAsiaTheme="minorEastAsia"/>
          <w:sz w:val="24"/>
          <w:lang w:val="en-US" w:eastAsia="zh-CN"/>
        </w:rPr>
      </w:pPr>
      <w:r>
        <w:rPr>
          <w:rFonts w:hint="default" w:ascii="Times New Roman" w:hAnsi="Times New Roman" w:cs="Times New Roman"/>
          <w:sz w:val="24"/>
        </w:rPr>
        <w:t>For the Top N measures, source universities were ranked in descending order according to their numbers of elite-position holders. We then calculated the shares accounted for by the top 10, top 20, and top 50 universities. These measures capture concentration among a fixed number of leading source universities. For the Top% measures, we calculated the shares accounted for by the top 1%, top 5%, and top 10% of source universities in each period. These measures capture concentration within the leading relative tier while accounting for changes in the total number of source universities</w:t>
      </w:r>
      <w:r>
        <w:rPr>
          <w:rFonts w:hint="eastAsia" w:ascii="Times New Roman" w:hAnsi="Times New Roman" w:cs="Times New Roman"/>
          <w:sz w:val="24"/>
          <w:lang w:val="en-US" w:eastAsia="zh-CN"/>
        </w:rPr>
        <w:t>.</w:t>
      </w:r>
    </w:p>
    <w:p w14:paraId="1604E8DD">
      <w:pPr>
        <w:keepNext w:val="0"/>
        <w:keepLines w:val="0"/>
        <w:pageBreakBefore w:val="0"/>
        <w:widowControl w:val="0"/>
        <w:kinsoku/>
        <w:wordWrap/>
        <w:overflowPunct/>
        <w:topLinePunct w:val="0"/>
        <w:autoSpaceDE/>
        <w:autoSpaceDN/>
        <w:bidi w:val="0"/>
        <w:adjustRightInd/>
        <w:snapToGrid/>
        <w:spacing w:after="0" w:line="300" w:lineRule="auto"/>
        <w:ind w:firstLine="480" w:firstLineChars="200"/>
        <w:textAlignment w:val="auto"/>
        <w:rPr>
          <w:rFonts w:hint="default" w:ascii="Times New Roman" w:hAnsi="Times New Roman" w:cs="Times New Roman"/>
        </w:rPr>
      </w:pPr>
      <w:r>
        <w:rPr>
          <w:rFonts w:hint="default" w:ascii="Times New Roman" w:hAnsi="Times New Roman" w:cs="Times New Roman"/>
          <w:sz w:val="24"/>
        </w:rPr>
        <w:t>The Gini coefficient and standardized Theil index measure overall inequality in the distribution of educational origins. The Top N and Top% measures report the shares accounted for directly by leading source universities. Together, the four measures capture overall distributional inequality, inequality sensitive to larger institutional shares, concentration among a fixed number of leading universities, and concentration within the leading relative tier.</w:t>
      </w:r>
    </w:p>
    <w:p w14:paraId="4AA00D4D">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Cs/>
          <w:i w:val="0"/>
          <w:sz w:val="24"/>
          <w:szCs w:val="24"/>
          <w:lang w:val="en-US" w:eastAsia="zh-CN"/>
        </w:rPr>
      </w:pPr>
      <w:r>
        <w:rPr>
          <w:rFonts w:hint="default" w:ascii="Times New Roman" w:hAnsi="Times New Roman" w:cs="Times New Roman"/>
          <w:bCs/>
          <w:i w:val="0"/>
          <w:sz w:val="24"/>
          <w:szCs w:val="24"/>
          <w:lang w:val="en-US" w:eastAsia="zh-CN"/>
        </w:rPr>
        <w:t>Supplementary Methods 13. Statistical models and promotion analyses</w:t>
      </w:r>
    </w:p>
    <w:p w14:paraId="710BEB07">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val="en-US" w:eastAsia="zh-CN"/>
        </w:rPr>
        <w:t>The unit of analysis was determined by the structure of each dataset and the corresponding research question. The baseline position-entry models for the LinkedIn-derived corporate and government data used position records as the unit of analysis and examined whether each record reached seniority level 6–7. Descriptive analyses of educational origins, matching analyses, and career-advancement analyses were conducted at the person level. Other datasets used faculty members, individuals, executive–company records, or other units appropriate to their structures. Binary outcomes were estimated using logit models, with odds ratios, 95% confidence intervals, adjusted predicted probabilities, and average marginal effects reported. Outcomes with an ordered hierarchical structure were estimated using ordered logit models. The large-scale LinkedIn-derived position records were aggregated by covariate combinations and analyzed using grouped binomial logit models with frequency weights. Depending on data availability, the models adjusted for gender, educational or career period, country or territory, discipline or industry, and other observed characteristics relevant to the corresponding analysis.</w:t>
      </w:r>
    </w:p>
    <w:p w14:paraId="01A39C26">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val="en-US" w:eastAsia="zh-CN"/>
        </w:rPr>
        <w:t>Long-term changes were assessed using interactions between elite educational background and the period of educational completion or career entry. These models were used to calculate adjusted predicted probabilities, average marginal effects, and period-specific odds ratios. Heterogeneity was examined using subgroup estimates and interaction models. Differences between groups were evaluated using interaction terms or joint significance tests rather than according to whether subgroup estimates separately reached statistical significance.</w:t>
      </w:r>
    </w:p>
    <w:p w14:paraId="0AFF5A6E">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val="en-US" w:eastAsia="zh-CN"/>
        </w:rPr>
        <w:t>Inverse-probability weighting, inverse-probability-weighted regression adjustment, or exact stratified matching was used according to the structure of the data to reduce observed differences between individuals with elite and non-elite educational backgrounds. The corresponding analyses treated individuals with elite educational backgrounds as the target population and reported the average treatment effect on the treated. The LinkedIn-derived corporate and government matching analyses were conducted at the person level. Their outcome indicated whether an individual had ever attained seniority level 6–7 during the observation period. Covariate balance was evaluated using standardized mean differences, together with assessments of common support and weight distributions across the treatment and comparison groups. The matching variables, weighting procedures, and balance diagnostics are reported in the corresponding supplementary tables.</w:t>
      </w:r>
    </w:p>
    <w:p w14:paraId="0309D4B0">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val="en-US" w:eastAsia="zh-CN"/>
        </w:rPr>
        <w:t>Career-advancement analyses first excluded individuals who had already attained the target position when initially observed. The first observable position at the relevant starting level defined the beginning of the career risk period. The academic analyses examined promotion across different academic ranks. In the LinkedIn-derived corporate and government samples, the first attainment of seniority level 6–7 defined the promotion event. In the Chinese listed-company sample, the first attainment of a core executive position defined the promotion event. Fixed-window analyses compared the adjusted probabilities of attaining the target position within a specified number of career years across educational-background groups. These estimates were repeated in the matched or weighted samples.</w:t>
      </w:r>
    </w:p>
    <w:p w14:paraId="78CC8ED7">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val="en-US" w:eastAsia="zh-CN"/>
        </w:rPr>
        <w:t>For data containing identifiable career starting points, promotion dates, and observation endpoints, Cox proportional-hazards models were used to estimate the relative rate of attaining the target position. Individuals without an observed promotion event were right-censored at their final valid career record or the end of the data observation period. Weibull and discrete-time event-history models were used to assess sensitivity to the functional form of the survival model. Analyses of time to promotion among individuals with observed promotion events were treated as supplementary and did not replace the event-history models incorporating right-censored observations. The observation windows, covariates, and sample restrictions used in the career-advancement models are reported in the corresponding tables.</w:t>
      </w:r>
    </w:p>
    <w:p w14:paraId="648E37C3">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val="en-US" w:eastAsia="zh-CN"/>
        </w:rPr>
        <w:t>The treatment of standard errors was determined by the model and data structure and is reported in the corresponding table notes. When an analysis retained multiple records for the same identifiable individual, within-person dependence was accounted for at the individual level. Missing educational backgrounds, position outcomes, and model covariates were not statistically imputed. Each model used records for which the required variables could be identified. Robustness analyses included complete-case samples, alternative models and outcome definitions, different career-observation windows, additional adjustment for career stage or initial position level, alternative matching or weighting methods, and elite-university thresholds based on the top 100 and top 1,000 institutions. All statistical tests were two-sided, and 95% confidence intervals are reported</w:t>
      </w:r>
      <w:r>
        <w:rPr>
          <w:rFonts w:hint="eastAsia" w:ascii="Times New Roman" w:hAnsi="Times New Roman" w:eastAsia="宋体" w:cs="Times New Roman"/>
          <w:szCs w:val="32"/>
          <w:lang w:val="en-US" w:eastAsia="zh-CN"/>
        </w:rPr>
        <w:t>.</w:t>
      </w:r>
    </w:p>
    <w:p w14:paraId="10B91F02">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Cs/>
          <w:i w:val="0"/>
          <w:sz w:val="24"/>
          <w:szCs w:val="24"/>
          <w:lang w:val="en-US" w:eastAsia="zh-CN"/>
        </w:rPr>
      </w:pPr>
      <w:r>
        <w:rPr>
          <w:rFonts w:hint="default" w:ascii="Times New Roman" w:hAnsi="Times New Roman" w:cs="Times New Roman"/>
          <w:bCs/>
          <w:i w:val="0"/>
          <w:sz w:val="24"/>
          <w:szCs w:val="24"/>
          <w:lang w:val="en-US" w:eastAsia="zh-CN"/>
        </w:rPr>
        <w:t>Supplementary Methods 14. Construction and limitations of the exploratory datasets</w:t>
      </w:r>
    </w:p>
    <w:p w14:paraId="2B4DEA1D">
      <w:pPr>
        <w:pStyle w:val="14"/>
        <w:keepNext/>
        <w:keepLines/>
        <w:pageBreakBefore w:val="0"/>
        <w:widowControl/>
        <w:kinsoku/>
        <w:wordWrap/>
        <w:overflowPunct/>
        <w:topLinePunct w:val="0"/>
        <w:autoSpaceDE/>
        <w:autoSpaceDN/>
        <w:bidi w:val="0"/>
        <w:adjustRightInd/>
        <w:snapToGrid/>
        <w:spacing w:before="181" w:beforeLines="50" w:beforeAutospacing="0" w:after="181" w:afterLines="50" w:afterAutospacing="0" w:line="300" w:lineRule="auto"/>
        <w:jc w:val="both"/>
        <w:textAlignment w:val="auto"/>
        <w:rPr>
          <w:rFonts w:hint="default" w:ascii="Times New Roman" w:hAnsi="Times New Roman" w:cs="Times New Roman"/>
          <w:i w:val="0"/>
          <w:sz w:val="22"/>
          <w:szCs w:val="28"/>
          <w:lang w:eastAsia="zh-CN"/>
        </w:rPr>
      </w:pPr>
      <w:r>
        <w:rPr>
          <w:rFonts w:hint="default" w:ascii="Times New Roman" w:hAnsi="Times New Roman" w:cs="Times New Roman"/>
          <w:i w:val="0"/>
          <w:sz w:val="22"/>
          <w:szCs w:val="28"/>
        </w:rPr>
        <w:t>Part A. Retraction data</w:t>
      </w:r>
    </w:p>
    <w:p w14:paraId="0A9C732C">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Article-retraction data were extracted from OpenAlex in April 2025. The extracted information included article titles, authors, journals, publication years, retraction indicators, retraction years, retraction reasons, and associated work identifiers. Retraction years and reasons were retained only when they were available in the original records. Duplicate records were identified and processed using DOIs, OpenAlex work identifiers, standardized titles, journals, and publication years. The final dataset contained 41,134 retracted articles.</w:t>
      </w:r>
    </w:p>
    <w:p w14:paraId="1936DDA3">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Authors of retracted articles were linked to researcher career histories primarily through OpenAlex author identifiers and ORCID identifiers. For records without stable identifiers, candidate matches were generated using standardized names, author affiliations, and article information. Only unique matches without evident conflicts involving namesakes or institutional information were retained. After author identification and person-level deduplication, 93,669 unique authors were linked to at least one retracted article.</w:t>
      </w:r>
    </w:p>
    <w:p w14:paraId="54959C53">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analysis was conducted at the researcher level. An individual was coded as having experienced a retraction when reliably linked to at least one retracted article. Researchers who were not linked to any retracted article but otherwise met the relevant analytical criteria were coded as having no retraction experience. When multiple authors coauthored the same retracted article, a separate author-level retraction link was created for each author. When the same author was linked to multiple retracted articles, only one binary record indicating any retraction experience was retained at the person level, while the number of retracted articles was calculated separately.</w:t>
      </w:r>
    </w:p>
    <w:p w14:paraId="054E1277">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Elite doctoral backgrounds were identified using the harmonized university-ranking database. The baseline analysis compared the probability of experiencing at least one retraction between researchers with elite and non-elite doctoral backgrounds. The models further adjusted for observed factors including gender, academic age, country or territory, discipline, characteristics of the employing institution, and publication output. Supplementary analyses examined the number of retracted articles, the proportion of publications retracted, and retraction outcomes at different levels of severity. These analyses estimate conditional associations between educational backgrounds and retraction records. They do not identify the responsibility of individual authors for an article’s retraction, treat retraction as equivalent to research misconduct, or estimate the causal effect of elite doctoral education.</w:t>
      </w:r>
    </w:p>
    <w:p w14:paraId="7D59FFF3">
      <w:pPr>
        <w:pStyle w:val="14"/>
        <w:keepNext/>
        <w:keepLines/>
        <w:pageBreakBefore w:val="0"/>
        <w:widowControl/>
        <w:kinsoku/>
        <w:wordWrap/>
        <w:overflowPunct/>
        <w:topLinePunct w:val="0"/>
        <w:autoSpaceDE/>
        <w:autoSpaceDN/>
        <w:bidi w:val="0"/>
        <w:adjustRightInd/>
        <w:snapToGrid/>
        <w:spacing w:before="181" w:beforeLines="50" w:beforeAutospacing="0" w:after="181" w:afterLines="50" w:afterAutospacing="0" w:line="300" w:lineRule="auto"/>
        <w:jc w:val="both"/>
        <w:textAlignment w:val="auto"/>
        <w:rPr>
          <w:rFonts w:hint="default" w:ascii="Times New Roman" w:hAnsi="Times New Roman" w:cs="Times New Roman"/>
          <w:i w:val="0"/>
          <w:sz w:val="22"/>
          <w:szCs w:val="28"/>
          <w:lang w:eastAsia="zh-CN"/>
        </w:rPr>
      </w:pPr>
      <w:r>
        <w:rPr>
          <w:rFonts w:hint="default" w:ascii="Times New Roman" w:hAnsi="Times New Roman" w:cs="Times New Roman"/>
          <w:i w:val="0"/>
          <w:sz w:val="22"/>
          <w:szCs w:val="28"/>
        </w:rPr>
        <w:t>Part B. Public records of Chinese officials investigated for disciplinary or legal violations</w:t>
      </w:r>
    </w:p>
    <w:p w14:paraId="1F8E591B">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research team compiled data on Chinese individuals publicly investigated for disciplinary or legal violations using publicly available information. The data cover individuals who were publicly exposed, investigated, disciplined, prosecuted, adjudicated, or formally assigned responsibility between 2012 and 2022. Sources included public disciplinary notices, case records, institutional announcements, and publicly available news reports. Records were included only when the individual’s identity, employing institution or principal position, and the timing or publicly stated reason for the investigation could be established. Records were excluded when identities could not be verified, information was based only on unconfirmed reports, or major conflicts across sources could not be resolved. The sample covers individuals holding different types of positions in Party and government agencies, public institutions, state-owned enterprises, and other parts of the public sector. Publicly disclosed reasons included accepting bribes, embezzlement, offering bribes, misappropriation of public funds, abuse of power, dereliction of duty, and other serious disciplinary or legal violations.</w:t>
      </w:r>
    </w:p>
    <w:p w14:paraId="61008A77">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Duplicate records belonging to the same individual were identified using names, years of birth, employing institutions, regions of employment, principal positions, and career information. When multiple public records referred to the same individual, investigation information and career histories were combined at the person level. Confirmed principal positions, highest positions, and publicly reported reasons for investigation were retained. Educational histories were extracted from public career records, government or institutional webpages, biographical profiles, and other publicly available sources. After educational levels and institutional names were standardized, formal education records at all identifiable educational stages were linked to the harmonized university-ranking database. When an individual had multiple formal education records, all identifiable institutions across educational stages were retained. An individual was coded as having an elite-university background if at least one identifiable institution attended at any educational stage was classified as an elite university. Individuals with identifiable educational histories but no record of attendance at an elite university were coded as having no elite-university background. Party-school education was identified separately from publicly available educational histories. Among individuals without elite-university education, those with identifiable party-school experience were classified as having a party-school background, while the remainder were classified as having other non-elite educational backgrounds. Records without sufficiently reliable information on educational institutions were excluded from analyses involving educational background. The final dataset contained 2,000 unique individuals.</w:t>
      </w:r>
    </w:p>
    <w:p w14:paraId="49749A24">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eastAsia="zh-CN"/>
        </w:rPr>
        <w:t>The data do not contain a complete population at risk comprising individuals who were not publicly investigated during the same observation period. They may also be affected by differences in public disclosure, media attention, and information availability. The corresponding analyses therefore describe the composition of educational origins among publicly investigated individuals and differences across position levels. They do not estimate the relationship between elite educational backgrounds and the probability of disciplinary violations, legal violations, or corruption</w:t>
      </w:r>
      <w:r>
        <w:rPr>
          <w:rFonts w:hint="eastAsia" w:ascii="Times New Roman" w:hAnsi="Times New Roman" w:eastAsia="宋体" w:cs="Times New Roman"/>
          <w:szCs w:val="32"/>
          <w:lang w:val="en-US" w:eastAsia="zh-CN"/>
        </w:rPr>
        <w:t>.</w:t>
      </w:r>
    </w:p>
    <w:p w14:paraId="138FA45A">
      <w:pPr>
        <w:pStyle w:val="14"/>
        <w:keepNext/>
        <w:keepLines/>
        <w:pageBreakBefore w:val="0"/>
        <w:widowControl/>
        <w:kinsoku/>
        <w:wordWrap/>
        <w:overflowPunct/>
        <w:topLinePunct w:val="0"/>
        <w:autoSpaceDE/>
        <w:autoSpaceDN/>
        <w:bidi w:val="0"/>
        <w:adjustRightInd/>
        <w:snapToGrid/>
        <w:spacing w:before="181" w:beforeLines="50" w:beforeAutospacing="0" w:after="181" w:afterLines="50" w:afterAutospacing="0" w:line="300" w:lineRule="auto"/>
        <w:jc w:val="both"/>
        <w:textAlignment w:val="auto"/>
        <w:rPr>
          <w:rFonts w:hint="default" w:ascii="Times New Roman" w:hAnsi="Times New Roman" w:cs="Times New Roman"/>
          <w:i w:val="0"/>
          <w:sz w:val="22"/>
          <w:szCs w:val="28"/>
          <w:lang w:eastAsia="zh-CN"/>
        </w:rPr>
      </w:pPr>
      <w:r>
        <w:rPr>
          <w:rFonts w:hint="default" w:ascii="Times New Roman" w:hAnsi="Times New Roman" w:cs="Times New Roman"/>
          <w:i w:val="0"/>
          <w:sz w:val="22"/>
          <w:szCs w:val="28"/>
        </w:rPr>
        <w:t>Part C. Publicly reported early-death cases among Chinese university faculty</w:t>
      </w:r>
    </w:p>
    <w:p w14:paraId="1410F86B">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research team compiled publicly reported early-death cases among Chinese university faculty using university obituaries, departmental notices, faculty or institutional webpages, news reports, and other publicly verifiable sources. The reported deaths occurred between 2011 and 2026. Cases were included when the individual was employed at a Chinese university at or immediately before death, both the birth year and death year could be identified reliably from public sources, the age at death did not exceed 50 years, and the death was publicly reported as sudden or unexpected. Records were excluded when the individual’s identity could not be confirmed, unresolved conflicts existed in the birth or deat</w:t>
      </w:r>
      <w:bookmarkStart w:id="2" w:name="_GoBack"/>
      <w:bookmarkEnd w:id="2"/>
      <w:r>
        <w:rPr>
          <w:rFonts w:hint="default" w:ascii="Times New Roman" w:hAnsi="Times New Roman" w:eastAsia="宋体" w:cs="Times New Roman"/>
          <w:szCs w:val="32"/>
          <w:lang w:eastAsia="zh-CN"/>
        </w:rPr>
        <w:t>h information, the information was based only on non-public reports, or the individual was not a university faculty member or researcher.</w:t>
      </w:r>
    </w:p>
    <w:p w14:paraId="4FB6BC0C">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Multiple sources referring to the same individual were combined using names, employing universities, departments, disciplines, and birth and death information. When sources reported conflicting years or identity information, priority was given to official university websites, departmental announcements, and other authoritative public sources. Information that remained uncertain was coded as missing or excluded. Educational histories were extracted from university profiles, public CVs, biographical profiles, obituaries, and other public materials. Doctoral records were linked to the harmonized university-ranking database after educational levels and institutional names were standardized. When an individual had multiple formal doctoral records, the elite doctoral indicator was constructed using the harmonized educational-background coding rules. Cases without a reliably identifiable doctoral institution were excluded from the corresponding analyses involving doctoral backgrounds. The final dataset contained 295 early-death cases.</w:t>
      </w:r>
    </w:p>
    <w:p w14:paraId="19D06FC4">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The comparison sample consisted of faculty currently employed at Chinese universities in the global faculty CV data. The analyses compared the proportion with elite doctoral backgrounds between publicly reported early-death cases and the comparison faculty sample. Regression adjustment, matching, or weighting was used to reduce compositional differences in gender, discipline, institutional tier, and other observed characteristics. Because the early-death cases were identified from publicly visible events and the comparison data do not provide complete mortality follow-up for the same population at risk, the analyses measure the relative representation of elite doctoral backgrounds among publicly reported cases. They do not estimate the effect of an elite doctoral background on individual mortality risk or life expectancy.</w:t>
      </w:r>
    </w:p>
    <w:p w14:paraId="2D8AF025">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Cs/>
          <w:i w:val="0"/>
          <w:sz w:val="24"/>
          <w:szCs w:val="24"/>
          <w:lang w:val="en-US" w:eastAsia="zh-CN"/>
        </w:rPr>
      </w:pPr>
      <w:r>
        <w:rPr>
          <w:rFonts w:hint="default" w:ascii="Times New Roman" w:hAnsi="Times New Roman" w:cs="Times New Roman"/>
          <w:bCs/>
          <w:i w:val="0"/>
          <w:sz w:val="24"/>
          <w:szCs w:val="24"/>
          <w:lang w:val="en-US" w:eastAsia="zh-CN"/>
        </w:rPr>
        <w:t>Supplementary Methods 15. Use of AI-assisted tools</w:t>
      </w:r>
    </w:p>
    <w:p w14:paraId="5285B72F">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Automated language-processing and machine-learning tools were used during data preprocessing to translate, classify, and structurally encode large volumes of non-standardized text. These tools processed raw text according to predefined rules and categories. They were not used to formulate the research questions, select the samples, estimate the statistical models, or determine the study’s conclusions.</w:t>
      </w:r>
    </w:p>
    <w:p w14:paraId="6AFC3FFD">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During the standardization of ORCID education and employment histories, DeepL was used to translate non-English educational-level and employment-role titles into English so that they could be processed using consistent dictionaries, rules, and text-classification procedures. OpenAI’s GPT-5.4 was used to assist with the semantic classification of selected high-frequency complex role-title strings that remained unidentified after applying standardized dictionaries, exact matching, and regular expressions. The model could select only from predefined educational-level and employment-role categories and was not permitted to generate new categories. It did not infer educational qualifications or employment positions from researchers’ names, institutions, countries, publication records, or other personal background information. The content submitted to the model was limited to the role-title string requiring classification, the predefined categories, and the classification instructions. Researchers’ names, personal identifiers, and other directly identifying information were not submitted. Text that could not be classified reliably was coded as missing.</w:t>
      </w:r>
    </w:p>
    <w:p w14:paraId="55BCF366">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Researcher gender was inferred from names using NBGC, gender_guesser, and DistilBERT, supplemented by procedures for selected Chinese-character names and romanized Chinese names. These tools generated the binary gender control variable according to predefined probability thresholds or classification rules. Records producing conflicting classifications or no reliable assignment were coded as missing. Name-based gender classifications were used only for statistical adjustment and were not treated as substitutes for researchers’ self-identified or officially registered gender identities.</w:t>
      </w:r>
    </w:p>
    <w:p w14:paraId="68CBE20E">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Generative AI tools were also used to assist with checking and debugging selected data-processing and statistical-analysis code. All code suggestions generated by AI were reviewed line by line by the research team and tested and validated using fixed analytical data. Code that had not been verified by the authors was not used to produce any statistical results reported in this study. AI tools did not independently determine variable definitions, sample restrictions, model specifications, robustness analyses, or interpretations of the results, nor were they used to generate or modify the original research data.</w:t>
      </w:r>
    </w:p>
    <w:p w14:paraId="1F266EA7">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eastAsia="zh-CN"/>
        </w:rPr>
      </w:pPr>
      <w:r>
        <w:rPr>
          <w:rFonts w:hint="default" w:ascii="Times New Roman" w:hAnsi="Times New Roman" w:eastAsia="宋体" w:cs="Times New Roman"/>
          <w:szCs w:val="32"/>
          <w:lang w:eastAsia="zh-CN"/>
        </w:rPr>
        <w:t>Beyond the data-processing and code-assistance uses described above, generative AI was used only to assist with language editing during manuscript preparation. The authors reviewed and approved all scientific content, analyses, interpretations, and final statements and take full responsibility for the manuscript.</w:t>
      </w:r>
    </w:p>
    <w:p w14:paraId="50294B7D">
      <w:pPr>
        <w:pStyle w:val="13"/>
        <w:keepNext w:val="0"/>
        <w:keepLines w:val="0"/>
        <w:pageBreakBefore w:val="0"/>
        <w:widowControl w:val="0"/>
        <w:kinsoku/>
        <w:wordWrap/>
        <w:overflowPunct/>
        <w:topLinePunct w:val="0"/>
        <w:autoSpaceDE/>
        <w:autoSpaceDN/>
        <w:bidi w:val="0"/>
        <w:adjustRightInd/>
        <w:snapToGrid/>
        <w:spacing w:before="157" w:beforeLines="50" w:after="156" w:afterLines="50" w:line="300" w:lineRule="auto"/>
        <w:textAlignment w:val="auto"/>
        <w:rPr>
          <w:rFonts w:hint="default" w:ascii="Times New Roman" w:hAnsi="Times New Roman" w:cs="Times New Roman"/>
          <w:bCs/>
          <w:i w:val="0"/>
          <w:sz w:val="24"/>
          <w:szCs w:val="24"/>
          <w:lang w:eastAsia="zh-CN"/>
        </w:rPr>
      </w:pPr>
      <w:r>
        <w:rPr>
          <w:rFonts w:hint="default" w:ascii="Times New Roman" w:hAnsi="Times New Roman" w:cs="Times New Roman"/>
          <w:bCs/>
          <w:i w:val="0"/>
          <w:sz w:val="24"/>
          <w:szCs w:val="24"/>
          <w:lang w:eastAsia="zh-CN"/>
        </w:rPr>
        <w:t xml:space="preserve">Supplementary Methods </w:t>
      </w:r>
      <w:r>
        <w:rPr>
          <w:rFonts w:hint="default" w:ascii="Times New Roman" w:hAnsi="Times New Roman" w:cs="Times New Roman"/>
          <w:bCs/>
          <w:i w:val="0"/>
          <w:sz w:val="24"/>
          <w:szCs w:val="24"/>
          <w:lang w:val="en-US" w:eastAsia="zh-CN"/>
        </w:rPr>
        <w:t>1</w:t>
      </w:r>
      <w:r>
        <w:rPr>
          <w:rFonts w:hint="default" w:ascii="Times New Roman" w:hAnsi="Times New Roman" w:cs="Times New Roman"/>
          <w:bCs/>
          <w:i w:val="0"/>
          <w:sz w:val="24"/>
          <w:szCs w:val="24"/>
          <w:lang w:eastAsia="zh-CN"/>
        </w:rPr>
        <w:t>6. Validation of automated classification and institutional standardization</w:t>
      </w:r>
    </w:p>
    <w:p w14:paraId="76F957E1">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eastAsia="宋体" w:cs="Times New Roman"/>
          <w:szCs w:val="32"/>
          <w:lang w:val="en-US" w:eastAsia="zh-CN"/>
        </w:rPr>
      </w:pPr>
      <w:r>
        <w:rPr>
          <w:rFonts w:hint="default" w:ascii="Times New Roman" w:hAnsi="Times New Roman" w:eastAsia="宋体" w:cs="Times New Roman"/>
          <w:szCs w:val="32"/>
          <w:lang w:val="en-US" w:eastAsia="zh-CN"/>
        </w:rPr>
        <w:t>Because several variables were constructed from unstructured career-history text, automated classification, and cross-source record linkage, the research team independently validated the identification of educational levels, the standardization of institutional names, and the classification of disciplines.</w:t>
      </w:r>
    </w:p>
    <w:p w14:paraId="3EF70C08">
      <w:pPr>
        <w:pStyle w:val="4"/>
        <w:keepNext w:val="0"/>
        <w:keepLines w:val="0"/>
        <w:pageBreakBefore w:val="0"/>
        <w:widowControl/>
        <w:kinsoku/>
        <w:wordWrap/>
        <w:overflowPunct/>
        <w:topLinePunct w:val="0"/>
        <w:autoSpaceDE/>
        <w:autoSpaceDN/>
        <w:bidi w:val="0"/>
        <w:adjustRightInd/>
        <w:snapToGrid/>
        <w:spacing w:beforeAutospacing="0" w:after="0" w:afterAutospacing="0" w:line="300" w:lineRule="auto"/>
        <w:ind w:firstLine="420"/>
        <w:jc w:val="both"/>
        <w:textAlignment w:val="auto"/>
        <w:rPr>
          <w:rFonts w:hint="default" w:ascii="Times New Roman" w:hAnsi="Times New Roman" w:cs="Times New Roman"/>
          <w:b/>
          <w:sz w:val="28"/>
          <w:szCs w:val="28"/>
        </w:rPr>
      </w:pPr>
      <w:r>
        <w:rPr>
          <w:rFonts w:hint="default" w:ascii="Times New Roman" w:hAnsi="Times New Roman" w:eastAsia="宋体" w:cs="Times New Roman"/>
          <w:szCs w:val="32"/>
          <w:lang w:val="en-US" w:eastAsia="zh-CN"/>
        </w:rPr>
        <w:t>For the validation of educational histories, the research team sampled 5,000 records across data sources and educational levels and compared the automatically identified educational level with the original career-history text or public webpage for each record. The overall agreement rate was 99.6%, with doctoral education records showing the most consistent classification.</w:t>
      </w:r>
      <w:r>
        <w:rPr>
          <w:rFonts w:hint="eastAsia" w:ascii="Times New Roman" w:hAnsi="Times New Roman" w:eastAsia="宋体" w:cs="Times New Roman"/>
          <w:szCs w:val="32"/>
          <w:lang w:val="en-US" w:eastAsia="zh-CN"/>
        </w:rPr>
        <w:t xml:space="preserve"> </w:t>
      </w:r>
      <w:r>
        <w:rPr>
          <w:rFonts w:hint="default" w:ascii="Times New Roman" w:hAnsi="Times New Roman" w:eastAsia="宋体" w:cs="Times New Roman"/>
          <w:szCs w:val="32"/>
          <w:lang w:val="en-US" w:eastAsia="zh-CN"/>
        </w:rPr>
        <w:t>For institutional standardization, the research team manually reviewed high-frequency institutions and a random sample of 5,000 institutional records. The review examined institutional name variants, abbreviations, multilingual names, historical names, and their corresponding ROR matches. The agreement rate between the automated standardization and manual review was 96.7%. Institutions without a reliable unique correspondence were coded as missing rather than forcibly matched on the basis of name similarity.</w:t>
      </w:r>
      <w:r>
        <w:rPr>
          <w:rFonts w:hint="eastAsia" w:ascii="Times New Roman" w:hAnsi="Times New Roman" w:eastAsia="宋体" w:cs="Times New Roman"/>
          <w:szCs w:val="32"/>
          <w:lang w:val="en-US" w:eastAsia="zh-CN"/>
        </w:rPr>
        <w:t xml:space="preserve"> </w:t>
      </w:r>
      <w:r>
        <w:rPr>
          <w:rFonts w:hint="default" w:ascii="Times New Roman" w:hAnsi="Times New Roman" w:eastAsia="宋体" w:cs="Times New Roman"/>
          <w:szCs w:val="32"/>
          <w:lang w:val="en-US" w:eastAsia="zh-CN"/>
        </w:rPr>
        <w:t>For discipline classification, the research team drew a stratified sample of 2,000 researchers from OpenAlex and the global faculty CV data and manually reviewed their assignments to the seven discipline categories. Validation of the OpenAlex sample was based primarily on researchers’ main fields of publication, while validation of the global faculty CV sample relied principally on formal departmental affiliations and public faculty profiles. The overall agreement rate between the automated classifications and manual review was 95.4%.</w:t>
      </w:r>
      <w:r>
        <w:rPr>
          <w:rFonts w:hint="eastAsia" w:ascii="Times New Roman" w:hAnsi="Times New Roman" w:eastAsia="宋体" w:cs="Times New Roman"/>
          <w:szCs w:val="32"/>
          <w:lang w:val="en-US" w:eastAsia="zh-CN"/>
        </w:rPr>
        <w:t xml:space="preserve"> </w:t>
      </w:r>
      <w:r>
        <w:rPr>
          <w:rFonts w:hint="default" w:ascii="Times New Roman" w:hAnsi="Times New Roman" w:eastAsia="宋体" w:cs="Times New Roman"/>
          <w:szCs w:val="32"/>
          <w:lang w:val="en-US" w:eastAsia="zh-CN"/>
        </w:rPr>
        <w:t>These validation procedures assessed the reliability of the automated data-processing methods. They do not imply that the source databases are unaffected by errors arising from platform coverage, missing information, or selective reporting.</w:t>
      </w:r>
      <w:r>
        <w:rPr>
          <w:rFonts w:hint="default" w:ascii="Times New Roman" w:hAnsi="Times New Roman" w:cs="Times New Roman"/>
          <w:b/>
          <w:sz w:val="28"/>
          <w:szCs w:val="28"/>
        </w:rPr>
        <w:br w:type="page"/>
      </w:r>
    </w:p>
    <w:p w14:paraId="603F052C">
      <w:pPr>
        <w:pStyle w:val="12"/>
        <w:keepNext/>
        <w:keepLines/>
        <w:pageBreakBefore/>
        <w:widowControl/>
        <w:kinsoku/>
        <w:wordWrap/>
        <w:overflowPunct/>
        <w:topLinePunct w:val="0"/>
        <w:autoSpaceDE/>
        <w:autoSpaceDN/>
        <w:bidi w:val="0"/>
        <w:adjustRightInd/>
        <w:snapToGrid/>
        <w:spacing w:before="361" w:beforeLines="100" w:after="361" w:afterLines="100" w:line="300" w:lineRule="auto"/>
        <w:textAlignment w:val="auto"/>
        <w:rPr>
          <w:rFonts w:hint="default" w:ascii="Times New Roman" w:hAnsi="Times New Roman" w:eastAsia="宋体" w:cs="Times New Roman"/>
          <w:b/>
          <w:color w:val="000000"/>
          <w:sz w:val="28"/>
          <w:szCs w:val="28"/>
        </w:rPr>
      </w:pPr>
      <w:r>
        <w:rPr>
          <w:rFonts w:hint="default" w:ascii="Times New Roman" w:hAnsi="Times New Roman" w:cs="Times New Roman"/>
          <w:sz w:val="28"/>
          <w:szCs w:val="28"/>
        </w:rPr>
        <w:t>Appendix B. Tables</w:t>
      </w:r>
    </w:p>
    <w:p w14:paraId="07F45C89">
      <w:pPr>
        <w:pStyle w:val="13"/>
        <w:keepNext/>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Times New Roman" w:hAnsi="Times New Roman" w:cs="Times New Roman"/>
          <w:b/>
          <w:sz w:val="24"/>
          <w:szCs w:val="24"/>
        </w:rPr>
      </w:pPr>
      <w:r>
        <w:rPr>
          <w:rFonts w:hint="default" w:ascii="Times New Roman" w:hAnsi="Times New Roman" w:cs="Times New Roman"/>
          <w:sz w:val="24"/>
          <w:szCs w:val="24"/>
        </w:rPr>
        <w:t>B1. Descriptive evidence</w:t>
      </w:r>
    </w:p>
    <w:p w14:paraId="40D5C59A">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b/>
          <w:sz w:val="22"/>
          <w:szCs w:val="22"/>
        </w:rPr>
      </w:pPr>
      <w:r>
        <w:rPr>
          <w:rFonts w:hint="default" w:ascii="Times New Roman" w:hAnsi="Times New Roman" w:cs="Times New Roman"/>
          <w:sz w:val="22"/>
          <w:szCs w:val="22"/>
        </w:rPr>
        <w:t>Appendix Table 1. Percentage of faculty at elite universities with an elite doctoral background, by gender, discipline, employment country, and data source (Unit: %)</w:t>
      </w:r>
    </w:p>
    <w:tbl>
      <w:tblPr>
        <w:tblStyle w:val="5"/>
        <w:tblW w:w="8089" w:type="dxa"/>
        <w:jc w:val="center"/>
        <w:tblLayout w:type="autofit"/>
        <w:tblCellMar>
          <w:top w:w="0" w:type="dxa"/>
          <w:left w:w="108" w:type="dxa"/>
          <w:bottom w:w="0" w:type="dxa"/>
          <w:right w:w="108" w:type="dxa"/>
        </w:tblCellMar>
      </w:tblPr>
      <w:tblGrid>
        <w:gridCol w:w="1121"/>
        <w:gridCol w:w="2708"/>
        <w:gridCol w:w="1247"/>
        <w:gridCol w:w="1071"/>
        <w:gridCol w:w="1942"/>
      </w:tblGrid>
      <w:tr w14:paraId="08946FAC">
        <w:tblPrEx>
          <w:tblCellMar>
            <w:top w:w="0" w:type="dxa"/>
            <w:left w:w="108" w:type="dxa"/>
            <w:bottom w:w="0" w:type="dxa"/>
            <w:right w:w="108" w:type="dxa"/>
          </w:tblCellMar>
        </w:tblPrEx>
        <w:trPr>
          <w:cantSplit/>
          <w:trHeight w:val="283" w:hRule="atLeast"/>
          <w:tblHeader/>
          <w:jc w:val="center"/>
        </w:trPr>
        <w:tc>
          <w:tcPr>
            <w:tcW w:w="1121" w:type="dxa"/>
            <w:tcBorders>
              <w:top w:val="single" w:color="auto" w:sz="4" w:space="0"/>
              <w:left w:val="single" w:color="auto" w:sz="4" w:space="0"/>
              <w:bottom w:val="nil"/>
              <w:right w:val="nil"/>
            </w:tcBorders>
            <w:tcMar>
              <w:top w:w="-1" w:type="dxa"/>
              <w:left w:w="-1" w:type="dxa"/>
              <w:bottom w:w="-1" w:type="dxa"/>
              <w:right w:w="-1" w:type="dxa"/>
            </w:tcMar>
            <w:vAlign w:val="center"/>
          </w:tcPr>
          <w:p w14:paraId="1AEF3770">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bCs/>
                <w:kern w:val="0"/>
                <w:szCs w:val="21"/>
                <w:lang w:bidi="ar"/>
              </w:rPr>
              <w:t>Group</w:t>
            </w:r>
          </w:p>
        </w:tc>
        <w:tc>
          <w:tcPr>
            <w:tcW w:w="2708" w:type="dxa"/>
            <w:tcBorders>
              <w:top w:val="single" w:color="auto" w:sz="4" w:space="0"/>
              <w:left w:val="single" w:color="auto" w:sz="4" w:space="0"/>
              <w:bottom w:val="nil"/>
              <w:right w:val="single" w:color="auto" w:sz="4" w:space="0"/>
            </w:tcBorders>
            <w:vAlign w:val="center"/>
          </w:tcPr>
          <w:p w14:paraId="1A29F412">
            <w:pPr>
              <w:widowControl/>
              <w:snapToGrid w:val="0"/>
              <w:spacing w:before="0" w:after="0" w:line="240" w:lineRule="auto"/>
              <w:jc w:val="center"/>
              <w:textAlignment w:val="bottom"/>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Category</w:t>
            </w:r>
          </w:p>
        </w:tc>
        <w:tc>
          <w:tcPr>
            <w:tcW w:w="1247" w:type="dxa"/>
            <w:tcBorders>
              <w:top w:val="single" w:color="auto" w:sz="4" w:space="0"/>
              <w:left w:val="single" w:color="auto" w:sz="4" w:space="0"/>
              <w:bottom w:val="nil"/>
              <w:right w:val="single" w:color="auto" w:sz="4" w:space="0"/>
            </w:tcBorders>
            <w:vAlign w:val="center"/>
          </w:tcPr>
          <w:p w14:paraId="789DDC19">
            <w:pPr>
              <w:widowControl/>
              <w:snapToGrid w:val="0"/>
              <w:spacing w:before="0" w:after="0" w:line="240" w:lineRule="auto"/>
              <w:jc w:val="center"/>
              <w:textAlignment w:val="bottom"/>
              <w:rPr>
                <w:rFonts w:hint="default" w:ascii="Times New Roman" w:hAnsi="Times New Roman" w:eastAsia="宋体" w:cs="Times New Roman"/>
                <w:b/>
                <w:bCs/>
                <w:kern w:val="0"/>
                <w:szCs w:val="21"/>
                <w:lang w:val="en-US" w:eastAsia="zh-CN" w:bidi="ar"/>
              </w:rPr>
            </w:pPr>
            <w:r>
              <w:rPr>
                <w:rFonts w:hint="default" w:ascii="Times New Roman" w:hAnsi="Times New Roman" w:eastAsia="宋体" w:cs="Times New Roman"/>
                <w:b/>
                <w:bCs/>
                <w:kern w:val="0"/>
                <w:szCs w:val="21"/>
                <w:lang w:val="en-US" w:eastAsia="zh-CN" w:bidi="ar"/>
              </w:rPr>
              <w:t>OpenAlex</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FCDD577">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bCs/>
                <w:szCs w:val="21"/>
              </w:rPr>
              <w:t>ORCID</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B9D30ED">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bCs/>
                <w:szCs w:val="21"/>
                <w:lang w:val="en-US" w:eastAsia="zh-CN"/>
              </w:rPr>
              <w:t xml:space="preserve">Global </w:t>
            </w:r>
            <w:r>
              <w:rPr>
                <w:rFonts w:hint="default" w:ascii="Times New Roman" w:hAnsi="Times New Roman" w:eastAsia="宋体" w:cs="Times New Roman"/>
                <w:b/>
                <w:bCs/>
                <w:szCs w:val="21"/>
              </w:rPr>
              <w:t>Faculty CV</w:t>
            </w:r>
          </w:p>
        </w:tc>
      </w:tr>
      <w:tr w14:paraId="1A4FA962">
        <w:tblPrEx>
          <w:tblCellMar>
            <w:top w:w="0" w:type="dxa"/>
            <w:left w:w="108" w:type="dxa"/>
            <w:bottom w:w="0" w:type="dxa"/>
            <w:right w:w="108" w:type="dxa"/>
          </w:tblCellMar>
        </w:tblPrEx>
        <w:trPr>
          <w:cantSplit/>
          <w:trHeight w:val="283" w:hRule="atLeast"/>
          <w:jc w:val="center"/>
        </w:trPr>
        <w:tc>
          <w:tcPr>
            <w:tcW w:w="1121" w:type="dxa"/>
            <w:vMerge w:val="restart"/>
            <w:tcBorders>
              <w:top w:val="single" w:color="auto" w:sz="4" w:space="0"/>
              <w:left w:val="single" w:color="auto" w:sz="4" w:space="0"/>
              <w:right w:val="nil"/>
            </w:tcBorders>
            <w:tcMar>
              <w:top w:w="-1" w:type="dxa"/>
              <w:left w:w="-1" w:type="dxa"/>
              <w:bottom w:w="-1" w:type="dxa"/>
              <w:right w:w="-1" w:type="dxa"/>
            </w:tcMar>
            <w:vAlign w:val="center"/>
          </w:tcPr>
          <w:p w14:paraId="2DB055A8">
            <w:pPr>
              <w:widowControl/>
              <w:snapToGrid w:val="0"/>
              <w:spacing w:before="0" w:after="0" w:line="240" w:lineRule="auto"/>
              <w:jc w:val="center"/>
              <w:textAlignment w:val="bottom"/>
              <w:rPr>
                <w:rFonts w:hint="default" w:ascii="Times New Roman" w:hAnsi="Times New Roman" w:cs="Times New Roman"/>
                <w:szCs w:val="21"/>
              </w:rPr>
            </w:pPr>
            <w:bookmarkStart w:id="1" w:name="_Hlk232522861"/>
            <w:r>
              <w:rPr>
                <w:rFonts w:hint="default" w:ascii="Times New Roman" w:hAnsi="Times New Roman" w:eastAsia="宋体" w:cs="Times New Roman"/>
                <w:kern w:val="0"/>
                <w:szCs w:val="21"/>
                <w:lang w:bidi="ar"/>
              </w:rPr>
              <w:t>Gender</w:t>
            </w:r>
          </w:p>
        </w:tc>
        <w:tc>
          <w:tcPr>
            <w:tcW w:w="2708" w:type="dxa"/>
            <w:tcBorders>
              <w:top w:val="single" w:color="auto" w:sz="4" w:space="0"/>
              <w:left w:val="single" w:color="auto" w:sz="4" w:space="0"/>
              <w:bottom w:val="single" w:color="auto" w:sz="4" w:space="0"/>
              <w:right w:val="single" w:color="auto" w:sz="4" w:space="0"/>
            </w:tcBorders>
            <w:vAlign w:val="center"/>
          </w:tcPr>
          <w:p w14:paraId="1E1E7E86">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Male</w:t>
            </w:r>
          </w:p>
        </w:tc>
        <w:tc>
          <w:tcPr>
            <w:tcW w:w="1247" w:type="dxa"/>
            <w:tcBorders>
              <w:top w:val="single" w:color="auto" w:sz="4" w:space="0"/>
              <w:left w:val="single" w:color="auto" w:sz="4" w:space="0"/>
              <w:bottom w:val="nil"/>
              <w:right w:val="single" w:color="auto" w:sz="4" w:space="0"/>
            </w:tcBorders>
            <w:vAlign w:val="center"/>
          </w:tcPr>
          <w:p w14:paraId="56665DEC">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61.93</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5F784CB">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78.28</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F920612">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41.03</w:t>
            </w:r>
          </w:p>
        </w:tc>
      </w:tr>
      <w:bookmarkEnd w:id="1"/>
      <w:tr w14:paraId="65974799">
        <w:tblPrEx>
          <w:tblCellMar>
            <w:top w:w="0" w:type="dxa"/>
            <w:left w:w="108" w:type="dxa"/>
            <w:bottom w:w="0" w:type="dxa"/>
            <w:right w:w="108" w:type="dxa"/>
          </w:tblCellMar>
        </w:tblPrEx>
        <w:trPr>
          <w:cantSplit/>
          <w:trHeight w:val="283" w:hRule="atLeast"/>
          <w:jc w:val="center"/>
        </w:trPr>
        <w:tc>
          <w:tcPr>
            <w:tcW w:w="1121" w:type="dxa"/>
            <w:vMerge w:val="continue"/>
            <w:tcBorders>
              <w:left w:val="single" w:color="auto" w:sz="4" w:space="0"/>
              <w:right w:val="nil"/>
            </w:tcBorders>
            <w:tcMar>
              <w:top w:w="-1" w:type="dxa"/>
              <w:left w:w="-1" w:type="dxa"/>
              <w:bottom w:w="-1" w:type="dxa"/>
              <w:right w:w="-1" w:type="dxa"/>
            </w:tcMar>
            <w:vAlign w:val="center"/>
          </w:tcPr>
          <w:p w14:paraId="69513EC5">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4F823D7C">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Female</w:t>
            </w:r>
          </w:p>
        </w:tc>
        <w:tc>
          <w:tcPr>
            <w:tcW w:w="1247" w:type="dxa"/>
            <w:tcBorders>
              <w:top w:val="single" w:color="auto" w:sz="4" w:space="0"/>
              <w:left w:val="single" w:color="auto" w:sz="4" w:space="0"/>
              <w:bottom w:val="nil"/>
              <w:right w:val="single" w:color="auto" w:sz="4" w:space="0"/>
            </w:tcBorders>
            <w:vAlign w:val="center"/>
          </w:tcPr>
          <w:p w14:paraId="1DD3D077">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59.99</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AACA94F">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78.97</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A5A3928">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45.03</w:t>
            </w:r>
          </w:p>
        </w:tc>
      </w:tr>
      <w:tr w14:paraId="5885DD28">
        <w:tblPrEx>
          <w:tblCellMar>
            <w:top w:w="0" w:type="dxa"/>
            <w:left w:w="108" w:type="dxa"/>
            <w:bottom w:w="0" w:type="dxa"/>
            <w:right w:w="108" w:type="dxa"/>
          </w:tblCellMar>
        </w:tblPrEx>
        <w:trPr>
          <w:cantSplit/>
          <w:trHeight w:val="283" w:hRule="atLeast"/>
          <w:jc w:val="center"/>
        </w:trPr>
        <w:tc>
          <w:tcPr>
            <w:tcW w:w="1121" w:type="dxa"/>
            <w:vMerge w:val="restart"/>
            <w:tcBorders>
              <w:top w:val="single" w:color="auto" w:sz="4" w:space="0"/>
              <w:left w:val="single" w:color="auto" w:sz="4" w:space="0"/>
              <w:right w:val="nil"/>
            </w:tcBorders>
            <w:tcMar>
              <w:top w:w="-1" w:type="dxa"/>
              <w:left w:w="-1" w:type="dxa"/>
              <w:bottom w:w="-1" w:type="dxa"/>
              <w:right w:w="-1" w:type="dxa"/>
            </w:tcMar>
            <w:vAlign w:val="center"/>
          </w:tcPr>
          <w:p w14:paraId="6FA5400C">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Discipline</w:t>
            </w:r>
          </w:p>
        </w:tc>
        <w:tc>
          <w:tcPr>
            <w:tcW w:w="2708" w:type="dxa"/>
            <w:tcBorders>
              <w:top w:val="single" w:color="auto" w:sz="4" w:space="0"/>
              <w:left w:val="single" w:color="auto" w:sz="4" w:space="0"/>
              <w:bottom w:val="single" w:color="auto" w:sz="4" w:space="0"/>
              <w:right w:val="single" w:color="auto" w:sz="4" w:space="0"/>
            </w:tcBorders>
            <w:vAlign w:val="center"/>
          </w:tcPr>
          <w:p w14:paraId="6D775127">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Applied Sciences</w:t>
            </w:r>
          </w:p>
        </w:tc>
        <w:tc>
          <w:tcPr>
            <w:tcW w:w="1247" w:type="dxa"/>
            <w:tcBorders>
              <w:top w:val="single" w:color="auto" w:sz="4" w:space="0"/>
              <w:left w:val="single" w:color="auto" w:sz="4" w:space="0"/>
              <w:bottom w:val="nil"/>
              <w:right w:val="single" w:color="auto" w:sz="4" w:space="0"/>
            </w:tcBorders>
            <w:vAlign w:val="center"/>
          </w:tcPr>
          <w:p w14:paraId="4D6D61EF">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57.64</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E93E692">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76.05</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4494E33">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41.06</w:t>
            </w:r>
          </w:p>
        </w:tc>
      </w:tr>
      <w:tr w14:paraId="6830B66B">
        <w:tblPrEx>
          <w:tblCellMar>
            <w:top w:w="0" w:type="dxa"/>
            <w:left w:w="108" w:type="dxa"/>
            <w:bottom w:w="0" w:type="dxa"/>
            <w:right w:w="108" w:type="dxa"/>
          </w:tblCellMar>
        </w:tblPrEx>
        <w:trPr>
          <w:cantSplit/>
          <w:trHeight w:val="283" w:hRule="atLeast"/>
          <w:jc w:val="center"/>
        </w:trPr>
        <w:tc>
          <w:tcPr>
            <w:tcW w:w="1121" w:type="dxa"/>
            <w:vMerge w:val="continue"/>
            <w:tcBorders>
              <w:left w:val="single" w:color="auto" w:sz="4" w:space="0"/>
              <w:right w:val="nil"/>
            </w:tcBorders>
            <w:tcMar>
              <w:top w:w="-1" w:type="dxa"/>
              <w:left w:w="-1" w:type="dxa"/>
              <w:bottom w:w="-1" w:type="dxa"/>
              <w:right w:w="-1" w:type="dxa"/>
            </w:tcMar>
            <w:vAlign w:val="center"/>
          </w:tcPr>
          <w:p w14:paraId="27EEF25C">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636DC491">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Engineering</w:t>
            </w:r>
          </w:p>
        </w:tc>
        <w:tc>
          <w:tcPr>
            <w:tcW w:w="1247" w:type="dxa"/>
            <w:tcBorders>
              <w:top w:val="single" w:color="auto" w:sz="4" w:space="0"/>
              <w:left w:val="single" w:color="auto" w:sz="4" w:space="0"/>
              <w:bottom w:val="nil"/>
              <w:right w:val="single" w:color="auto" w:sz="4" w:space="0"/>
            </w:tcBorders>
            <w:vAlign w:val="center"/>
          </w:tcPr>
          <w:p w14:paraId="6716A1E9">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56.48</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99E82EA">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79.86</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5702F46">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55.07</w:t>
            </w:r>
          </w:p>
        </w:tc>
      </w:tr>
      <w:tr w14:paraId="6C784B48">
        <w:tblPrEx>
          <w:tblCellMar>
            <w:top w:w="0" w:type="dxa"/>
            <w:left w:w="108" w:type="dxa"/>
            <w:bottom w:w="0" w:type="dxa"/>
            <w:right w:w="108" w:type="dxa"/>
          </w:tblCellMar>
        </w:tblPrEx>
        <w:trPr>
          <w:cantSplit/>
          <w:trHeight w:val="283" w:hRule="atLeast"/>
          <w:jc w:val="center"/>
        </w:trPr>
        <w:tc>
          <w:tcPr>
            <w:tcW w:w="1121" w:type="dxa"/>
            <w:vMerge w:val="continue"/>
            <w:tcBorders>
              <w:left w:val="single" w:color="auto" w:sz="4" w:space="0"/>
              <w:right w:val="nil"/>
            </w:tcBorders>
            <w:tcMar>
              <w:top w:w="-1" w:type="dxa"/>
              <w:left w:w="-1" w:type="dxa"/>
              <w:bottom w:w="-1" w:type="dxa"/>
              <w:right w:w="-1" w:type="dxa"/>
            </w:tcMar>
            <w:vAlign w:val="center"/>
          </w:tcPr>
          <w:p w14:paraId="5973E60B">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1A03E943">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Humanities</w:t>
            </w:r>
          </w:p>
        </w:tc>
        <w:tc>
          <w:tcPr>
            <w:tcW w:w="1247" w:type="dxa"/>
            <w:tcBorders>
              <w:top w:val="single" w:color="auto" w:sz="4" w:space="0"/>
              <w:left w:val="single" w:color="auto" w:sz="4" w:space="0"/>
              <w:bottom w:val="nil"/>
              <w:right w:val="single" w:color="auto" w:sz="4" w:space="0"/>
            </w:tcBorders>
            <w:vAlign w:val="center"/>
          </w:tcPr>
          <w:p w14:paraId="1870735B">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59.47</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0EF682F">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83.46</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E860F50">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44.26</w:t>
            </w:r>
          </w:p>
        </w:tc>
      </w:tr>
      <w:tr w14:paraId="183BEEAB">
        <w:tblPrEx>
          <w:tblCellMar>
            <w:top w:w="0" w:type="dxa"/>
            <w:left w:w="108" w:type="dxa"/>
            <w:bottom w:w="0" w:type="dxa"/>
            <w:right w:w="108" w:type="dxa"/>
          </w:tblCellMar>
        </w:tblPrEx>
        <w:trPr>
          <w:cantSplit/>
          <w:trHeight w:val="283" w:hRule="atLeast"/>
          <w:jc w:val="center"/>
        </w:trPr>
        <w:tc>
          <w:tcPr>
            <w:tcW w:w="1121" w:type="dxa"/>
            <w:vMerge w:val="continue"/>
            <w:tcBorders>
              <w:left w:val="single" w:color="auto" w:sz="4" w:space="0"/>
              <w:right w:val="nil"/>
            </w:tcBorders>
            <w:tcMar>
              <w:top w:w="-1" w:type="dxa"/>
              <w:left w:w="-1" w:type="dxa"/>
              <w:bottom w:w="-1" w:type="dxa"/>
              <w:right w:w="-1" w:type="dxa"/>
            </w:tcMar>
            <w:vAlign w:val="center"/>
          </w:tcPr>
          <w:p w14:paraId="09EEC715">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4ECD0BA7">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Mathematics and Computing</w:t>
            </w:r>
          </w:p>
        </w:tc>
        <w:tc>
          <w:tcPr>
            <w:tcW w:w="1247" w:type="dxa"/>
            <w:tcBorders>
              <w:top w:val="single" w:color="auto" w:sz="4" w:space="0"/>
              <w:left w:val="single" w:color="auto" w:sz="4" w:space="0"/>
              <w:bottom w:val="nil"/>
              <w:right w:val="single" w:color="auto" w:sz="4" w:space="0"/>
            </w:tcBorders>
            <w:vAlign w:val="center"/>
          </w:tcPr>
          <w:p w14:paraId="71ED620B">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57.20</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49EC45E">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79.87</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769B0BA">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37.66</w:t>
            </w:r>
          </w:p>
        </w:tc>
      </w:tr>
      <w:tr w14:paraId="1A39F6C5">
        <w:tblPrEx>
          <w:tblCellMar>
            <w:top w:w="0" w:type="dxa"/>
            <w:left w:w="108" w:type="dxa"/>
            <w:bottom w:w="0" w:type="dxa"/>
            <w:right w:w="108" w:type="dxa"/>
          </w:tblCellMar>
        </w:tblPrEx>
        <w:trPr>
          <w:cantSplit/>
          <w:trHeight w:val="283" w:hRule="atLeast"/>
          <w:jc w:val="center"/>
        </w:trPr>
        <w:tc>
          <w:tcPr>
            <w:tcW w:w="1121" w:type="dxa"/>
            <w:vMerge w:val="continue"/>
            <w:tcBorders>
              <w:left w:val="single" w:color="auto" w:sz="4" w:space="0"/>
              <w:right w:val="nil"/>
            </w:tcBorders>
            <w:tcMar>
              <w:top w:w="-1" w:type="dxa"/>
              <w:left w:w="-1" w:type="dxa"/>
              <w:bottom w:w="-1" w:type="dxa"/>
              <w:right w:w="-1" w:type="dxa"/>
            </w:tcMar>
            <w:vAlign w:val="center"/>
          </w:tcPr>
          <w:p w14:paraId="23277FBD">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15207DC4">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Medicine and Health</w:t>
            </w:r>
          </w:p>
        </w:tc>
        <w:tc>
          <w:tcPr>
            <w:tcW w:w="1247" w:type="dxa"/>
            <w:tcBorders>
              <w:top w:val="single" w:color="auto" w:sz="4" w:space="0"/>
              <w:left w:val="single" w:color="auto" w:sz="4" w:space="0"/>
              <w:bottom w:val="nil"/>
              <w:right w:val="single" w:color="auto" w:sz="4" w:space="0"/>
            </w:tcBorders>
            <w:vAlign w:val="center"/>
          </w:tcPr>
          <w:p w14:paraId="679FE547">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64.51</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CEC112D">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77.07</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4A379F8">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41.32</w:t>
            </w:r>
          </w:p>
        </w:tc>
      </w:tr>
      <w:tr w14:paraId="592E9DA7">
        <w:tblPrEx>
          <w:tblCellMar>
            <w:top w:w="0" w:type="dxa"/>
            <w:left w:w="108" w:type="dxa"/>
            <w:bottom w:w="0" w:type="dxa"/>
            <w:right w:w="108" w:type="dxa"/>
          </w:tblCellMar>
        </w:tblPrEx>
        <w:trPr>
          <w:cantSplit/>
          <w:trHeight w:val="283" w:hRule="atLeast"/>
          <w:jc w:val="center"/>
        </w:trPr>
        <w:tc>
          <w:tcPr>
            <w:tcW w:w="1121" w:type="dxa"/>
            <w:vMerge w:val="continue"/>
            <w:tcBorders>
              <w:left w:val="single" w:color="auto" w:sz="4" w:space="0"/>
              <w:right w:val="nil"/>
            </w:tcBorders>
            <w:tcMar>
              <w:top w:w="-1" w:type="dxa"/>
              <w:left w:w="-1" w:type="dxa"/>
              <w:bottom w:w="-1" w:type="dxa"/>
              <w:right w:w="-1" w:type="dxa"/>
            </w:tcMar>
            <w:vAlign w:val="center"/>
          </w:tcPr>
          <w:p w14:paraId="2485E82C">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70B13D6D">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Natural Sciences</w:t>
            </w:r>
          </w:p>
        </w:tc>
        <w:tc>
          <w:tcPr>
            <w:tcW w:w="1247" w:type="dxa"/>
            <w:tcBorders>
              <w:top w:val="single" w:color="auto" w:sz="4" w:space="0"/>
              <w:left w:val="single" w:color="auto" w:sz="4" w:space="0"/>
              <w:bottom w:val="nil"/>
              <w:right w:val="single" w:color="auto" w:sz="4" w:space="0"/>
            </w:tcBorders>
            <w:vAlign w:val="center"/>
          </w:tcPr>
          <w:p w14:paraId="1540DFAE">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62.04</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DCAD6C8">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78.88</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8CFD93A">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51.08</w:t>
            </w:r>
          </w:p>
        </w:tc>
      </w:tr>
      <w:tr w14:paraId="12DB783B">
        <w:tblPrEx>
          <w:tblCellMar>
            <w:top w:w="0" w:type="dxa"/>
            <w:left w:w="108" w:type="dxa"/>
            <w:bottom w:w="0" w:type="dxa"/>
            <w:right w:w="108" w:type="dxa"/>
          </w:tblCellMar>
        </w:tblPrEx>
        <w:trPr>
          <w:cantSplit/>
          <w:trHeight w:val="283" w:hRule="atLeast"/>
          <w:jc w:val="center"/>
        </w:trPr>
        <w:tc>
          <w:tcPr>
            <w:tcW w:w="1121" w:type="dxa"/>
            <w:vMerge w:val="continue"/>
            <w:tcBorders>
              <w:left w:val="single" w:color="auto" w:sz="4" w:space="0"/>
              <w:bottom w:val="single" w:color="auto" w:sz="4" w:space="0"/>
              <w:right w:val="nil"/>
            </w:tcBorders>
            <w:tcMar>
              <w:top w:w="-1" w:type="dxa"/>
              <w:left w:w="-1" w:type="dxa"/>
              <w:bottom w:w="-1" w:type="dxa"/>
              <w:right w:w="-1" w:type="dxa"/>
            </w:tcMar>
            <w:vAlign w:val="center"/>
          </w:tcPr>
          <w:p w14:paraId="073E2DB2">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5AE8BD67">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Social Sciences</w:t>
            </w:r>
          </w:p>
        </w:tc>
        <w:tc>
          <w:tcPr>
            <w:tcW w:w="1247" w:type="dxa"/>
            <w:tcBorders>
              <w:top w:val="single" w:color="auto" w:sz="4" w:space="0"/>
              <w:left w:val="single" w:color="auto" w:sz="4" w:space="0"/>
              <w:bottom w:val="nil"/>
              <w:right w:val="single" w:color="auto" w:sz="4" w:space="0"/>
            </w:tcBorders>
            <w:vAlign w:val="center"/>
          </w:tcPr>
          <w:p w14:paraId="41DB9E0D">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58.55</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BF56B14">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81.88</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DEB9746">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47.10</w:t>
            </w:r>
          </w:p>
        </w:tc>
      </w:tr>
      <w:tr w14:paraId="378E477C">
        <w:tblPrEx>
          <w:tblCellMar>
            <w:top w:w="0" w:type="dxa"/>
            <w:left w:w="108" w:type="dxa"/>
            <w:bottom w:w="0" w:type="dxa"/>
            <w:right w:w="108" w:type="dxa"/>
          </w:tblCellMar>
        </w:tblPrEx>
        <w:trPr>
          <w:cantSplit/>
          <w:trHeight w:val="283" w:hRule="atLeast"/>
          <w:jc w:val="center"/>
        </w:trPr>
        <w:tc>
          <w:tcPr>
            <w:tcW w:w="1121" w:type="dxa"/>
            <w:vMerge w:val="restart"/>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5853612">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kern w:val="0"/>
                <w:szCs w:val="21"/>
                <w:lang w:bidi="ar"/>
              </w:rPr>
              <w:t>Country</w:t>
            </w:r>
          </w:p>
        </w:tc>
        <w:tc>
          <w:tcPr>
            <w:tcW w:w="2708" w:type="dxa"/>
            <w:tcBorders>
              <w:top w:val="single" w:color="auto" w:sz="4" w:space="0"/>
              <w:left w:val="single" w:color="auto" w:sz="4" w:space="0"/>
              <w:bottom w:val="single" w:color="auto" w:sz="4" w:space="0"/>
              <w:right w:val="single" w:color="auto" w:sz="4" w:space="0"/>
            </w:tcBorders>
            <w:vAlign w:val="center"/>
          </w:tcPr>
          <w:p w14:paraId="120D00F7">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United States</w:t>
            </w:r>
          </w:p>
        </w:tc>
        <w:tc>
          <w:tcPr>
            <w:tcW w:w="1247" w:type="dxa"/>
            <w:tcBorders>
              <w:top w:val="single" w:color="auto" w:sz="4" w:space="0"/>
              <w:left w:val="single" w:color="auto" w:sz="4" w:space="0"/>
              <w:bottom w:val="nil"/>
              <w:right w:val="single" w:color="auto" w:sz="4" w:space="0"/>
            </w:tcBorders>
            <w:vAlign w:val="center"/>
          </w:tcPr>
          <w:p w14:paraId="36B324E2">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73.27</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99AF8AF">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76.90</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71AD386">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50.91</w:t>
            </w:r>
          </w:p>
        </w:tc>
      </w:tr>
      <w:tr w14:paraId="5B66B67D">
        <w:tblPrEx>
          <w:tblCellMar>
            <w:top w:w="0" w:type="dxa"/>
            <w:left w:w="108" w:type="dxa"/>
            <w:bottom w:w="0" w:type="dxa"/>
            <w:right w:w="108" w:type="dxa"/>
          </w:tblCellMar>
        </w:tblPrEx>
        <w:trPr>
          <w:cantSplit/>
          <w:trHeight w:val="283" w:hRule="atLeast"/>
          <w:jc w:val="center"/>
        </w:trPr>
        <w:tc>
          <w:tcPr>
            <w:tcW w:w="1121" w:type="dxa"/>
            <w:vMerge w:val="continue"/>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015A4BE">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5B0F9D05">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United Kingdom</w:t>
            </w:r>
          </w:p>
        </w:tc>
        <w:tc>
          <w:tcPr>
            <w:tcW w:w="1247" w:type="dxa"/>
            <w:tcBorders>
              <w:top w:val="single" w:color="auto" w:sz="4" w:space="0"/>
              <w:left w:val="single" w:color="auto" w:sz="4" w:space="0"/>
              <w:bottom w:val="nil"/>
              <w:right w:val="single" w:color="auto" w:sz="4" w:space="0"/>
            </w:tcBorders>
            <w:vAlign w:val="center"/>
          </w:tcPr>
          <w:p w14:paraId="6F2A95EF">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72.45</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922F968">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82.89</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4CEF189">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40.94</w:t>
            </w:r>
          </w:p>
        </w:tc>
      </w:tr>
      <w:tr w14:paraId="6B9D5E13">
        <w:tblPrEx>
          <w:tblCellMar>
            <w:top w:w="0" w:type="dxa"/>
            <w:left w:w="108" w:type="dxa"/>
            <w:bottom w:w="0" w:type="dxa"/>
            <w:right w:w="108" w:type="dxa"/>
          </w:tblCellMar>
        </w:tblPrEx>
        <w:trPr>
          <w:cantSplit/>
          <w:trHeight w:val="283" w:hRule="atLeast"/>
          <w:jc w:val="center"/>
        </w:trPr>
        <w:tc>
          <w:tcPr>
            <w:tcW w:w="1121" w:type="dxa"/>
            <w:vMerge w:val="continue"/>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3D1D216">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2300B2F9">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Australia</w:t>
            </w:r>
          </w:p>
        </w:tc>
        <w:tc>
          <w:tcPr>
            <w:tcW w:w="1247" w:type="dxa"/>
            <w:tcBorders>
              <w:top w:val="single" w:color="auto" w:sz="4" w:space="0"/>
              <w:left w:val="single" w:color="auto" w:sz="4" w:space="0"/>
              <w:bottom w:val="nil"/>
              <w:right w:val="single" w:color="auto" w:sz="4" w:space="0"/>
            </w:tcBorders>
            <w:vAlign w:val="center"/>
          </w:tcPr>
          <w:p w14:paraId="784D47B8">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85.52</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C10D24A">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90.93</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15EB3F2">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51.88</w:t>
            </w:r>
          </w:p>
        </w:tc>
      </w:tr>
      <w:tr w14:paraId="2DB3076C">
        <w:tblPrEx>
          <w:tblCellMar>
            <w:top w:w="0" w:type="dxa"/>
            <w:left w:w="108" w:type="dxa"/>
            <w:bottom w:w="0" w:type="dxa"/>
            <w:right w:w="108" w:type="dxa"/>
          </w:tblCellMar>
        </w:tblPrEx>
        <w:trPr>
          <w:cantSplit/>
          <w:trHeight w:val="283" w:hRule="atLeast"/>
          <w:jc w:val="center"/>
        </w:trPr>
        <w:tc>
          <w:tcPr>
            <w:tcW w:w="1121" w:type="dxa"/>
            <w:vMerge w:val="continue"/>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C80395D">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4ECC3CA0">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Canada</w:t>
            </w:r>
          </w:p>
        </w:tc>
        <w:tc>
          <w:tcPr>
            <w:tcW w:w="1247" w:type="dxa"/>
            <w:tcBorders>
              <w:top w:val="single" w:color="auto" w:sz="4" w:space="0"/>
              <w:left w:val="single" w:color="auto" w:sz="4" w:space="0"/>
              <w:bottom w:val="nil"/>
              <w:right w:val="single" w:color="auto" w:sz="4" w:space="0"/>
            </w:tcBorders>
            <w:vAlign w:val="center"/>
          </w:tcPr>
          <w:p w14:paraId="424CED4B">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79.74</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7A6B2E4">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82.73</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DAABCF4">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32.92</w:t>
            </w:r>
          </w:p>
        </w:tc>
      </w:tr>
      <w:tr w14:paraId="60B399BC">
        <w:tblPrEx>
          <w:tblCellMar>
            <w:top w:w="0" w:type="dxa"/>
            <w:left w:w="108" w:type="dxa"/>
            <w:bottom w:w="0" w:type="dxa"/>
            <w:right w:w="108" w:type="dxa"/>
          </w:tblCellMar>
        </w:tblPrEx>
        <w:trPr>
          <w:cantSplit/>
          <w:trHeight w:val="283" w:hRule="atLeast"/>
          <w:jc w:val="center"/>
        </w:trPr>
        <w:tc>
          <w:tcPr>
            <w:tcW w:w="1121" w:type="dxa"/>
            <w:vMerge w:val="continue"/>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35FCE6F">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2252C501">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China</w:t>
            </w:r>
          </w:p>
        </w:tc>
        <w:tc>
          <w:tcPr>
            <w:tcW w:w="1247" w:type="dxa"/>
            <w:tcBorders>
              <w:top w:val="single" w:color="auto" w:sz="4" w:space="0"/>
              <w:left w:val="single" w:color="auto" w:sz="4" w:space="0"/>
              <w:bottom w:val="nil"/>
              <w:right w:val="single" w:color="auto" w:sz="4" w:space="0"/>
            </w:tcBorders>
            <w:vAlign w:val="center"/>
          </w:tcPr>
          <w:p w14:paraId="2D614AD4">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54.09</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5AB9AFA">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75.01</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BD0ED69">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44.59</w:t>
            </w:r>
          </w:p>
        </w:tc>
      </w:tr>
      <w:tr w14:paraId="667BB350">
        <w:tblPrEx>
          <w:tblCellMar>
            <w:top w:w="0" w:type="dxa"/>
            <w:left w:w="108" w:type="dxa"/>
            <w:bottom w:w="0" w:type="dxa"/>
            <w:right w:w="108" w:type="dxa"/>
          </w:tblCellMar>
        </w:tblPrEx>
        <w:trPr>
          <w:cantSplit/>
          <w:trHeight w:val="283" w:hRule="atLeast"/>
          <w:jc w:val="center"/>
        </w:trPr>
        <w:tc>
          <w:tcPr>
            <w:tcW w:w="1121" w:type="dxa"/>
            <w:vMerge w:val="continue"/>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8CCC27E">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3B4ED8D5">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Germany</w:t>
            </w:r>
          </w:p>
        </w:tc>
        <w:tc>
          <w:tcPr>
            <w:tcW w:w="1247" w:type="dxa"/>
            <w:tcBorders>
              <w:top w:val="single" w:color="auto" w:sz="4" w:space="0"/>
              <w:left w:val="single" w:color="auto" w:sz="4" w:space="0"/>
              <w:bottom w:val="nil"/>
              <w:right w:val="single" w:color="auto" w:sz="4" w:space="0"/>
            </w:tcBorders>
            <w:vAlign w:val="center"/>
          </w:tcPr>
          <w:p w14:paraId="3E39CB4B">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74.85</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298F3E3">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76.57</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C39D3A0">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17.22</w:t>
            </w:r>
          </w:p>
        </w:tc>
      </w:tr>
      <w:tr w14:paraId="0F889010">
        <w:tblPrEx>
          <w:tblCellMar>
            <w:top w:w="0" w:type="dxa"/>
            <w:left w:w="108" w:type="dxa"/>
            <w:bottom w:w="0" w:type="dxa"/>
            <w:right w:w="108" w:type="dxa"/>
          </w:tblCellMar>
        </w:tblPrEx>
        <w:trPr>
          <w:cantSplit/>
          <w:trHeight w:val="283" w:hRule="atLeast"/>
          <w:jc w:val="center"/>
        </w:trPr>
        <w:tc>
          <w:tcPr>
            <w:tcW w:w="1121" w:type="dxa"/>
            <w:vMerge w:val="continue"/>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AA9F158">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19C52D78">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France</w:t>
            </w:r>
          </w:p>
        </w:tc>
        <w:tc>
          <w:tcPr>
            <w:tcW w:w="1247" w:type="dxa"/>
            <w:tcBorders>
              <w:top w:val="single" w:color="auto" w:sz="4" w:space="0"/>
              <w:left w:val="single" w:color="auto" w:sz="4" w:space="0"/>
              <w:bottom w:val="nil"/>
              <w:right w:val="single" w:color="auto" w:sz="4" w:space="0"/>
            </w:tcBorders>
            <w:vAlign w:val="center"/>
          </w:tcPr>
          <w:p w14:paraId="73F5D48B">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55.83</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A055CF4">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55.56</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4A3B69F">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26.42</w:t>
            </w:r>
          </w:p>
        </w:tc>
      </w:tr>
      <w:tr w14:paraId="54862B56">
        <w:tblPrEx>
          <w:tblCellMar>
            <w:top w:w="0" w:type="dxa"/>
            <w:left w:w="108" w:type="dxa"/>
            <w:bottom w:w="0" w:type="dxa"/>
            <w:right w:w="108" w:type="dxa"/>
          </w:tblCellMar>
        </w:tblPrEx>
        <w:trPr>
          <w:cantSplit/>
          <w:trHeight w:val="283" w:hRule="atLeast"/>
          <w:jc w:val="center"/>
        </w:trPr>
        <w:tc>
          <w:tcPr>
            <w:tcW w:w="1121" w:type="dxa"/>
            <w:vMerge w:val="continue"/>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F774D29">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2A7B06F6">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Spain</w:t>
            </w:r>
          </w:p>
        </w:tc>
        <w:tc>
          <w:tcPr>
            <w:tcW w:w="1247" w:type="dxa"/>
            <w:tcBorders>
              <w:top w:val="single" w:color="auto" w:sz="4" w:space="0"/>
              <w:left w:val="single" w:color="auto" w:sz="4" w:space="0"/>
              <w:bottom w:val="nil"/>
              <w:right w:val="single" w:color="auto" w:sz="4" w:space="0"/>
            </w:tcBorders>
            <w:vAlign w:val="center"/>
          </w:tcPr>
          <w:p w14:paraId="52D8754D">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68.01</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FFA73DE">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84.24</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E0424B0">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68.09</w:t>
            </w:r>
          </w:p>
        </w:tc>
      </w:tr>
      <w:tr w14:paraId="28199F32">
        <w:tblPrEx>
          <w:tblCellMar>
            <w:top w:w="0" w:type="dxa"/>
            <w:left w:w="108" w:type="dxa"/>
            <w:bottom w:w="0" w:type="dxa"/>
            <w:right w:w="108" w:type="dxa"/>
          </w:tblCellMar>
        </w:tblPrEx>
        <w:trPr>
          <w:cantSplit/>
          <w:trHeight w:val="283" w:hRule="atLeast"/>
          <w:jc w:val="center"/>
        </w:trPr>
        <w:tc>
          <w:tcPr>
            <w:tcW w:w="1121" w:type="dxa"/>
            <w:vMerge w:val="continue"/>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075FBBD">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4C691AAA">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Italy</w:t>
            </w:r>
          </w:p>
        </w:tc>
        <w:tc>
          <w:tcPr>
            <w:tcW w:w="1247" w:type="dxa"/>
            <w:tcBorders>
              <w:top w:val="single" w:color="auto" w:sz="4" w:space="0"/>
              <w:left w:val="single" w:color="auto" w:sz="4" w:space="0"/>
              <w:bottom w:val="nil"/>
              <w:right w:val="single" w:color="auto" w:sz="4" w:space="0"/>
            </w:tcBorders>
            <w:vAlign w:val="center"/>
          </w:tcPr>
          <w:p w14:paraId="6C8428B6">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63.30</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34FA3DB">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73.73</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CAF78B7">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32.76</w:t>
            </w:r>
          </w:p>
        </w:tc>
      </w:tr>
      <w:tr w14:paraId="1057199E">
        <w:tblPrEx>
          <w:tblCellMar>
            <w:top w:w="0" w:type="dxa"/>
            <w:left w:w="108" w:type="dxa"/>
            <w:bottom w:w="0" w:type="dxa"/>
            <w:right w:w="108" w:type="dxa"/>
          </w:tblCellMar>
        </w:tblPrEx>
        <w:trPr>
          <w:cantSplit/>
          <w:trHeight w:val="283" w:hRule="atLeast"/>
          <w:jc w:val="center"/>
        </w:trPr>
        <w:tc>
          <w:tcPr>
            <w:tcW w:w="1121" w:type="dxa"/>
            <w:vMerge w:val="continue"/>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BC22DA5">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6F8FC42A">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Japan</w:t>
            </w:r>
          </w:p>
        </w:tc>
        <w:tc>
          <w:tcPr>
            <w:tcW w:w="1247" w:type="dxa"/>
            <w:tcBorders>
              <w:top w:val="single" w:color="auto" w:sz="4" w:space="0"/>
              <w:left w:val="single" w:color="auto" w:sz="4" w:space="0"/>
              <w:bottom w:val="nil"/>
              <w:right w:val="single" w:color="auto" w:sz="4" w:space="0"/>
            </w:tcBorders>
            <w:vAlign w:val="center"/>
          </w:tcPr>
          <w:p w14:paraId="51E5CEF6">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39.69</w:t>
            </w:r>
          </w:p>
        </w:tc>
        <w:tc>
          <w:tcPr>
            <w:tcW w:w="107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22D428E">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85.18</w:t>
            </w:r>
          </w:p>
        </w:tc>
        <w:tc>
          <w:tcPr>
            <w:tcW w:w="194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72B6CCB">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42.36</w:t>
            </w:r>
          </w:p>
        </w:tc>
      </w:tr>
      <w:tr w14:paraId="120FF31E">
        <w:tblPrEx>
          <w:tblCellMar>
            <w:top w:w="0" w:type="dxa"/>
            <w:left w:w="108" w:type="dxa"/>
            <w:bottom w:w="0" w:type="dxa"/>
            <w:right w:w="108" w:type="dxa"/>
          </w:tblCellMar>
        </w:tblPrEx>
        <w:trPr>
          <w:cantSplit/>
          <w:trHeight w:val="283" w:hRule="atLeast"/>
          <w:jc w:val="center"/>
        </w:trPr>
        <w:tc>
          <w:tcPr>
            <w:tcW w:w="1121" w:type="dxa"/>
            <w:vMerge w:val="continue"/>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5021905">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5534A2F6">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India</w:t>
            </w:r>
          </w:p>
        </w:tc>
        <w:tc>
          <w:tcPr>
            <w:tcW w:w="1247" w:type="dxa"/>
            <w:tcBorders>
              <w:top w:val="single" w:color="auto" w:sz="4" w:space="0"/>
              <w:left w:val="single" w:color="auto" w:sz="4" w:space="0"/>
              <w:bottom w:val="single" w:color="auto" w:sz="4" w:space="0"/>
              <w:right w:val="single" w:color="auto" w:sz="4" w:space="0"/>
            </w:tcBorders>
            <w:vAlign w:val="center"/>
          </w:tcPr>
          <w:p w14:paraId="451A6EA7">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45.79</w:t>
            </w:r>
          </w:p>
        </w:tc>
        <w:tc>
          <w:tcPr>
            <w:tcW w:w="107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A818BD0">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45.85</w:t>
            </w:r>
          </w:p>
        </w:tc>
        <w:tc>
          <w:tcPr>
            <w:tcW w:w="1942"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9D78DA7">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30.10</w:t>
            </w:r>
          </w:p>
        </w:tc>
      </w:tr>
      <w:tr w14:paraId="3CCFE357">
        <w:tblPrEx>
          <w:tblCellMar>
            <w:top w:w="0" w:type="dxa"/>
            <w:left w:w="108" w:type="dxa"/>
            <w:bottom w:w="0" w:type="dxa"/>
            <w:right w:w="108" w:type="dxa"/>
          </w:tblCellMar>
        </w:tblPrEx>
        <w:trPr>
          <w:cantSplit/>
          <w:trHeight w:val="283" w:hRule="atLeast"/>
          <w:jc w:val="center"/>
        </w:trPr>
        <w:tc>
          <w:tcPr>
            <w:tcW w:w="1121" w:type="dxa"/>
            <w:vMerge w:val="continue"/>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D06214C">
            <w:pPr>
              <w:snapToGrid w:val="0"/>
              <w:jc w:val="center"/>
              <w:rPr>
                <w:rFonts w:hint="default" w:ascii="Times New Roman" w:hAnsi="Times New Roman" w:cs="Times New Roman"/>
                <w:szCs w:val="21"/>
              </w:rPr>
            </w:pPr>
          </w:p>
        </w:tc>
        <w:tc>
          <w:tcPr>
            <w:tcW w:w="2708" w:type="dxa"/>
            <w:tcBorders>
              <w:top w:val="single" w:color="auto" w:sz="4" w:space="0"/>
              <w:left w:val="single" w:color="auto" w:sz="4" w:space="0"/>
              <w:bottom w:val="single" w:color="auto" w:sz="4" w:space="0"/>
              <w:right w:val="single" w:color="auto" w:sz="4" w:space="0"/>
            </w:tcBorders>
            <w:vAlign w:val="center"/>
          </w:tcPr>
          <w:p w14:paraId="37E817C6">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Brazil</w:t>
            </w:r>
          </w:p>
        </w:tc>
        <w:tc>
          <w:tcPr>
            <w:tcW w:w="1247" w:type="dxa"/>
            <w:tcBorders>
              <w:top w:val="single" w:color="auto" w:sz="4" w:space="0"/>
              <w:left w:val="single" w:color="auto" w:sz="4" w:space="0"/>
              <w:bottom w:val="single" w:color="auto" w:sz="4" w:space="0"/>
              <w:right w:val="single" w:color="auto" w:sz="4" w:space="0"/>
            </w:tcBorders>
            <w:vAlign w:val="center"/>
          </w:tcPr>
          <w:p w14:paraId="69A03917">
            <w:pPr>
              <w:widowControl/>
              <w:snapToGrid w:val="0"/>
              <w:spacing w:before="0" w:after="0" w:line="240" w:lineRule="auto"/>
              <w:jc w:val="center"/>
              <w:textAlignment w:val="bottom"/>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49.80</w:t>
            </w:r>
          </w:p>
        </w:tc>
        <w:tc>
          <w:tcPr>
            <w:tcW w:w="107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7951F91">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75.54</w:t>
            </w:r>
          </w:p>
        </w:tc>
        <w:tc>
          <w:tcPr>
            <w:tcW w:w="1942"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EA1070D">
            <w:pPr>
              <w:widowControl/>
              <w:snapToGrid w:val="0"/>
              <w:spacing w:before="0" w:after="0" w:line="240" w:lineRule="auto"/>
              <w:jc w:val="center"/>
              <w:textAlignment w:val="bottom"/>
              <w:rPr>
                <w:rFonts w:hint="default" w:ascii="Times New Roman" w:hAnsi="Times New Roman" w:cs="Times New Roman"/>
                <w:szCs w:val="21"/>
              </w:rPr>
            </w:pPr>
            <w:r>
              <w:rPr>
                <w:rFonts w:hint="default" w:ascii="Times New Roman" w:hAnsi="Times New Roman" w:eastAsia="宋体" w:cs="Times New Roman"/>
                <w:szCs w:val="21"/>
              </w:rPr>
              <w:t>51.29</w:t>
            </w:r>
          </w:p>
        </w:tc>
      </w:tr>
    </w:tbl>
    <w:p w14:paraId="3332FC74">
      <w:pPr>
        <w:pStyle w:val="19"/>
        <w:widowControl/>
        <w:snapToGrid w:val="0"/>
        <w:textAlignment w:val="center"/>
        <w:rPr>
          <w:rFonts w:hint="default" w:ascii="Times New Roman" w:hAnsi="Times New Roman" w:eastAsia="宋体" w:cs="Times New Roman"/>
          <w:bCs/>
          <w:sz w:val="20"/>
          <w:szCs w:val="22"/>
        </w:rPr>
      </w:pPr>
      <w:r>
        <w:rPr>
          <w:rFonts w:hint="default" w:ascii="Times New Roman" w:hAnsi="Times New Roman" w:cs="Times New Roman"/>
          <w:sz w:val="20"/>
          <w:szCs w:val="28"/>
        </w:rPr>
        <w:t>Note. Entries are percentages. The denominator is faculty currently employed at elite universities in each data source. An elite doctoral background indicates that the doctoral degree was obtained from a university classified as elite under the study’s Top 500 criterion. Discipline refers to the faculty member’s current disciplinary field, and employment country refers to the country of the current employing institution.</w:t>
      </w:r>
    </w:p>
    <w:p w14:paraId="1C607AA5">
      <w:pPr>
        <w:widowControl/>
        <w:snapToGrid w:val="0"/>
        <w:textAlignment w:val="center"/>
        <w:rPr>
          <w:rFonts w:hint="default" w:ascii="Times New Roman" w:hAnsi="Times New Roman" w:eastAsia="宋体" w:cs="Times New Roman"/>
          <w:bCs/>
          <w:color w:val="000000"/>
          <w:sz w:val="24"/>
        </w:rPr>
      </w:pPr>
    </w:p>
    <w:p w14:paraId="7E6FEB44">
      <w:pPr>
        <w:rPr>
          <w:rFonts w:hint="default" w:ascii="Times New Roman" w:hAnsi="Times New Roman" w:eastAsia="宋体" w:cs="Times New Roman"/>
          <w:b/>
          <w:color w:val="000000"/>
          <w:sz w:val="24"/>
        </w:rPr>
      </w:pPr>
      <w:r>
        <w:rPr>
          <w:rFonts w:hint="default" w:ascii="Times New Roman" w:hAnsi="Times New Roman" w:eastAsia="宋体" w:cs="Times New Roman"/>
          <w:b/>
          <w:color w:val="000000"/>
          <w:sz w:val="24"/>
        </w:rPr>
        <w:br w:type="page"/>
      </w:r>
    </w:p>
    <w:p w14:paraId="6EBC189D">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2a. Percentage of senior corporate and government position holders with an elite undergraduate background, by subgroup</w:t>
      </w:r>
    </w:p>
    <w:p w14:paraId="599FAC3A">
      <w:pPr>
        <w:pStyle w:val="17"/>
        <w:keepNext/>
        <w:spacing w:before="156" w:beforeLines="50" w:after="156" w:afterLines="50"/>
        <w:rPr>
          <w:rFonts w:hint="default" w:ascii="Times New Roman" w:hAnsi="Times New Roman" w:cs="Times New Roman"/>
          <w:sz w:val="22"/>
          <w:szCs w:val="36"/>
        </w:rPr>
      </w:pPr>
      <w:r>
        <w:rPr>
          <w:rFonts w:hint="default" w:ascii="Times New Roman" w:hAnsi="Times New Roman" w:cs="Times New Roman"/>
          <w:sz w:val="22"/>
          <w:szCs w:val="36"/>
        </w:rPr>
        <w:t>Panel A. LinkedIn corporate sample</w:t>
      </w:r>
    </w:p>
    <w:tbl>
      <w:tblPr>
        <w:tblStyle w:val="5"/>
        <w:tblW w:w="9259" w:type="dxa"/>
        <w:jc w:val="center"/>
        <w:tblLayout w:type="fixed"/>
        <w:tblCellMar>
          <w:top w:w="0" w:type="dxa"/>
          <w:left w:w="108" w:type="dxa"/>
          <w:bottom w:w="0" w:type="dxa"/>
          <w:right w:w="108" w:type="dxa"/>
        </w:tblCellMar>
      </w:tblPr>
      <w:tblGrid>
        <w:gridCol w:w="951"/>
        <w:gridCol w:w="4959"/>
        <w:gridCol w:w="1247"/>
        <w:gridCol w:w="2102"/>
      </w:tblGrid>
      <w:tr w14:paraId="59B46CF7">
        <w:tblPrEx>
          <w:tblCellMar>
            <w:top w:w="0" w:type="dxa"/>
            <w:left w:w="108" w:type="dxa"/>
            <w:bottom w:w="0" w:type="dxa"/>
            <w:right w:w="108" w:type="dxa"/>
          </w:tblCellMar>
        </w:tblPrEx>
        <w:trPr>
          <w:trHeight w:val="283" w:hRule="atLeast"/>
          <w:jc w:val="center"/>
        </w:trPr>
        <w:tc>
          <w:tcPr>
            <w:tcW w:w="951"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28E63D95">
            <w:pPr>
              <w:widowControl/>
              <w:snapToGrid w:val="0"/>
              <w:spacing w:before="0" w:after="0" w:line="240" w:lineRule="auto"/>
              <w:jc w:val="center"/>
              <w:textAlignment w:val="bottom"/>
              <w:rPr>
                <w:rFonts w:hint="default" w:ascii="Times New Roman" w:hAnsi="Times New Roman" w:cs="Times New Roman"/>
                <w:b/>
                <w:bCs w:val="0"/>
                <w:szCs w:val="21"/>
              </w:rPr>
            </w:pPr>
            <w:r>
              <w:rPr>
                <w:rFonts w:hint="default" w:ascii="Times New Roman" w:hAnsi="Times New Roman" w:eastAsia="宋体" w:cs="Times New Roman"/>
                <w:b/>
                <w:bCs w:val="0"/>
                <w:kern w:val="0"/>
                <w:szCs w:val="21"/>
                <w:lang w:bidi="ar"/>
              </w:rPr>
              <w:t>Group</w:t>
            </w:r>
          </w:p>
        </w:tc>
        <w:tc>
          <w:tcPr>
            <w:tcW w:w="4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35728">
            <w:pPr>
              <w:widowControl/>
              <w:snapToGrid w:val="0"/>
              <w:spacing w:before="0" w:after="0" w:line="240" w:lineRule="auto"/>
              <w:jc w:val="center"/>
              <w:textAlignment w:val="bottom"/>
              <w:rPr>
                <w:rFonts w:hint="default" w:ascii="Times New Roman" w:hAnsi="Times New Roman" w:eastAsia="宋体" w:cs="Times New Roman"/>
                <w:b/>
                <w:bCs w:val="0"/>
                <w:kern w:val="0"/>
                <w:szCs w:val="21"/>
                <w:lang w:bidi="ar"/>
              </w:rPr>
            </w:pPr>
            <w:r>
              <w:rPr>
                <w:rFonts w:hint="default" w:ascii="Times New Roman" w:hAnsi="Times New Roman" w:eastAsia="宋体" w:cs="Times New Roman"/>
                <w:b/>
                <w:bCs w:val="0"/>
                <w:kern w:val="0"/>
                <w:szCs w:val="21"/>
                <w:lang w:bidi="ar"/>
              </w:rPr>
              <w:t>Category</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A15365">
            <w:pPr>
              <w:widowControl/>
              <w:snapToGrid w:val="0"/>
              <w:spacing w:before="0" w:after="0" w:line="240" w:lineRule="auto"/>
              <w:jc w:val="center"/>
              <w:textAlignment w:val="bottom"/>
              <w:rPr>
                <w:rFonts w:hint="default" w:ascii="Times New Roman" w:hAnsi="Times New Roman" w:eastAsia="宋体" w:cs="Times New Roman"/>
                <w:b/>
                <w:bCs w:val="0"/>
                <w:kern w:val="0"/>
                <w:szCs w:val="21"/>
                <w:lang w:val="en-US" w:eastAsia="zh-CN" w:bidi="ar"/>
              </w:rPr>
            </w:pPr>
            <w:r>
              <w:rPr>
                <w:rFonts w:hint="default" w:ascii="Times New Roman" w:hAnsi="Times New Roman" w:eastAsia="宋体" w:cs="Times New Roman"/>
                <w:b/>
                <w:bCs w:val="0"/>
                <w:kern w:val="0"/>
                <w:szCs w:val="21"/>
                <w:lang w:val="en-US" w:eastAsia="zh-CN" w:bidi="ar"/>
              </w:rPr>
              <w:t>N</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2197C3B">
            <w:pPr>
              <w:widowControl/>
              <w:snapToGrid w:val="0"/>
              <w:spacing w:before="0" w:after="0" w:line="240" w:lineRule="auto"/>
              <w:jc w:val="center"/>
              <w:textAlignment w:val="bottom"/>
              <w:rPr>
                <w:rFonts w:hint="default" w:ascii="Times New Roman" w:hAnsi="Times New Roman" w:cs="Times New Roman"/>
                <w:b/>
                <w:bCs w:val="0"/>
                <w:szCs w:val="21"/>
              </w:rPr>
            </w:pPr>
            <w:r>
              <w:rPr>
                <w:rFonts w:hint="default" w:ascii="Times New Roman" w:hAnsi="Times New Roman" w:eastAsia="宋体" w:cs="Times New Roman"/>
                <w:b/>
                <w:bCs/>
                <w:szCs w:val="21"/>
              </w:rPr>
              <w:t>Elite undergraduate background (%)</w:t>
            </w:r>
          </w:p>
        </w:tc>
      </w:tr>
      <w:tr w14:paraId="695BEE07">
        <w:tblPrEx>
          <w:tblCellMar>
            <w:top w:w="0" w:type="dxa"/>
            <w:left w:w="108" w:type="dxa"/>
            <w:bottom w:w="0" w:type="dxa"/>
            <w:right w:w="108" w:type="dxa"/>
          </w:tblCellMar>
        </w:tblPrEx>
        <w:trPr>
          <w:trHeight w:val="283" w:hRule="atLeast"/>
          <w:jc w:val="center"/>
        </w:trPr>
        <w:tc>
          <w:tcPr>
            <w:tcW w:w="9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F22E9A0">
            <w:pPr>
              <w:snapToGrid w:val="0"/>
              <w:jc w:val="center"/>
              <w:rPr>
                <w:rFonts w:hint="default" w:ascii="Times New Roman" w:hAnsi="Times New Roman" w:cs="Times New Roman"/>
                <w:b w:val="0"/>
                <w:szCs w:val="21"/>
              </w:rPr>
            </w:pPr>
            <w:r>
              <w:rPr>
                <w:rFonts w:hint="default" w:ascii="Times New Roman" w:hAnsi="Times New Roman" w:eastAsia="宋体" w:cs="Times New Roman"/>
                <w:szCs w:val="21"/>
              </w:rPr>
              <w:t>Overall</w:t>
            </w: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8F02">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Senior corporate positions</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1CA7">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829,530</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289FBC7">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33.77</w:t>
            </w:r>
          </w:p>
        </w:tc>
      </w:tr>
      <w:tr w14:paraId="6CA0E9C2">
        <w:tblPrEx>
          <w:tblCellMar>
            <w:top w:w="0" w:type="dxa"/>
            <w:left w:w="108" w:type="dxa"/>
            <w:bottom w:w="0" w:type="dxa"/>
            <w:right w:w="108" w:type="dxa"/>
          </w:tblCellMar>
        </w:tblPrEx>
        <w:trPr>
          <w:trHeight w:val="283" w:hRule="atLeast"/>
          <w:jc w:val="center"/>
        </w:trPr>
        <w:tc>
          <w:tcPr>
            <w:tcW w:w="951" w:type="dxa"/>
            <w:vMerge w:val="restart"/>
            <w:tcBorders>
              <w:top w:val="single" w:color="000000" w:sz="4" w:space="0"/>
              <w:left w:val="single" w:color="000000" w:sz="4" w:space="0"/>
              <w:right w:val="single" w:color="000000" w:sz="4" w:space="0"/>
            </w:tcBorders>
            <w:shd w:val="clear" w:color="auto" w:fill="FFFFFF"/>
            <w:tcMar>
              <w:top w:w="-1" w:type="dxa"/>
              <w:left w:w="-1" w:type="dxa"/>
              <w:bottom w:w="-1" w:type="dxa"/>
              <w:right w:w="-1" w:type="dxa"/>
            </w:tcMar>
            <w:vAlign w:val="center"/>
          </w:tcPr>
          <w:p w14:paraId="45AF61A3">
            <w:pPr>
              <w:snapToGrid w:val="0"/>
              <w:jc w:val="center"/>
              <w:rPr>
                <w:rFonts w:hint="default" w:ascii="Times New Roman" w:hAnsi="Times New Roman" w:cs="Times New Roman" w:eastAsiaTheme="minorEastAsia"/>
                <w:b w:val="0"/>
                <w:szCs w:val="21"/>
                <w:lang w:val="en-US" w:eastAsia="zh-CN"/>
              </w:rPr>
            </w:pPr>
            <w:r>
              <w:rPr>
                <w:rFonts w:hint="default" w:ascii="Times New Roman" w:hAnsi="Times New Roman" w:cs="Times New Roman"/>
                <w:b w:val="0"/>
                <w:szCs w:val="21"/>
                <w:lang w:val="en-US" w:eastAsia="zh-CN"/>
              </w:rPr>
              <w:t>Gender</w:t>
            </w: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02B2">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Male</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915A4">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506,713</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8D2F0DA">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32.99</w:t>
            </w:r>
          </w:p>
        </w:tc>
      </w:tr>
      <w:tr w14:paraId="120B9D4D">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762DBED">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6BF9">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Female</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78D49">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316,985</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159DA831">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35.17</w:t>
            </w:r>
          </w:p>
        </w:tc>
      </w:tr>
      <w:tr w14:paraId="7B9F4627">
        <w:tblPrEx>
          <w:tblCellMar>
            <w:top w:w="0" w:type="dxa"/>
            <w:left w:w="108" w:type="dxa"/>
            <w:bottom w:w="0" w:type="dxa"/>
            <w:right w:w="108" w:type="dxa"/>
          </w:tblCellMar>
        </w:tblPrEx>
        <w:trPr>
          <w:trHeight w:val="283" w:hRule="atLeast"/>
          <w:jc w:val="center"/>
        </w:trPr>
        <w:tc>
          <w:tcPr>
            <w:tcW w:w="951" w:type="dxa"/>
            <w:vMerge w:val="restart"/>
            <w:tcBorders>
              <w:top w:val="single" w:color="000000" w:sz="4" w:space="0"/>
              <w:left w:val="single" w:color="000000" w:sz="4" w:space="0"/>
              <w:right w:val="single" w:color="000000" w:sz="4" w:space="0"/>
            </w:tcBorders>
            <w:shd w:val="clear" w:color="auto" w:fill="FFFFFF"/>
            <w:tcMar>
              <w:top w:w="-1" w:type="dxa"/>
              <w:left w:w="-1" w:type="dxa"/>
              <w:bottom w:w="-1" w:type="dxa"/>
              <w:right w:w="-1" w:type="dxa"/>
            </w:tcMar>
            <w:vAlign w:val="center"/>
          </w:tcPr>
          <w:p w14:paraId="43AA4285">
            <w:pPr>
              <w:snapToGrid w:val="0"/>
              <w:jc w:val="center"/>
              <w:rPr>
                <w:rFonts w:hint="default" w:ascii="Times New Roman" w:hAnsi="Times New Roman" w:cs="Times New Roman"/>
                <w:b w:val="0"/>
                <w:szCs w:val="21"/>
              </w:rPr>
            </w:pPr>
            <w:r>
              <w:rPr>
                <w:rFonts w:hint="default" w:ascii="Times New Roman" w:hAnsi="Times New Roman" w:eastAsia="宋体" w:cs="Times New Roman"/>
                <w:szCs w:val="21"/>
              </w:rPr>
              <w:t>Industry</w:t>
            </w: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1E11">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Professional, scientific, and technical services</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C3ACE">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142,724</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7794B1F">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34.66</w:t>
            </w:r>
          </w:p>
        </w:tc>
      </w:tr>
      <w:tr w14:paraId="3486A7E0">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3BB7BFEC">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A8FF0">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Manufacturing</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F5FE">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139,158</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44D1D09">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32.33</w:t>
            </w:r>
          </w:p>
        </w:tc>
      </w:tr>
      <w:tr w14:paraId="34C64A3B">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73C7C3EA">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24B4">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Information</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6E59">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130,068</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489B982">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33.53</w:t>
            </w:r>
          </w:p>
        </w:tc>
      </w:tr>
      <w:tr w14:paraId="6A229E87">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0FCB0A71">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8ADC">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Finance and insurance</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79168">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116,998</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F43D105">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35.26</w:t>
            </w:r>
          </w:p>
        </w:tc>
      </w:tr>
      <w:tr w14:paraId="260E6E00">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1391E6CF">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F10A">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Health care and social assistance</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C66A5">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77,811</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8D73BB1">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31.10</w:t>
            </w:r>
          </w:p>
        </w:tc>
      </w:tr>
      <w:tr w14:paraId="70885070">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5E1F140D">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16AB">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Educational services</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A045">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72,611</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F29F2D4">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33.73</w:t>
            </w:r>
          </w:p>
        </w:tc>
      </w:tr>
      <w:tr w14:paraId="4449C415">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3F8C333D">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788CF">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Other services, except public administration</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10E1C">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40,769</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5B36A40">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37.04</w:t>
            </w:r>
          </w:p>
        </w:tc>
      </w:tr>
      <w:tr w14:paraId="32C3C6BB">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0D8CE006">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101B">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Retail trade</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20BF1">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21,783</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5360A2A">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32.08</w:t>
            </w:r>
          </w:p>
        </w:tc>
      </w:tr>
      <w:tr w14:paraId="26107861">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061C6291">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8A46">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Administrative and support services</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C055">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19,043</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FF5EBB3">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32.74</w:t>
            </w:r>
          </w:p>
        </w:tc>
      </w:tr>
      <w:tr w14:paraId="25EE24B8">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3FF0BB57">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DE106">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Transportation and warehousing</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F57E">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10,690</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1C2C54C4">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31.52</w:t>
            </w:r>
          </w:p>
        </w:tc>
      </w:tr>
      <w:tr w14:paraId="65968255">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07B7D23B">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3C579">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Wholesale trade</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F8BD9">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10,450</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4C5348E">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32.14</w:t>
            </w:r>
          </w:p>
        </w:tc>
      </w:tr>
      <w:tr w14:paraId="77F94244">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23AFE43D">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9263">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Utilities</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E84D">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8,371</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7977BCD">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37.10</w:t>
            </w:r>
          </w:p>
        </w:tc>
      </w:tr>
      <w:tr w14:paraId="650CA52E">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70137129">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4E9F">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Construction</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7DEDC">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8,039</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CC89614">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32.88</w:t>
            </w:r>
          </w:p>
        </w:tc>
      </w:tr>
      <w:tr w14:paraId="5D957688">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545B948B">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AF60">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Real estate and rental and leasing</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CED2">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7,939</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C894801">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35.65</w:t>
            </w:r>
          </w:p>
        </w:tc>
      </w:tr>
      <w:tr w14:paraId="5619FCDF">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67E5A9C5">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6E928">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Mining</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331E">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7,355</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6BFD60F">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41.59</w:t>
            </w:r>
          </w:p>
        </w:tc>
      </w:tr>
      <w:tr w14:paraId="20010FEC">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255126EE">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F477">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Arts, entertainment, and recreation</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EC1A">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7,026</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1DEFC7D6">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38.43</w:t>
            </w:r>
          </w:p>
        </w:tc>
      </w:tr>
      <w:tr w14:paraId="2E08FE3C">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65647BFF">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3F23">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Accommodation and food services</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3521">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6,091</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FC38C16">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30.64</w:t>
            </w:r>
          </w:p>
        </w:tc>
      </w:tr>
      <w:tr w14:paraId="0FF54D2F">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1CC7C107">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28A0">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Agriculture, forestry, fishing and hunting</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5710">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1,544</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5FD20CF">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34.52</w:t>
            </w:r>
          </w:p>
        </w:tc>
      </w:tr>
      <w:tr w14:paraId="2EF3AC69">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F4AF0F7">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2330">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Management of companies and enterprises</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D884C">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795</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6D3272E">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29.56</w:t>
            </w:r>
          </w:p>
        </w:tc>
      </w:tr>
      <w:tr w14:paraId="2BCD4FF3">
        <w:tblPrEx>
          <w:tblCellMar>
            <w:top w:w="0" w:type="dxa"/>
            <w:left w:w="108" w:type="dxa"/>
            <w:bottom w:w="0" w:type="dxa"/>
            <w:right w:w="108" w:type="dxa"/>
          </w:tblCellMar>
        </w:tblPrEx>
        <w:trPr>
          <w:trHeight w:val="283" w:hRule="atLeast"/>
          <w:jc w:val="center"/>
        </w:trPr>
        <w:tc>
          <w:tcPr>
            <w:tcW w:w="951" w:type="dxa"/>
            <w:vMerge w:val="restart"/>
            <w:tcBorders>
              <w:top w:val="single" w:color="000000" w:sz="4" w:space="0"/>
              <w:left w:val="single" w:color="000000" w:sz="4" w:space="0"/>
              <w:right w:val="single" w:color="000000" w:sz="4" w:space="0"/>
            </w:tcBorders>
            <w:shd w:val="clear" w:color="auto" w:fill="FFFFFF"/>
            <w:tcMar>
              <w:top w:w="-1" w:type="dxa"/>
              <w:left w:w="-1" w:type="dxa"/>
              <w:bottom w:w="-1" w:type="dxa"/>
              <w:right w:w="-1" w:type="dxa"/>
            </w:tcMar>
            <w:vAlign w:val="center"/>
          </w:tcPr>
          <w:p w14:paraId="3F85AE95">
            <w:pPr>
              <w:snapToGrid w:val="0"/>
              <w:jc w:val="center"/>
              <w:rPr>
                <w:rFonts w:hint="default" w:ascii="Times New Roman" w:hAnsi="Times New Roman" w:cs="Times New Roman" w:eastAsiaTheme="minorEastAsia"/>
                <w:b w:val="0"/>
                <w:szCs w:val="21"/>
                <w:lang w:val="en-US" w:eastAsia="zh-CN"/>
              </w:rPr>
            </w:pPr>
            <w:r>
              <w:rPr>
                <w:rFonts w:hint="default" w:ascii="Times New Roman" w:hAnsi="Times New Roman" w:cs="Times New Roman"/>
                <w:b w:val="0"/>
                <w:szCs w:val="21"/>
                <w:lang w:val="en-US" w:eastAsia="zh-CN"/>
              </w:rPr>
              <w:t>Country</w:t>
            </w: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4F63">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United States</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EAB7C">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574,111</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F05422C">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32.70</w:t>
            </w:r>
          </w:p>
        </w:tc>
      </w:tr>
      <w:tr w14:paraId="0AFCE92D">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6AC46D0D">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D8A0">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United Kingdom</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B4F0">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58,316</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013FE94">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44.11</w:t>
            </w:r>
          </w:p>
        </w:tc>
      </w:tr>
      <w:tr w14:paraId="04EB77FD">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3E43D08B">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ECAD">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India</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D83C">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45,658</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4F90634E">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4.33</w:t>
            </w:r>
          </w:p>
        </w:tc>
      </w:tr>
      <w:tr w14:paraId="09D2E3B6">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15F39867">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CCF9">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Australia</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D36F">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35,627</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53006C5">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69.00</w:t>
            </w:r>
          </w:p>
        </w:tc>
      </w:tr>
      <w:tr w14:paraId="56B45E33">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639CC2D1">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584BB">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Canada</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7631F">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34,739</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B913D8A">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53.23</w:t>
            </w:r>
          </w:p>
        </w:tc>
      </w:tr>
      <w:tr w14:paraId="294D3E54">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l2br w:val="nil"/>
            </w:tcBorders>
            <w:shd w:val="clear" w:color="auto" w:fill="FFFFFF"/>
            <w:tcMar>
              <w:top w:w="-1" w:type="dxa"/>
              <w:left w:w="-1" w:type="dxa"/>
              <w:bottom w:w="-1" w:type="dxa"/>
              <w:right w:w="-1" w:type="dxa"/>
            </w:tcMar>
            <w:vAlign w:val="center"/>
          </w:tcPr>
          <w:p w14:paraId="68F80D81">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306BD">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Germany</w:t>
            </w:r>
          </w:p>
        </w:tc>
        <w:tc>
          <w:tcPr>
            <w:tcW w:w="1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422CC">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26,409</w:t>
            </w:r>
          </w:p>
        </w:tc>
        <w:tc>
          <w:tcPr>
            <w:tcW w:w="210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8C645E1">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21.11</w:t>
            </w:r>
          </w:p>
        </w:tc>
      </w:tr>
      <w:tr w14:paraId="155BB93A">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Pr>
          <w:p w14:paraId="48AFE89A">
            <w:pPr>
              <w:snapToGrid w:val="0"/>
              <w:jc w:val="center"/>
              <w:rPr>
                <w:rFonts w:hint="default" w:ascii="Times New Roman" w:hAnsi="Times New Roman" w:cs="Times New Roman"/>
                <w:b w:val="0"/>
                <w:szCs w:val="21"/>
              </w:rPr>
            </w:pPr>
          </w:p>
        </w:tc>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8479A89">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b w:val="0"/>
                <w:szCs w:val="21"/>
              </w:rPr>
              <w:t>Netherlands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19CE19">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19,039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78323B">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40.61</w:t>
            </w:r>
          </w:p>
        </w:tc>
      </w:tr>
      <w:tr w14:paraId="3C68E970">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Pr>
          <w:p w14:paraId="4F8F8F53">
            <w:pPr>
              <w:snapToGrid w:val="0"/>
              <w:jc w:val="center"/>
              <w:rPr>
                <w:rFonts w:hint="default" w:ascii="Times New Roman" w:hAnsi="Times New Roman" w:cs="Times New Roman"/>
                <w:b w:val="0"/>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8B2C3DD">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b w:val="0"/>
                <w:szCs w:val="21"/>
              </w:rPr>
              <w:t>France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26B1A7">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12,458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E17EC6">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18.58</w:t>
            </w:r>
          </w:p>
        </w:tc>
      </w:tr>
      <w:tr w14:paraId="26860221">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Pr>
          <w:p w14:paraId="4B93224A">
            <w:pPr>
              <w:snapToGrid w:val="0"/>
              <w:jc w:val="center"/>
              <w:rPr>
                <w:rFonts w:hint="default" w:ascii="Times New Roman" w:hAnsi="Times New Roman" w:cs="Times New Roman"/>
                <w:b w:val="0"/>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21265C">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b w:val="0"/>
                <w:szCs w:val="21"/>
              </w:rPr>
              <w:t>Italy</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91A5E2">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11,653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AEA4B7">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28.81</w:t>
            </w:r>
          </w:p>
        </w:tc>
      </w:tr>
      <w:tr w14:paraId="431431F6">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bottom w:val="single" w:color="000000" w:sz="4" w:space="0"/>
              <w:right w:val="single" w:color="000000" w:sz="4" w:space="0"/>
            </w:tcBorders>
            <w:shd w:val="clear" w:color="auto" w:fill="FFFFFF"/>
          </w:tcPr>
          <w:p w14:paraId="382A1F64">
            <w:pPr>
              <w:snapToGrid w:val="0"/>
              <w:jc w:val="center"/>
              <w:rPr>
                <w:rFonts w:hint="default" w:ascii="Times New Roman" w:hAnsi="Times New Roman" w:cs="Times New Roman"/>
                <w:b w:val="0"/>
                <w:szCs w:val="21"/>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8FBD6F5">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b w:val="0"/>
                <w:szCs w:val="21"/>
              </w:rPr>
              <w:t>Spain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DC98EA">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11,520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65BE62">
            <w:pPr>
              <w:keepNext w:val="0"/>
              <w:keepLines w:val="0"/>
              <w:pageBreakBefore w:val="0"/>
              <w:widowControl w:val="0"/>
              <w:kinsoku/>
              <w:wordWrap/>
              <w:overflowPunct/>
              <w:topLinePunct w:val="0"/>
              <w:autoSpaceDE/>
              <w:autoSpaceDN/>
              <w:bidi w:val="0"/>
              <w:adjustRightInd/>
              <w:snapToGrid w:val="0"/>
              <w:spacing w:before="0" w:after="0" w:line="240" w:lineRule="auto"/>
              <w:jc w:val="center"/>
              <w:textAlignment w:val="auto"/>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Cs w:val="21"/>
              </w:rPr>
              <w:t>22.79</w:t>
            </w:r>
          </w:p>
        </w:tc>
      </w:tr>
    </w:tbl>
    <w:p w14:paraId="1C294546">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Chinese listed-company executive sample</w:t>
      </w:r>
    </w:p>
    <w:tbl>
      <w:tblPr>
        <w:tblStyle w:val="5"/>
        <w:tblW w:w="9259" w:type="dxa"/>
        <w:jc w:val="center"/>
        <w:tblLayout w:type="fixed"/>
        <w:tblCellMar>
          <w:top w:w="0" w:type="dxa"/>
          <w:left w:w="108" w:type="dxa"/>
          <w:bottom w:w="0" w:type="dxa"/>
          <w:right w:w="108" w:type="dxa"/>
        </w:tblCellMar>
      </w:tblPr>
      <w:tblGrid>
        <w:gridCol w:w="951"/>
        <w:gridCol w:w="4959"/>
        <w:gridCol w:w="1247"/>
        <w:gridCol w:w="2102"/>
      </w:tblGrid>
      <w:tr w14:paraId="22F08AC3">
        <w:tblPrEx>
          <w:tblCellMar>
            <w:top w:w="0" w:type="dxa"/>
            <w:left w:w="108" w:type="dxa"/>
            <w:bottom w:w="0" w:type="dxa"/>
            <w:right w:w="108" w:type="dxa"/>
          </w:tblCellMar>
        </w:tblPrEx>
        <w:trPr>
          <w:trHeight w:val="283" w:hRule="atLeast"/>
          <w:jc w:val="center"/>
        </w:trPr>
        <w:tc>
          <w:tcPr>
            <w:tcW w:w="951"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50FB8898">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bCs/>
                <w:kern w:val="0"/>
                <w:szCs w:val="21"/>
                <w:lang w:bidi="ar"/>
              </w:rPr>
              <w:t>Group</w:t>
            </w:r>
          </w:p>
        </w:tc>
        <w:tc>
          <w:tcPr>
            <w:tcW w:w="4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E1992">
            <w:pPr>
              <w:widowControl/>
              <w:snapToGrid w:val="0"/>
              <w:spacing w:before="0" w:after="0" w:line="240" w:lineRule="auto"/>
              <w:jc w:val="center"/>
              <w:textAlignment w:val="bottom"/>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Category</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9CA16">
            <w:pPr>
              <w:widowControl/>
              <w:snapToGrid w:val="0"/>
              <w:spacing w:before="0" w:after="0" w:line="240" w:lineRule="auto"/>
              <w:jc w:val="center"/>
              <w:textAlignment w:val="bottom"/>
              <w:rPr>
                <w:rFonts w:hint="default" w:ascii="Times New Roman" w:hAnsi="Times New Roman" w:eastAsia="宋体" w:cs="Times New Roman"/>
                <w:b/>
                <w:bCs/>
                <w:kern w:val="0"/>
                <w:szCs w:val="21"/>
                <w:lang w:val="en-US" w:eastAsia="zh-CN" w:bidi="ar"/>
              </w:rPr>
            </w:pPr>
            <w:r>
              <w:rPr>
                <w:rFonts w:hint="default" w:ascii="Times New Roman" w:hAnsi="Times New Roman" w:eastAsia="宋体" w:cs="Times New Roman"/>
                <w:b/>
                <w:bCs/>
                <w:kern w:val="0"/>
                <w:szCs w:val="21"/>
                <w:lang w:val="en-US" w:eastAsia="zh-CN" w:bidi="ar"/>
              </w:rPr>
              <w:t>N</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460259">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bCs/>
                <w:szCs w:val="21"/>
              </w:rPr>
              <w:t>Elite undergraduate background (%)</w:t>
            </w:r>
          </w:p>
        </w:tc>
      </w:tr>
      <w:tr w14:paraId="2EE1A613">
        <w:tblPrEx>
          <w:tblCellMar>
            <w:top w:w="0" w:type="dxa"/>
            <w:left w:w="108" w:type="dxa"/>
            <w:bottom w:w="0" w:type="dxa"/>
            <w:right w:w="108" w:type="dxa"/>
          </w:tblCellMar>
        </w:tblPrEx>
        <w:trPr>
          <w:trHeight w:val="283" w:hRule="atLeast"/>
          <w:jc w:val="center"/>
        </w:trPr>
        <w:tc>
          <w:tcPr>
            <w:tcW w:w="9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A401E27">
            <w:pPr>
              <w:snapToGrid w:val="0"/>
              <w:jc w:val="center"/>
              <w:rPr>
                <w:rFonts w:hint="default" w:ascii="Times New Roman" w:hAnsi="Times New Roman" w:cs="Times New Roman"/>
                <w:b w:val="0"/>
                <w:szCs w:val="21"/>
              </w:rPr>
            </w:pPr>
            <w:r>
              <w:rPr>
                <w:rFonts w:hint="default" w:ascii="Times New Roman" w:hAnsi="Times New Roman" w:eastAsia="宋体" w:cs="Times New Roman"/>
                <w:b w:val="0"/>
                <w:szCs w:val="21"/>
              </w:rPr>
              <w:t>Overall</w:t>
            </w: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AD1DF">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All executive records</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303F5">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184,860</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6AEDD59">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42.98</w:t>
            </w:r>
          </w:p>
        </w:tc>
      </w:tr>
      <w:tr w14:paraId="50FB2A38">
        <w:tblPrEx>
          <w:tblCellMar>
            <w:top w:w="0" w:type="dxa"/>
            <w:left w:w="108" w:type="dxa"/>
            <w:bottom w:w="0" w:type="dxa"/>
            <w:right w:w="108" w:type="dxa"/>
          </w:tblCellMar>
        </w:tblPrEx>
        <w:trPr>
          <w:trHeight w:val="283" w:hRule="atLeast"/>
          <w:jc w:val="center"/>
        </w:trPr>
        <w:tc>
          <w:tcPr>
            <w:tcW w:w="95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9C22424">
            <w:pPr>
              <w:snapToGrid w:val="0"/>
              <w:jc w:val="center"/>
              <w:rPr>
                <w:rFonts w:hint="default" w:ascii="Times New Roman" w:hAnsi="Times New Roman" w:cs="Times New Roman" w:eastAsiaTheme="minorEastAsia"/>
                <w:b w:val="0"/>
                <w:szCs w:val="21"/>
                <w:lang w:val="en-US" w:eastAsia="zh-CN"/>
              </w:rPr>
            </w:pPr>
            <w:r>
              <w:rPr>
                <w:rFonts w:hint="default" w:ascii="Times New Roman" w:hAnsi="Times New Roman" w:cs="Times New Roman"/>
                <w:b w:val="0"/>
                <w:szCs w:val="21"/>
                <w:lang w:val="en-US" w:eastAsia="zh-CN"/>
              </w:rPr>
              <w:t>Gender</w:t>
            </w: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E465">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Male</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A71D5B">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150,609</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66448E4">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44.25</w:t>
            </w:r>
          </w:p>
        </w:tc>
      </w:tr>
      <w:tr w14:paraId="0F632CF3">
        <w:tblPrEx>
          <w:tblCellMar>
            <w:top w:w="0" w:type="dxa"/>
            <w:left w:w="108" w:type="dxa"/>
            <w:bottom w:w="0" w:type="dxa"/>
            <w:right w:w="108" w:type="dxa"/>
          </w:tblCellMar>
        </w:tblPrEx>
        <w:trPr>
          <w:trHeight w:val="283" w:hRule="atLeast"/>
          <w:jc w:val="center"/>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8B3E564">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2CAD">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Female</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1F1E9">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34,235</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D05829D">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37.43</w:t>
            </w:r>
          </w:p>
        </w:tc>
      </w:tr>
      <w:tr w14:paraId="69198344">
        <w:tblPrEx>
          <w:tblCellMar>
            <w:top w:w="0" w:type="dxa"/>
            <w:left w:w="108" w:type="dxa"/>
            <w:bottom w:w="0" w:type="dxa"/>
            <w:right w:w="108" w:type="dxa"/>
          </w:tblCellMar>
        </w:tblPrEx>
        <w:trPr>
          <w:trHeight w:val="283" w:hRule="atLeast"/>
          <w:jc w:val="center"/>
        </w:trPr>
        <w:tc>
          <w:tcPr>
            <w:tcW w:w="951" w:type="dxa"/>
            <w:vMerge w:val="restart"/>
            <w:tcBorders>
              <w:top w:val="single" w:color="000000" w:sz="4" w:space="0"/>
              <w:left w:val="single" w:color="000000" w:sz="4" w:space="0"/>
              <w:right w:val="single" w:color="000000" w:sz="4" w:space="0"/>
            </w:tcBorders>
            <w:shd w:val="clear" w:color="auto" w:fill="FFFFFF"/>
            <w:tcMar>
              <w:top w:w="-1" w:type="dxa"/>
              <w:left w:w="-1" w:type="dxa"/>
              <w:bottom w:w="-1" w:type="dxa"/>
              <w:right w:w="-1" w:type="dxa"/>
            </w:tcMar>
            <w:vAlign w:val="center"/>
          </w:tcPr>
          <w:p w14:paraId="3E145B6A">
            <w:pPr>
              <w:snapToGrid w:val="0"/>
              <w:jc w:val="center"/>
              <w:rPr>
                <w:rFonts w:hint="default" w:ascii="Times New Roman" w:hAnsi="Times New Roman" w:cs="Times New Roman"/>
                <w:b w:val="0"/>
                <w:szCs w:val="21"/>
              </w:rPr>
            </w:pPr>
            <w:r>
              <w:rPr>
                <w:rFonts w:hint="default" w:ascii="Times New Roman" w:hAnsi="Times New Roman" w:eastAsia="宋体" w:cs="Times New Roman"/>
                <w:b w:val="0"/>
                <w:szCs w:val="21"/>
              </w:rPr>
              <w:t>Industry</w:t>
            </w: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D7CA">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Electricity, heat, gas and water</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7E499">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2,681</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BFBF459">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48.27</w:t>
            </w:r>
          </w:p>
        </w:tc>
      </w:tr>
      <w:tr w14:paraId="425F19AC">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11D347F0">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6164">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Information transmission, software and IT services</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7B4ED">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20,985</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310B4A9">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48.08</w:t>
            </w:r>
          </w:p>
        </w:tc>
      </w:tr>
      <w:tr w14:paraId="2FF8FA5E">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3B440172">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1E02">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Real estate</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363A7">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4,847</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39FAA7">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47.89</w:t>
            </w:r>
          </w:p>
        </w:tc>
      </w:tr>
      <w:tr w14:paraId="26D97967">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2A7433D2">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83176">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Leasing and business services</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4E6E4">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1,839</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BE52FFD">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47.69</w:t>
            </w:r>
          </w:p>
        </w:tc>
      </w:tr>
      <w:tr w14:paraId="289AD21E">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3E41330A">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DF46">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Finance</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E2054">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9,794</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9A02C82">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44.80</w:t>
            </w:r>
          </w:p>
        </w:tc>
      </w:tr>
      <w:tr w14:paraId="450003DF">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3A5E4837">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1B965">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Scientific research and technical services</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DD3E4">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3,644</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FE54BC9">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44.43</w:t>
            </w:r>
          </w:p>
        </w:tc>
      </w:tr>
      <w:tr w14:paraId="1B600F36">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00B7DBDD">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76C2E">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Conglomerates</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F850B">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652</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D28EAC6">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44.17</w:t>
            </w:r>
          </w:p>
        </w:tc>
      </w:tr>
      <w:tr w14:paraId="178F79FF">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683511A0">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821F">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Culture, sports and entertainment</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320BCC">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3,068</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86F0ABA">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43.90</w:t>
            </w:r>
          </w:p>
        </w:tc>
      </w:tr>
      <w:tr w14:paraId="73C21705">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7F5635E8">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D142">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Manufacturing</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3E662">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112,734</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85879DE">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42.37</w:t>
            </w:r>
          </w:p>
        </w:tc>
      </w:tr>
      <w:tr w14:paraId="52A4FC12">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747C79B4">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6DC2D">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Wholesale and retail</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668AA">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5,356</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A69804C">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42.23</w:t>
            </w:r>
          </w:p>
        </w:tc>
      </w:tr>
      <w:tr w14:paraId="2F89ABF6">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077C1423">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7D5B">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Construction</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121BB">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4,406</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4BDB90">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42.12</w:t>
            </w:r>
          </w:p>
        </w:tc>
      </w:tr>
      <w:tr w14:paraId="20DB75BA">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54B56EF9">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2180E">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Health and social work</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64243B">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371</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BF05655">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40.97</w:t>
            </w:r>
          </w:p>
        </w:tc>
      </w:tr>
      <w:tr w14:paraId="56A9AF57">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7FE916AA">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2A7A">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Accommodation and food services</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F6A65">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250</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547D44E">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38.40</w:t>
            </w:r>
          </w:p>
        </w:tc>
      </w:tr>
      <w:tr w14:paraId="6DAA800D">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289B5DE9">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D64EA">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Transportation, storage and postal services</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D3A5A">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5,367</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BD71BD">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37.77</w:t>
            </w:r>
          </w:p>
        </w:tc>
      </w:tr>
      <w:tr w14:paraId="04760CD6">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20640724">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8467B">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Water conservancy, environment and public facilities</w:t>
            </w:r>
          </w:p>
        </w:tc>
        <w:tc>
          <w:tcPr>
            <w:tcW w:w="124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C1BE9">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2,916</w:t>
            </w:r>
          </w:p>
        </w:tc>
        <w:tc>
          <w:tcPr>
            <w:tcW w:w="210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2CE3DE9">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37.55</w:t>
            </w:r>
          </w:p>
        </w:tc>
      </w:tr>
      <w:tr w14:paraId="34FD86E9">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404DECCA">
            <w:pPr>
              <w:snapToGrid w:val="0"/>
              <w:jc w:val="center"/>
              <w:rPr>
                <w:rFonts w:hint="default" w:ascii="Times New Roman" w:hAnsi="Times New Roman" w:cs="Times New Roman"/>
                <w:b w:val="0"/>
                <w:szCs w:val="21"/>
              </w:rPr>
            </w:pPr>
          </w:p>
        </w:tc>
        <w:tc>
          <w:tcPr>
            <w:tcW w:w="4959" w:type="dxa"/>
            <w:tcBorders>
              <w:top w:val="single" w:color="000000" w:sz="4" w:space="0"/>
              <w:left w:val="single" w:color="000000" w:sz="4" w:space="0"/>
              <w:bottom w:val="single" w:color="auto" w:sz="4" w:space="0"/>
              <w:right w:val="single" w:color="000000" w:sz="4" w:space="0"/>
            </w:tcBorders>
            <w:shd w:val="clear" w:color="auto" w:fill="auto"/>
            <w:vAlign w:val="center"/>
          </w:tcPr>
          <w:p w14:paraId="2F9416BE">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Agriculture, forestry, animal husbandry and fishery</w:t>
            </w:r>
          </w:p>
        </w:tc>
        <w:tc>
          <w:tcPr>
            <w:tcW w:w="1247" w:type="dxa"/>
            <w:tcBorders>
              <w:top w:val="single" w:color="000000" w:sz="4" w:space="0"/>
              <w:left w:val="single" w:color="000000" w:sz="4" w:space="0"/>
              <w:bottom w:val="single" w:color="auto" w:sz="4" w:space="0"/>
              <w:right w:val="single" w:color="000000" w:sz="4" w:space="0"/>
            </w:tcBorders>
            <w:shd w:val="clear" w:color="auto" w:fill="FFFFFF"/>
            <w:vAlign w:val="center"/>
          </w:tcPr>
          <w:p w14:paraId="5A78D267">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1,343</w:t>
            </w:r>
          </w:p>
        </w:tc>
        <w:tc>
          <w:tcPr>
            <w:tcW w:w="2102" w:type="dxa"/>
            <w:tcBorders>
              <w:top w:val="single" w:color="000000" w:sz="4" w:space="0"/>
              <w:left w:val="single" w:color="000000" w:sz="4" w:space="0"/>
              <w:bottom w:val="single" w:color="auto" w:sz="4" w:space="0"/>
              <w:right w:val="single" w:color="000000" w:sz="4" w:space="0"/>
            </w:tcBorders>
            <w:shd w:val="clear" w:color="auto" w:fill="FFFFFF"/>
            <w:tcMar>
              <w:top w:w="-1" w:type="dxa"/>
              <w:left w:w="-1" w:type="dxa"/>
              <w:bottom w:w="-1" w:type="dxa"/>
              <w:right w:w="-1" w:type="dxa"/>
            </w:tcMar>
            <w:vAlign w:val="center"/>
          </w:tcPr>
          <w:p w14:paraId="01D000D8">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35.59</w:t>
            </w:r>
          </w:p>
        </w:tc>
      </w:tr>
      <w:tr w14:paraId="173E0D98">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4D80E4D9">
            <w:pPr>
              <w:snapToGrid w:val="0"/>
              <w:jc w:val="center"/>
              <w:rPr>
                <w:rFonts w:hint="default" w:ascii="Times New Roman" w:hAnsi="Times New Roman" w:cs="Times New Roman"/>
                <w:b w:val="0"/>
                <w:szCs w:val="21"/>
              </w:rPr>
            </w:pPr>
          </w:p>
        </w:tc>
        <w:tc>
          <w:tcPr>
            <w:tcW w:w="4959" w:type="dxa"/>
            <w:tcBorders>
              <w:top w:val="single" w:color="auto" w:sz="4" w:space="0"/>
              <w:left w:val="single" w:color="auto" w:sz="4" w:space="0"/>
              <w:bottom w:val="single" w:color="auto" w:sz="4" w:space="0"/>
              <w:right w:val="single" w:color="auto" w:sz="4" w:space="0"/>
            </w:tcBorders>
            <w:shd w:val="clear" w:color="auto" w:fill="auto"/>
            <w:vAlign w:val="center"/>
          </w:tcPr>
          <w:p w14:paraId="77624A1A">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Resident services and repair</w:t>
            </w:r>
          </w:p>
        </w:tc>
        <w:tc>
          <w:tcPr>
            <w:tcW w:w="1247" w:type="dxa"/>
            <w:tcBorders>
              <w:top w:val="single" w:color="auto" w:sz="4" w:space="0"/>
              <w:left w:val="single" w:color="auto" w:sz="4" w:space="0"/>
              <w:bottom w:val="single" w:color="auto" w:sz="4" w:space="0"/>
              <w:right w:val="single" w:color="auto" w:sz="4" w:space="0"/>
            </w:tcBorders>
            <w:shd w:val="clear" w:color="auto" w:fill="FFFFFF"/>
            <w:vAlign w:val="center"/>
          </w:tcPr>
          <w:p w14:paraId="74053589">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234</w:t>
            </w:r>
          </w:p>
        </w:tc>
        <w:tc>
          <w:tcPr>
            <w:tcW w:w="2102" w:type="dxa"/>
            <w:tcBorders>
              <w:top w:val="single" w:color="auto" w:sz="4" w:space="0"/>
              <w:left w:val="single" w:color="auto" w:sz="4" w:space="0"/>
              <w:bottom w:val="single" w:color="auto" w:sz="4" w:space="0"/>
              <w:right w:val="single" w:color="auto" w:sz="4" w:space="0"/>
            </w:tcBorders>
            <w:shd w:val="clear" w:color="auto" w:fill="FFFFFF"/>
            <w:tcMar>
              <w:top w:w="-1" w:type="dxa"/>
              <w:left w:w="-1" w:type="dxa"/>
              <w:bottom w:w="-1" w:type="dxa"/>
              <w:right w:w="-1" w:type="dxa"/>
            </w:tcMar>
            <w:vAlign w:val="center"/>
          </w:tcPr>
          <w:p w14:paraId="04BF3DDA">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35.47</w:t>
            </w:r>
          </w:p>
        </w:tc>
      </w:tr>
      <w:tr w14:paraId="05F0954C">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bottom w:val="single" w:color="auto" w:sz="4" w:space="0"/>
              <w:right w:val="single" w:color="000000" w:sz="4" w:space="0"/>
            </w:tcBorders>
          </w:tcPr>
          <w:p w14:paraId="601969D5">
            <w:pPr>
              <w:snapToGrid w:val="0"/>
              <w:jc w:val="center"/>
              <w:rPr>
                <w:rFonts w:hint="default" w:ascii="Times New Roman" w:hAnsi="Times New Roman" w:cs="Times New Roman"/>
                <w:b w:val="0"/>
                <w:szCs w:val="21"/>
              </w:rPr>
            </w:pP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C2B9038">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Mining</w:t>
            </w:r>
          </w:p>
        </w:tc>
        <w:tc>
          <w:tcPr>
            <w:tcW w:w="1247" w:type="dxa"/>
            <w:tcBorders>
              <w:top w:val="single" w:color="auto" w:sz="4" w:space="0"/>
              <w:left w:val="single" w:color="auto" w:sz="4" w:space="0"/>
              <w:bottom w:val="single" w:color="auto" w:sz="4" w:space="0"/>
              <w:right w:val="single" w:color="auto" w:sz="4" w:space="0"/>
            </w:tcBorders>
            <w:vAlign w:val="center"/>
          </w:tcPr>
          <w:p w14:paraId="41290353">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3,213</w:t>
            </w:r>
          </w:p>
        </w:tc>
        <w:tc>
          <w:tcPr>
            <w:tcW w:w="2102" w:type="dxa"/>
            <w:tcBorders>
              <w:top w:val="single" w:color="auto" w:sz="4" w:space="0"/>
              <w:left w:val="single" w:color="auto" w:sz="4" w:space="0"/>
              <w:bottom w:val="single" w:color="auto" w:sz="4" w:space="0"/>
              <w:right w:val="single" w:color="auto" w:sz="4" w:space="0"/>
            </w:tcBorders>
            <w:vAlign w:val="center"/>
          </w:tcPr>
          <w:p w14:paraId="724D0F05">
            <w:pPr>
              <w:spacing w:before="0" w:after="0" w:line="240" w:lineRule="auto"/>
              <w:jc w:val="center"/>
              <w:rPr>
                <w:rFonts w:hint="default" w:ascii="Times New Roman" w:hAnsi="Times New Roman" w:eastAsia="宋体" w:cs="Times New Roman"/>
                <w:b w:val="0"/>
                <w:szCs w:val="21"/>
              </w:rPr>
            </w:pPr>
            <w:r>
              <w:rPr>
                <w:rFonts w:hint="default" w:ascii="Times New Roman" w:hAnsi="Times New Roman" w:eastAsia="宋体" w:cs="Times New Roman"/>
                <w:sz w:val="21"/>
                <w:szCs w:val="21"/>
              </w:rPr>
              <w:t>29.91</w:t>
            </w:r>
          </w:p>
        </w:tc>
      </w:tr>
    </w:tbl>
    <w:p w14:paraId="73B553AC">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C. LinkedIn public-administration sample</w:t>
      </w:r>
    </w:p>
    <w:tbl>
      <w:tblPr>
        <w:tblStyle w:val="5"/>
        <w:tblW w:w="9259" w:type="dxa"/>
        <w:jc w:val="center"/>
        <w:tblLayout w:type="fixed"/>
        <w:tblCellMar>
          <w:top w:w="0" w:type="dxa"/>
          <w:left w:w="108" w:type="dxa"/>
          <w:bottom w:w="0" w:type="dxa"/>
          <w:right w:w="108" w:type="dxa"/>
        </w:tblCellMar>
      </w:tblPr>
      <w:tblGrid>
        <w:gridCol w:w="951"/>
        <w:gridCol w:w="3203"/>
        <w:gridCol w:w="1394"/>
        <w:gridCol w:w="3711"/>
      </w:tblGrid>
      <w:tr w14:paraId="4AD4F7A7">
        <w:tblPrEx>
          <w:tblCellMar>
            <w:top w:w="0" w:type="dxa"/>
            <w:left w:w="108" w:type="dxa"/>
            <w:bottom w:w="0" w:type="dxa"/>
            <w:right w:w="108" w:type="dxa"/>
          </w:tblCellMar>
        </w:tblPrEx>
        <w:trPr>
          <w:trHeight w:val="283" w:hRule="atLeast"/>
          <w:jc w:val="center"/>
        </w:trPr>
        <w:tc>
          <w:tcPr>
            <w:tcW w:w="951"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51A44F0D">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bCs/>
                <w:kern w:val="0"/>
                <w:szCs w:val="21"/>
                <w:lang w:bidi="ar"/>
              </w:rPr>
              <w:t>Group</w:t>
            </w:r>
          </w:p>
        </w:tc>
        <w:tc>
          <w:tcPr>
            <w:tcW w:w="32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3673B1">
            <w:pPr>
              <w:widowControl/>
              <w:snapToGrid w:val="0"/>
              <w:spacing w:before="0" w:after="0" w:line="240" w:lineRule="auto"/>
              <w:jc w:val="center"/>
              <w:textAlignment w:val="bottom"/>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Category</w:t>
            </w:r>
          </w:p>
        </w:tc>
        <w:tc>
          <w:tcPr>
            <w:tcW w:w="1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0472B">
            <w:pPr>
              <w:widowControl/>
              <w:snapToGrid w:val="0"/>
              <w:spacing w:before="0" w:after="0" w:line="240" w:lineRule="auto"/>
              <w:jc w:val="center"/>
              <w:textAlignment w:val="bottom"/>
              <w:rPr>
                <w:rFonts w:hint="default" w:ascii="Times New Roman" w:hAnsi="Times New Roman" w:eastAsia="宋体" w:cs="Times New Roman"/>
                <w:b/>
                <w:bCs/>
                <w:kern w:val="0"/>
                <w:szCs w:val="21"/>
                <w:lang w:val="en-US" w:eastAsia="zh-CN" w:bidi="ar"/>
              </w:rPr>
            </w:pPr>
            <w:r>
              <w:rPr>
                <w:rFonts w:hint="default" w:ascii="Times New Roman" w:hAnsi="Times New Roman" w:eastAsia="宋体" w:cs="Times New Roman"/>
                <w:b/>
                <w:bCs/>
                <w:kern w:val="0"/>
                <w:szCs w:val="21"/>
                <w:lang w:val="en-US" w:eastAsia="zh-CN" w:bidi="ar"/>
              </w:rPr>
              <w:t>N</w:t>
            </w:r>
          </w:p>
        </w:tc>
        <w:tc>
          <w:tcPr>
            <w:tcW w:w="371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CBD671E">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bCs/>
                <w:szCs w:val="21"/>
              </w:rPr>
              <w:t>Elite undergraduate background (%)</w:t>
            </w:r>
          </w:p>
        </w:tc>
      </w:tr>
      <w:tr w14:paraId="66491745">
        <w:tblPrEx>
          <w:tblCellMar>
            <w:top w:w="0" w:type="dxa"/>
            <w:left w:w="108" w:type="dxa"/>
            <w:bottom w:w="0" w:type="dxa"/>
            <w:right w:w="108" w:type="dxa"/>
          </w:tblCellMar>
        </w:tblPrEx>
        <w:trPr>
          <w:trHeight w:val="283" w:hRule="atLeast"/>
          <w:jc w:val="center"/>
        </w:trPr>
        <w:tc>
          <w:tcPr>
            <w:tcW w:w="95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2BD531E">
            <w:pPr>
              <w:snapToGrid w:val="0"/>
              <w:jc w:val="center"/>
              <w:rPr>
                <w:rFonts w:hint="default" w:ascii="Times New Roman" w:hAnsi="Times New Roman" w:cs="Times New Roman"/>
                <w:b w:val="0"/>
                <w:szCs w:val="21"/>
              </w:rPr>
            </w:pPr>
            <w:r>
              <w:rPr>
                <w:rFonts w:hint="default" w:ascii="Times New Roman" w:hAnsi="Times New Roman" w:eastAsia="宋体" w:cs="Times New Roman"/>
                <w:b w:val="0"/>
                <w:szCs w:val="21"/>
              </w:rPr>
              <w:t>Overall</w:t>
            </w: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8E5A">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Senior government positions</w:t>
            </w:r>
          </w:p>
        </w:tc>
        <w:tc>
          <w:tcPr>
            <w:tcW w:w="1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53618">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67,039</w:t>
            </w:r>
          </w:p>
        </w:tc>
        <w:tc>
          <w:tcPr>
            <w:tcW w:w="371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262746D">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31.98</w:t>
            </w:r>
          </w:p>
        </w:tc>
      </w:tr>
      <w:tr w14:paraId="47ED9F44">
        <w:tblPrEx>
          <w:tblCellMar>
            <w:top w:w="0" w:type="dxa"/>
            <w:left w:w="108" w:type="dxa"/>
            <w:bottom w:w="0" w:type="dxa"/>
            <w:right w:w="108" w:type="dxa"/>
          </w:tblCellMar>
        </w:tblPrEx>
        <w:trPr>
          <w:trHeight w:val="283" w:hRule="atLeast"/>
          <w:jc w:val="center"/>
        </w:trPr>
        <w:tc>
          <w:tcPr>
            <w:tcW w:w="95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5D1D200">
            <w:pPr>
              <w:snapToGrid w:val="0"/>
              <w:jc w:val="center"/>
              <w:rPr>
                <w:rFonts w:hint="default" w:ascii="Times New Roman" w:hAnsi="Times New Roman" w:cs="Times New Roman" w:eastAsiaTheme="minorEastAsia"/>
                <w:b w:val="0"/>
                <w:szCs w:val="21"/>
                <w:lang w:val="en-US" w:eastAsia="zh-CN"/>
              </w:rPr>
            </w:pPr>
            <w:r>
              <w:rPr>
                <w:rFonts w:hint="default" w:ascii="Times New Roman" w:hAnsi="Times New Roman" w:cs="Times New Roman"/>
                <w:b w:val="0"/>
                <w:szCs w:val="21"/>
                <w:lang w:val="en-US" w:eastAsia="zh-CN"/>
              </w:rPr>
              <w:t>Gender</w:t>
            </w: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60BA">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Male</w:t>
            </w:r>
          </w:p>
        </w:tc>
        <w:tc>
          <w:tcPr>
            <w:tcW w:w="1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FD9486">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41,995</w:t>
            </w:r>
          </w:p>
        </w:tc>
        <w:tc>
          <w:tcPr>
            <w:tcW w:w="371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BAC5254">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29.08</w:t>
            </w:r>
          </w:p>
        </w:tc>
      </w:tr>
      <w:tr w14:paraId="4A13724D">
        <w:tblPrEx>
          <w:tblCellMar>
            <w:top w:w="0" w:type="dxa"/>
            <w:left w:w="108" w:type="dxa"/>
            <w:bottom w:w="0" w:type="dxa"/>
            <w:right w:w="108" w:type="dxa"/>
          </w:tblCellMar>
        </w:tblPrEx>
        <w:trPr>
          <w:trHeight w:val="283" w:hRule="atLeast"/>
          <w:jc w:val="center"/>
        </w:trPr>
        <w:tc>
          <w:tcPr>
            <w:tcW w:w="95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591173A">
            <w:pPr>
              <w:snapToGrid w:val="0"/>
              <w:jc w:val="center"/>
              <w:rPr>
                <w:rFonts w:hint="default" w:ascii="Times New Roman" w:hAnsi="Times New Roman" w:cs="Times New Roman"/>
                <w:b w:val="0"/>
                <w:szCs w:val="21"/>
              </w:rPr>
            </w:pP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5F88F">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Female</w:t>
            </w:r>
          </w:p>
        </w:tc>
        <w:tc>
          <w:tcPr>
            <w:tcW w:w="1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DA37E">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24,747</w:t>
            </w:r>
          </w:p>
        </w:tc>
        <w:tc>
          <w:tcPr>
            <w:tcW w:w="371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F503EB2">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36.90</w:t>
            </w:r>
          </w:p>
        </w:tc>
      </w:tr>
      <w:tr w14:paraId="72DB8628">
        <w:tblPrEx>
          <w:tblCellMar>
            <w:top w:w="0" w:type="dxa"/>
            <w:left w:w="108" w:type="dxa"/>
            <w:bottom w:w="0" w:type="dxa"/>
            <w:right w:w="108" w:type="dxa"/>
          </w:tblCellMar>
        </w:tblPrEx>
        <w:trPr>
          <w:trHeight w:val="283" w:hRule="atLeast"/>
          <w:jc w:val="center"/>
        </w:trPr>
        <w:tc>
          <w:tcPr>
            <w:tcW w:w="951" w:type="dxa"/>
            <w:vMerge w:val="restart"/>
            <w:tcBorders>
              <w:top w:val="single" w:color="000000" w:sz="4" w:space="0"/>
              <w:left w:val="single" w:color="000000" w:sz="4" w:space="0"/>
              <w:right w:val="single" w:color="000000" w:sz="4" w:space="0"/>
            </w:tcBorders>
            <w:shd w:val="clear" w:color="auto" w:fill="FFFFFF"/>
            <w:tcMar>
              <w:top w:w="-1" w:type="dxa"/>
              <w:left w:w="-1" w:type="dxa"/>
              <w:bottom w:w="-1" w:type="dxa"/>
              <w:right w:w="-1" w:type="dxa"/>
            </w:tcMar>
            <w:vAlign w:val="center"/>
          </w:tcPr>
          <w:p w14:paraId="796EC559">
            <w:pPr>
              <w:snapToGrid w:val="0"/>
              <w:jc w:val="center"/>
              <w:rPr>
                <w:rFonts w:hint="default" w:ascii="Times New Roman" w:hAnsi="Times New Roman" w:cs="Times New Roman" w:eastAsiaTheme="minorEastAsia"/>
                <w:b w:val="0"/>
                <w:szCs w:val="21"/>
                <w:lang w:val="en-US" w:eastAsia="zh-CN"/>
              </w:rPr>
            </w:pPr>
            <w:r>
              <w:rPr>
                <w:rFonts w:hint="default" w:ascii="Times New Roman" w:hAnsi="Times New Roman" w:cs="Times New Roman"/>
                <w:b w:val="0"/>
                <w:szCs w:val="21"/>
                <w:lang w:val="en-US" w:eastAsia="zh-CN"/>
              </w:rPr>
              <w:t>Country</w:t>
            </w: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DF6F">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United States</w:t>
            </w:r>
          </w:p>
        </w:tc>
        <w:tc>
          <w:tcPr>
            <w:tcW w:w="1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19D3B5">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51,584</w:t>
            </w:r>
          </w:p>
        </w:tc>
        <w:tc>
          <w:tcPr>
            <w:tcW w:w="371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7089F76">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26.11</w:t>
            </w:r>
          </w:p>
        </w:tc>
      </w:tr>
      <w:tr w14:paraId="7D6248A4">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6BFD0521">
            <w:pPr>
              <w:snapToGrid w:val="0"/>
              <w:jc w:val="center"/>
              <w:rPr>
                <w:rFonts w:hint="default" w:ascii="Times New Roman" w:hAnsi="Times New Roman" w:cs="Times New Roman"/>
                <w:b w:val="0"/>
                <w:szCs w:val="21"/>
              </w:rPr>
            </w:pP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F737">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Australia</w:t>
            </w:r>
          </w:p>
        </w:tc>
        <w:tc>
          <w:tcPr>
            <w:tcW w:w="1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E6705">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4,695</w:t>
            </w:r>
          </w:p>
        </w:tc>
        <w:tc>
          <w:tcPr>
            <w:tcW w:w="371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0E14F66">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72.93</w:t>
            </w:r>
          </w:p>
        </w:tc>
      </w:tr>
      <w:tr w14:paraId="5CBE0781">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40866DFA">
            <w:pPr>
              <w:snapToGrid w:val="0"/>
              <w:jc w:val="center"/>
              <w:rPr>
                <w:rFonts w:hint="default" w:ascii="Times New Roman" w:hAnsi="Times New Roman" w:cs="Times New Roman"/>
                <w:b w:val="0"/>
                <w:szCs w:val="21"/>
              </w:rPr>
            </w:pP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8C450">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Canada</w:t>
            </w:r>
          </w:p>
        </w:tc>
        <w:tc>
          <w:tcPr>
            <w:tcW w:w="1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5DED7">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3,648</w:t>
            </w:r>
          </w:p>
        </w:tc>
        <w:tc>
          <w:tcPr>
            <w:tcW w:w="371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D0059CA">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55.89</w:t>
            </w:r>
          </w:p>
        </w:tc>
      </w:tr>
      <w:tr w14:paraId="64AFA26D">
        <w:tblPrEx>
          <w:tblCellMar>
            <w:top w:w="0" w:type="dxa"/>
            <w:left w:w="108" w:type="dxa"/>
            <w:bottom w:w="0" w:type="dxa"/>
            <w:right w:w="108" w:type="dxa"/>
          </w:tblCellMar>
        </w:tblPrEx>
        <w:trPr>
          <w:trHeight w:val="284"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24E9FB7B">
            <w:pPr>
              <w:snapToGrid w:val="0"/>
              <w:jc w:val="center"/>
              <w:rPr>
                <w:rFonts w:hint="default" w:ascii="Times New Roman" w:hAnsi="Times New Roman" w:cs="Times New Roman"/>
                <w:b w:val="0"/>
                <w:szCs w:val="21"/>
              </w:rPr>
            </w:pP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4D3D">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United Kingdom</w:t>
            </w:r>
          </w:p>
        </w:tc>
        <w:tc>
          <w:tcPr>
            <w:tcW w:w="1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73750">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3,104</w:t>
            </w:r>
          </w:p>
        </w:tc>
        <w:tc>
          <w:tcPr>
            <w:tcW w:w="371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9ADE93F">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47.58</w:t>
            </w:r>
          </w:p>
        </w:tc>
      </w:tr>
      <w:tr w14:paraId="03E11742">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60601FFF">
            <w:pPr>
              <w:snapToGrid w:val="0"/>
              <w:jc w:val="center"/>
              <w:rPr>
                <w:rFonts w:hint="default" w:ascii="Times New Roman" w:hAnsi="Times New Roman" w:cs="Times New Roman"/>
                <w:b w:val="0"/>
                <w:szCs w:val="21"/>
              </w:rPr>
            </w:pP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41BD">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India</w:t>
            </w:r>
          </w:p>
        </w:tc>
        <w:tc>
          <w:tcPr>
            <w:tcW w:w="1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B5984">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1,107</w:t>
            </w:r>
          </w:p>
        </w:tc>
        <w:tc>
          <w:tcPr>
            <w:tcW w:w="371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E61ADAA">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4.43</w:t>
            </w:r>
          </w:p>
        </w:tc>
      </w:tr>
      <w:tr w14:paraId="4F6907BC">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69BC381E">
            <w:pPr>
              <w:snapToGrid w:val="0"/>
              <w:jc w:val="center"/>
              <w:rPr>
                <w:rFonts w:hint="default" w:ascii="Times New Roman" w:hAnsi="Times New Roman" w:cs="Times New Roman"/>
                <w:b w:val="0"/>
                <w:szCs w:val="21"/>
              </w:rPr>
            </w:pP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0B1A">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Netherlands</w:t>
            </w:r>
          </w:p>
        </w:tc>
        <w:tc>
          <w:tcPr>
            <w:tcW w:w="1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9D01E">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1,070</w:t>
            </w:r>
          </w:p>
        </w:tc>
        <w:tc>
          <w:tcPr>
            <w:tcW w:w="371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5D7A523">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52.80</w:t>
            </w:r>
          </w:p>
        </w:tc>
      </w:tr>
      <w:tr w14:paraId="68E961E3">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138F0C5A">
            <w:pPr>
              <w:snapToGrid w:val="0"/>
              <w:jc w:val="center"/>
              <w:rPr>
                <w:rFonts w:hint="default" w:ascii="Times New Roman" w:hAnsi="Times New Roman" w:cs="Times New Roman"/>
                <w:b w:val="0"/>
                <w:szCs w:val="21"/>
              </w:rPr>
            </w:pP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720F">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Germany</w:t>
            </w:r>
          </w:p>
        </w:tc>
        <w:tc>
          <w:tcPr>
            <w:tcW w:w="1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D79D3">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928</w:t>
            </w:r>
          </w:p>
        </w:tc>
        <w:tc>
          <w:tcPr>
            <w:tcW w:w="371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AF503E2">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21.88</w:t>
            </w:r>
          </w:p>
        </w:tc>
      </w:tr>
      <w:tr w14:paraId="72AF1768">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406C3694">
            <w:pPr>
              <w:snapToGrid w:val="0"/>
              <w:jc w:val="center"/>
              <w:rPr>
                <w:rFonts w:hint="default" w:ascii="Times New Roman" w:hAnsi="Times New Roman" w:cs="Times New Roman"/>
                <w:b w:val="0"/>
                <w:szCs w:val="21"/>
              </w:rPr>
            </w:pP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58741">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Italy</w:t>
            </w:r>
          </w:p>
        </w:tc>
        <w:tc>
          <w:tcPr>
            <w:tcW w:w="1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96622">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478</w:t>
            </w:r>
          </w:p>
        </w:tc>
        <w:tc>
          <w:tcPr>
            <w:tcW w:w="371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38DD88F">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21.76</w:t>
            </w:r>
          </w:p>
        </w:tc>
      </w:tr>
      <w:tr w14:paraId="4BD8D972">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right w:val="single" w:color="000000" w:sz="4" w:space="0"/>
            </w:tcBorders>
            <w:shd w:val="clear" w:color="auto" w:fill="FFFFFF"/>
            <w:tcMar>
              <w:top w:w="-1" w:type="dxa"/>
              <w:left w:w="-1" w:type="dxa"/>
              <w:bottom w:w="-1" w:type="dxa"/>
              <w:right w:w="-1" w:type="dxa"/>
            </w:tcMar>
            <w:vAlign w:val="center"/>
          </w:tcPr>
          <w:p w14:paraId="0A149D94">
            <w:pPr>
              <w:snapToGrid w:val="0"/>
              <w:jc w:val="center"/>
              <w:rPr>
                <w:rFonts w:hint="default" w:ascii="Times New Roman" w:hAnsi="Times New Roman" w:cs="Times New Roman"/>
                <w:b w:val="0"/>
                <w:szCs w:val="21"/>
              </w:rPr>
            </w:pP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A3C0">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France</w:t>
            </w:r>
          </w:p>
        </w:tc>
        <w:tc>
          <w:tcPr>
            <w:tcW w:w="1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7A7AB">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271</w:t>
            </w:r>
          </w:p>
        </w:tc>
        <w:tc>
          <w:tcPr>
            <w:tcW w:w="371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75CE8CB">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28.04</w:t>
            </w:r>
          </w:p>
        </w:tc>
      </w:tr>
      <w:tr w14:paraId="2EE1F7AC">
        <w:tblPrEx>
          <w:tblCellMar>
            <w:top w:w="0" w:type="dxa"/>
            <w:left w:w="108" w:type="dxa"/>
            <w:bottom w:w="0" w:type="dxa"/>
            <w:right w:w="108" w:type="dxa"/>
          </w:tblCellMar>
        </w:tblPrEx>
        <w:trPr>
          <w:trHeight w:val="283" w:hRule="atLeast"/>
          <w:jc w:val="center"/>
        </w:trPr>
        <w:tc>
          <w:tcPr>
            <w:tcW w:w="951" w:type="dxa"/>
            <w:vMerge w:val="continue"/>
            <w:tcBorders>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E7792B">
            <w:pPr>
              <w:snapToGrid w:val="0"/>
              <w:jc w:val="center"/>
              <w:rPr>
                <w:rFonts w:hint="default" w:ascii="Times New Roman" w:hAnsi="Times New Roman" w:cs="Times New Roman"/>
                <w:b w:val="0"/>
                <w:szCs w:val="21"/>
              </w:rPr>
            </w:pPr>
          </w:p>
        </w:tc>
        <w:tc>
          <w:tcPr>
            <w:tcW w:w="3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DB99">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Spain</w:t>
            </w:r>
          </w:p>
        </w:tc>
        <w:tc>
          <w:tcPr>
            <w:tcW w:w="1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2E420">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154</w:t>
            </w:r>
          </w:p>
        </w:tc>
        <w:tc>
          <w:tcPr>
            <w:tcW w:w="371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C9BCB21">
            <w:pPr>
              <w:spacing w:before="0" w:after="0"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19.48</w:t>
            </w:r>
          </w:p>
        </w:tc>
      </w:tr>
    </w:tbl>
    <w:p w14:paraId="50161990">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An elite undergraduate background indicates a bachelor’s degree from a global Top 500 university. Senior LinkedIn positions are Revelio seniority levels 6–7. The corporate sample excludes public administration (NAICS 92). Percentages use the full denominator; institutions outside the global ranking are coded as non-elite. The Chinese listed-company sample contains executive–company–year records with identifiable undergraduate institutions. The education industry (N = 20) is omitted because the cell is too small for substantive interpretation.</w:t>
      </w:r>
    </w:p>
    <w:p w14:paraId="7E2954B6">
      <w:pPr>
        <w:pStyle w:val="19"/>
        <w:widowControl/>
        <w:snapToGrid w:val="0"/>
        <w:textAlignment w:val="center"/>
        <w:rPr>
          <w:rFonts w:hint="default" w:ascii="Times New Roman" w:hAnsi="Times New Roman" w:cs="Times New Roman"/>
          <w:b w:val="0"/>
          <w:i w:val="0"/>
          <w:sz w:val="20"/>
          <w:szCs w:val="28"/>
        </w:rPr>
        <w:sectPr>
          <w:footerReference r:id="rId5" w:type="default"/>
          <w:pgSz w:w="11906" w:h="16838"/>
          <w:pgMar w:top="1080" w:right="1083" w:bottom="1080" w:left="1083" w:header="648" w:footer="648" w:gutter="0"/>
          <w:cols w:space="720" w:num="1"/>
          <w:docGrid w:linePitch="360" w:charSpace="0"/>
        </w:sectPr>
      </w:pPr>
    </w:p>
    <w:p w14:paraId="7FDCB6E8">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 xml:space="preserve">Appendix Table 2b. </w:t>
      </w:r>
      <w:r>
        <w:rPr>
          <w:rFonts w:hint="default" w:ascii="Times New Roman" w:hAnsi="Times New Roman" w:cs="Times New Roman"/>
          <w:i w:val="0"/>
          <w:sz w:val="22"/>
          <w:szCs w:val="22"/>
          <w:lang w:val="en-US" w:eastAsia="zh-CN"/>
        </w:rPr>
        <w:t>T</w:t>
      </w:r>
      <w:r>
        <w:rPr>
          <w:rFonts w:hint="default" w:ascii="Times New Roman" w:hAnsi="Times New Roman" w:cs="Times New Roman"/>
          <w:i w:val="0"/>
          <w:sz w:val="22"/>
          <w:szCs w:val="22"/>
        </w:rPr>
        <w:t>rends in elite undergraduate representation and source-institution concentration</w:t>
      </w:r>
    </w:p>
    <w:p w14:paraId="2E39B2F6">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LinkedIn corporate sample</w:t>
      </w:r>
    </w:p>
    <w:tbl>
      <w:tblPr>
        <w:tblStyle w:val="5"/>
        <w:tblW w:w="8953" w:type="dxa"/>
        <w:jc w:val="center"/>
        <w:tblLayout w:type="fixed"/>
        <w:tblCellMar>
          <w:top w:w="0" w:type="dxa"/>
          <w:left w:w="108" w:type="dxa"/>
          <w:bottom w:w="0" w:type="dxa"/>
          <w:right w:w="108" w:type="dxa"/>
        </w:tblCellMar>
      </w:tblPr>
      <w:tblGrid>
        <w:gridCol w:w="946"/>
        <w:gridCol w:w="969"/>
        <w:gridCol w:w="2058"/>
        <w:gridCol w:w="1164"/>
        <w:gridCol w:w="1292"/>
        <w:gridCol w:w="1200"/>
        <w:gridCol w:w="1324"/>
      </w:tblGrid>
      <w:tr w14:paraId="33B7EAAE">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19F93002">
            <w:pPr>
              <w:widowControl/>
              <w:snapToGrid w:val="0"/>
              <w:spacing w:before="0" w:after="0" w:line="240" w:lineRule="auto"/>
              <w:jc w:val="center"/>
              <w:textAlignment w:val="bottom"/>
              <w:rPr>
                <w:rFonts w:hint="default" w:ascii="Times New Roman" w:hAnsi="Times New Roman" w:cs="Times New Roman" w:eastAsiaTheme="minorEastAsia"/>
                <w:b/>
                <w:bCs/>
                <w:szCs w:val="21"/>
                <w:lang w:val="en-US" w:eastAsia="zh-CN"/>
              </w:rPr>
            </w:pPr>
            <w:r>
              <w:rPr>
                <w:rFonts w:hint="default" w:ascii="Times New Roman" w:hAnsi="Times New Roman" w:eastAsia="宋体" w:cs="Times New Roman"/>
                <w:b/>
                <w:bCs/>
                <w:kern w:val="0"/>
                <w:szCs w:val="21"/>
                <w:lang w:val="en-US" w:eastAsia="zh-CN" w:bidi="ar"/>
              </w:rPr>
              <w:t>Period</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A0F0C">
            <w:pPr>
              <w:widowControl/>
              <w:snapToGrid w:val="0"/>
              <w:spacing w:before="0" w:after="0" w:line="240" w:lineRule="auto"/>
              <w:jc w:val="center"/>
              <w:textAlignment w:val="bottom"/>
              <w:rPr>
                <w:rFonts w:hint="default" w:ascii="Times New Roman" w:hAnsi="Times New Roman" w:eastAsia="宋体" w:cs="Times New Roman"/>
                <w:b/>
                <w:bCs/>
                <w:kern w:val="0"/>
                <w:szCs w:val="21"/>
                <w:lang w:val="en-US" w:eastAsia="zh-CN" w:bidi="ar"/>
              </w:rPr>
            </w:pPr>
            <w:r>
              <w:rPr>
                <w:rFonts w:hint="default" w:ascii="Times New Roman" w:hAnsi="Times New Roman" w:eastAsia="宋体" w:cs="Times New Roman"/>
                <w:b/>
                <w:bCs/>
                <w:kern w:val="0"/>
                <w:szCs w:val="21"/>
                <w:lang w:val="en-US" w:eastAsia="zh-CN" w:bidi="ar"/>
              </w:rPr>
              <w:t>N</w:t>
            </w:r>
          </w:p>
        </w:tc>
        <w:tc>
          <w:tcPr>
            <w:tcW w:w="20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A4730">
            <w:pPr>
              <w:widowControl/>
              <w:snapToGrid w:val="0"/>
              <w:spacing w:before="0" w:after="0" w:line="240" w:lineRule="auto"/>
              <w:jc w:val="center"/>
              <w:textAlignment w:val="bottom"/>
              <w:rPr>
                <w:rFonts w:hint="default" w:ascii="Times New Roman" w:hAnsi="Times New Roman" w:eastAsia="宋体" w:cs="Times New Roman"/>
                <w:b/>
                <w:bCs/>
                <w:kern w:val="0"/>
                <w:szCs w:val="21"/>
                <w:lang w:val="en-US" w:eastAsia="zh-CN" w:bidi="ar"/>
              </w:rPr>
            </w:pPr>
            <w:r>
              <w:rPr>
                <w:rFonts w:hint="default" w:ascii="Times New Roman" w:hAnsi="Times New Roman" w:eastAsia="宋体" w:cs="Times New Roman"/>
                <w:b/>
                <w:sz w:val="21"/>
                <w:szCs w:val="21"/>
              </w:rPr>
              <w:t>Elite undergraduate background (%)</w:t>
            </w:r>
          </w:p>
        </w:tc>
        <w:tc>
          <w:tcPr>
            <w:tcW w:w="116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93A22D">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sz w:val="21"/>
                <w:szCs w:val="21"/>
              </w:rPr>
              <w:t>Gini coefficient</w:t>
            </w:r>
          </w:p>
        </w:tc>
        <w:tc>
          <w:tcPr>
            <w:tcW w:w="129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1F2C574">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sz w:val="21"/>
                <w:szCs w:val="21"/>
              </w:rPr>
              <w:t>Normalized Theil index</w:t>
            </w:r>
          </w:p>
        </w:tc>
        <w:tc>
          <w:tcPr>
            <w:tcW w:w="12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4AFE5FF">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sz w:val="21"/>
                <w:szCs w:val="21"/>
              </w:rPr>
              <w:t>Top 10 share (%)</w:t>
            </w:r>
          </w:p>
        </w:tc>
        <w:tc>
          <w:tcPr>
            <w:tcW w:w="132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53224F1">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sz w:val="21"/>
                <w:szCs w:val="21"/>
              </w:rPr>
              <w:t>Top 10% share (%)</w:t>
            </w:r>
          </w:p>
        </w:tc>
      </w:tr>
      <w:tr w14:paraId="7A324D9C">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0CE8D7A">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Overall</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5BEF">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829,530</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B461">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33.77</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DC38693">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0.93</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4A8CF3EB">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0.28</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687BF00">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7.51</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3E91F8A">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93.65</w:t>
            </w:r>
          </w:p>
        </w:tc>
      </w:tr>
      <w:tr w14:paraId="49E0574F">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12B9FB6">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1985</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CA39">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1,243</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6D09">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37.33</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3CE41BA">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0.42</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3241DF0">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0.05</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0CD953C">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9.49</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D1B12E5">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35.80</w:t>
            </w:r>
          </w:p>
        </w:tc>
      </w:tr>
      <w:tr w14:paraId="7FCC5484">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42D6575">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1995</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50C2">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4,458</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8EA8">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35.82</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2C8A3CB">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0.56</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08BF01E">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0.09</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34BA308">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9.06</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422DE7D4">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45.54</w:t>
            </w:r>
          </w:p>
        </w:tc>
      </w:tr>
      <w:tr w14:paraId="6F9B85B6">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42443848">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2005</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09A8">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14,130</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EFAE">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34.30</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B0C7313">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0.67</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25C178C">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0.12</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47CC420">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7.91</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B6514C5">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56.74</w:t>
            </w:r>
          </w:p>
        </w:tc>
      </w:tr>
      <w:tr w14:paraId="313E9B03">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6C2E85E">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2015</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E07A">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39,280</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DC398">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34.01</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B26EE28">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0.75</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D389742">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0.15</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B3DCC73">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7.54</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E9C8A4C">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66.13</w:t>
            </w:r>
          </w:p>
        </w:tc>
      </w:tr>
      <w:tr w14:paraId="684739A4">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4914C96">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2023</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A7AFE">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68,179</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B29A">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32.68</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9DC5129">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0.79</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3845155">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0.17</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8098A1A">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7.56</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3845DB0">
            <w:pPr>
              <w:spacing w:before="0" w:after="0" w:line="240" w:lineRule="auto"/>
              <w:jc w:val="center"/>
              <w:rPr>
                <w:rFonts w:hint="default" w:ascii="Times New Roman" w:hAnsi="Times New Roman" w:cs="Times New Roman" w:eastAsiaTheme="minorEastAsia"/>
                <w:b w:val="0"/>
                <w:i w:val="0"/>
                <w:color w:val="000000"/>
                <w:kern w:val="2"/>
                <w:sz w:val="21"/>
                <w:szCs w:val="21"/>
                <w:lang w:val="en-US" w:eastAsia="zh-CN" w:bidi="ar-SA"/>
              </w:rPr>
            </w:pPr>
            <w:r>
              <w:rPr>
                <w:rFonts w:hint="default" w:ascii="Times New Roman" w:hAnsi="Times New Roman" w:eastAsia="宋体" w:cs="Times New Roman"/>
                <w:sz w:val="21"/>
                <w:szCs w:val="21"/>
              </w:rPr>
              <w:t>71.63</w:t>
            </w:r>
          </w:p>
        </w:tc>
      </w:tr>
    </w:tbl>
    <w:p w14:paraId="3EE05570">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Chinese listed-company executive sample</w:t>
      </w:r>
    </w:p>
    <w:tbl>
      <w:tblPr>
        <w:tblStyle w:val="5"/>
        <w:tblW w:w="8953" w:type="dxa"/>
        <w:jc w:val="center"/>
        <w:tblLayout w:type="fixed"/>
        <w:tblCellMar>
          <w:top w:w="0" w:type="dxa"/>
          <w:left w:w="108" w:type="dxa"/>
          <w:bottom w:w="0" w:type="dxa"/>
          <w:right w:w="108" w:type="dxa"/>
        </w:tblCellMar>
      </w:tblPr>
      <w:tblGrid>
        <w:gridCol w:w="946"/>
        <w:gridCol w:w="969"/>
        <w:gridCol w:w="2058"/>
        <w:gridCol w:w="1164"/>
        <w:gridCol w:w="1292"/>
        <w:gridCol w:w="1200"/>
        <w:gridCol w:w="1324"/>
      </w:tblGrid>
      <w:tr w14:paraId="68DD6E7A">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2CD6765C">
            <w:pPr>
              <w:widowControl/>
              <w:snapToGrid w:val="0"/>
              <w:spacing w:before="0" w:after="0" w:line="240" w:lineRule="auto"/>
              <w:jc w:val="center"/>
              <w:textAlignment w:val="bottom"/>
              <w:rPr>
                <w:rFonts w:hint="default" w:ascii="Times New Roman" w:hAnsi="Times New Roman" w:cs="Times New Roman" w:eastAsiaTheme="minorEastAsia"/>
                <w:b/>
                <w:bCs/>
                <w:szCs w:val="21"/>
                <w:lang w:val="en-US" w:eastAsia="zh-CN"/>
              </w:rPr>
            </w:pPr>
            <w:r>
              <w:rPr>
                <w:rFonts w:hint="default" w:ascii="Times New Roman" w:hAnsi="Times New Roman" w:eastAsia="宋体" w:cs="Times New Roman"/>
                <w:b/>
                <w:bCs/>
                <w:kern w:val="0"/>
                <w:szCs w:val="21"/>
                <w:lang w:val="en-US" w:eastAsia="zh-CN" w:bidi="ar"/>
              </w:rPr>
              <w:t>Period</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1313D">
            <w:pPr>
              <w:widowControl/>
              <w:snapToGrid w:val="0"/>
              <w:spacing w:before="0" w:after="0" w:line="240" w:lineRule="auto"/>
              <w:jc w:val="center"/>
              <w:textAlignment w:val="bottom"/>
              <w:rPr>
                <w:rFonts w:hint="default" w:ascii="Times New Roman" w:hAnsi="Times New Roman" w:eastAsia="宋体" w:cs="Times New Roman"/>
                <w:b/>
                <w:bCs/>
                <w:kern w:val="0"/>
                <w:szCs w:val="21"/>
                <w:lang w:val="en-US" w:eastAsia="zh-CN" w:bidi="ar"/>
              </w:rPr>
            </w:pPr>
            <w:r>
              <w:rPr>
                <w:rFonts w:hint="default" w:ascii="Times New Roman" w:hAnsi="Times New Roman" w:eastAsia="宋体" w:cs="Times New Roman"/>
                <w:b/>
                <w:bCs/>
                <w:kern w:val="0"/>
                <w:szCs w:val="21"/>
                <w:lang w:val="en-US" w:eastAsia="zh-CN" w:bidi="ar"/>
              </w:rPr>
              <w:t>N</w:t>
            </w:r>
          </w:p>
        </w:tc>
        <w:tc>
          <w:tcPr>
            <w:tcW w:w="20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3130D6">
            <w:pPr>
              <w:widowControl/>
              <w:snapToGrid w:val="0"/>
              <w:spacing w:before="0" w:after="0" w:line="240" w:lineRule="auto"/>
              <w:jc w:val="center"/>
              <w:textAlignment w:val="bottom"/>
              <w:rPr>
                <w:rFonts w:hint="default" w:ascii="Times New Roman" w:hAnsi="Times New Roman" w:eastAsia="宋体" w:cs="Times New Roman"/>
                <w:b/>
                <w:bCs/>
                <w:kern w:val="0"/>
                <w:szCs w:val="21"/>
                <w:lang w:val="en-US" w:eastAsia="zh-CN" w:bidi="ar"/>
              </w:rPr>
            </w:pPr>
            <w:r>
              <w:rPr>
                <w:rFonts w:hint="default" w:ascii="Times New Roman" w:hAnsi="Times New Roman" w:eastAsia="宋体" w:cs="Times New Roman"/>
                <w:b/>
                <w:sz w:val="21"/>
                <w:szCs w:val="21"/>
              </w:rPr>
              <w:t>Elite undergraduate background (%)</w:t>
            </w:r>
          </w:p>
        </w:tc>
        <w:tc>
          <w:tcPr>
            <w:tcW w:w="116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9A1BC03">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sz w:val="21"/>
                <w:szCs w:val="21"/>
              </w:rPr>
              <w:t>Gini coefficient</w:t>
            </w:r>
          </w:p>
        </w:tc>
        <w:tc>
          <w:tcPr>
            <w:tcW w:w="129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E35EB2">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sz w:val="21"/>
                <w:szCs w:val="21"/>
              </w:rPr>
              <w:t>Normalized Theil index</w:t>
            </w:r>
          </w:p>
        </w:tc>
        <w:tc>
          <w:tcPr>
            <w:tcW w:w="12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A8EBE10">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sz w:val="21"/>
                <w:szCs w:val="21"/>
              </w:rPr>
              <w:t>Top 10 share (%)</w:t>
            </w:r>
          </w:p>
        </w:tc>
        <w:tc>
          <w:tcPr>
            <w:tcW w:w="132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508EA14">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sz w:val="21"/>
                <w:szCs w:val="21"/>
              </w:rPr>
              <w:t>Top 10% share (%)</w:t>
            </w:r>
          </w:p>
        </w:tc>
      </w:tr>
      <w:tr w14:paraId="142693C6">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7713760">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Overall</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87B0">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184,860</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53E4">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42.98</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2B8B809">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0.85</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A3DF367">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0.27</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8ACF5F6">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19.27</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D10C92A">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81.48</w:t>
            </w:r>
          </w:p>
        </w:tc>
      </w:tr>
      <w:tr w14:paraId="2CFE65F0">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4B574FD4">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2008</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C36D">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3,502</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D6B7">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39.92</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BB1539B">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0.62</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9BF7E29">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0.15</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7FE6E8B">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21.76</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CFB024F">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58.97</w:t>
            </w:r>
          </w:p>
        </w:tc>
      </w:tr>
      <w:tr w14:paraId="11F22D8E">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FBACBEE">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2010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7603F">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6,842</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8588">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42.01</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89FF427">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0.68</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B2F3B28">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0.18</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04E56C8">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21.35</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66F0A1C">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65.55</w:t>
            </w:r>
          </w:p>
        </w:tc>
      </w:tr>
      <w:tr w14:paraId="2FF97093">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433398B">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2015</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58E2">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9,464</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4574">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42.65</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64451C8">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0.70</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9B25313">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0.19</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0563506">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21.14</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42D8DC9">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68.48</w:t>
            </w:r>
          </w:p>
        </w:tc>
      </w:tr>
      <w:tr w14:paraId="31E1FAFD">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17CB2076">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2020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81E27">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17,461</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0A8B">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43.53</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1A239758">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0.72</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6545C98">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0.20</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18A2779">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18.24</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E91532F">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70.95</w:t>
            </w:r>
          </w:p>
        </w:tc>
      </w:tr>
      <w:tr w14:paraId="6BE85345">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ACE773D">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2023</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38199">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20,437</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65FD">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44.47</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5B98914">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0.74</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772B96A">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0.21</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6A05AEF">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18.28</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FCB32E1">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72.54</w:t>
            </w:r>
          </w:p>
        </w:tc>
      </w:tr>
    </w:tbl>
    <w:p w14:paraId="536A4BC1">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C. LinkedIn public-administration sample</w:t>
      </w:r>
    </w:p>
    <w:tbl>
      <w:tblPr>
        <w:tblStyle w:val="5"/>
        <w:tblW w:w="8953" w:type="dxa"/>
        <w:jc w:val="center"/>
        <w:tblLayout w:type="fixed"/>
        <w:tblCellMar>
          <w:top w:w="0" w:type="dxa"/>
          <w:left w:w="108" w:type="dxa"/>
          <w:bottom w:w="0" w:type="dxa"/>
          <w:right w:w="108" w:type="dxa"/>
        </w:tblCellMar>
      </w:tblPr>
      <w:tblGrid>
        <w:gridCol w:w="946"/>
        <w:gridCol w:w="969"/>
        <w:gridCol w:w="2058"/>
        <w:gridCol w:w="1164"/>
        <w:gridCol w:w="1292"/>
        <w:gridCol w:w="1200"/>
        <w:gridCol w:w="1324"/>
      </w:tblGrid>
      <w:tr w14:paraId="1908E5C4">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7C94E1AF">
            <w:pPr>
              <w:widowControl/>
              <w:snapToGrid w:val="0"/>
              <w:spacing w:before="0" w:after="0" w:line="240" w:lineRule="auto"/>
              <w:jc w:val="center"/>
              <w:textAlignment w:val="bottom"/>
              <w:rPr>
                <w:rFonts w:hint="default" w:ascii="Times New Roman" w:hAnsi="Times New Roman" w:cs="Times New Roman" w:eastAsiaTheme="minorEastAsia"/>
                <w:b/>
                <w:bCs/>
                <w:szCs w:val="21"/>
                <w:lang w:val="en-US" w:eastAsia="zh-CN"/>
              </w:rPr>
            </w:pPr>
            <w:r>
              <w:rPr>
                <w:rFonts w:hint="default" w:ascii="Times New Roman" w:hAnsi="Times New Roman" w:eastAsia="宋体" w:cs="Times New Roman"/>
                <w:b/>
                <w:bCs/>
                <w:kern w:val="0"/>
                <w:szCs w:val="21"/>
                <w:lang w:val="en-US" w:eastAsia="zh-CN" w:bidi="ar"/>
              </w:rPr>
              <w:t>Period</w:t>
            </w:r>
          </w:p>
        </w:tc>
        <w:tc>
          <w:tcPr>
            <w:tcW w:w="9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E763D">
            <w:pPr>
              <w:widowControl/>
              <w:snapToGrid w:val="0"/>
              <w:spacing w:before="0" w:after="0" w:line="240" w:lineRule="auto"/>
              <w:jc w:val="center"/>
              <w:textAlignment w:val="bottom"/>
              <w:rPr>
                <w:rFonts w:hint="default" w:ascii="Times New Roman" w:hAnsi="Times New Roman" w:eastAsia="宋体" w:cs="Times New Roman"/>
                <w:b/>
                <w:bCs/>
                <w:kern w:val="0"/>
                <w:szCs w:val="21"/>
                <w:lang w:val="en-US" w:eastAsia="zh-CN" w:bidi="ar"/>
              </w:rPr>
            </w:pPr>
            <w:r>
              <w:rPr>
                <w:rFonts w:hint="default" w:ascii="Times New Roman" w:hAnsi="Times New Roman" w:eastAsia="宋体" w:cs="Times New Roman"/>
                <w:b/>
                <w:bCs/>
                <w:kern w:val="0"/>
                <w:szCs w:val="21"/>
                <w:lang w:val="en-US" w:eastAsia="zh-CN" w:bidi="ar"/>
              </w:rPr>
              <w:t>N</w:t>
            </w:r>
          </w:p>
        </w:tc>
        <w:tc>
          <w:tcPr>
            <w:tcW w:w="20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E77BD">
            <w:pPr>
              <w:widowControl/>
              <w:snapToGrid w:val="0"/>
              <w:spacing w:before="0" w:after="0" w:line="240" w:lineRule="auto"/>
              <w:jc w:val="center"/>
              <w:textAlignment w:val="bottom"/>
              <w:rPr>
                <w:rFonts w:hint="default" w:ascii="Times New Roman" w:hAnsi="Times New Roman" w:eastAsia="宋体" w:cs="Times New Roman"/>
                <w:b/>
                <w:bCs/>
                <w:kern w:val="0"/>
                <w:szCs w:val="21"/>
                <w:lang w:val="en-US" w:eastAsia="zh-CN" w:bidi="ar"/>
              </w:rPr>
            </w:pPr>
            <w:r>
              <w:rPr>
                <w:rFonts w:hint="default" w:ascii="Times New Roman" w:hAnsi="Times New Roman" w:eastAsia="宋体" w:cs="Times New Roman"/>
                <w:b/>
                <w:sz w:val="21"/>
                <w:szCs w:val="21"/>
              </w:rPr>
              <w:t>Elite undergraduate background (%)</w:t>
            </w:r>
          </w:p>
        </w:tc>
        <w:tc>
          <w:tcPr>
            <w:tcW w:w="116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ADFB18">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sz w:val="21"/>
                <w:szCs w:val="21"/>
              </w:rPr>
              <w:t>Gini coefficient</w:t>
            </w:r>
          </w:p>
        </w:tc>
        <w:tc>
          <w:tcPr>
            <w:tcW w:w="129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4759705">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sz w:val="21"/>
                <w:szCs w:val="21"/>
              </w:rPr>
              <w:t>Normalized Theil index</w:t>
            </w:r>
          </w:p>
        </w:tc>
        <w:tc>
          <w:tcPr>
            <w:tcW w:w="12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744DF61">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sz w:val="21"/>
                <w:szCs w:val="21"/>
              </w:rPr>
              <w:t>Top 10 share (%)</w:t>
            </w:r>
          </w:p>
        </w:tc>
        <w:tc>
          <w:tcPr>
            <w:tcW w:w="132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13590BF">
            <w:pPr>
              <w:widowControl/>
              <w:snapToGrid w:val="0"/>
              <w:spacing w:before="0" w:after="0" w:line="240" w:lineRule="auto"/>
              <w:jc w:val="center"/>
              <w:textAlignment w:val="bottom"/>
              <w:rPr>
                <w:rFonts w:hint="default" w:ascii="Times New Roman" w:hAnsi="Times New Roman" w:cs="Times New Roman"/>
                <w:b/>
                <w:bCs/>
                <w:szCs w:val="21"/>
              </w:rPr>
            </w:pPr>
            <w:r>
              <w:rPr>
                <w:rFonts w:hint="default" w:ascii="Times New Roman" w:hAnsi="Times New Roman" w:eastAsia="宋体" w:cs="Times New Roman"/>
                <w:b/>
                <w:sz w:val="21"/>
                <w:szCs w:val="21"/>
              </w:rPr>
              <w:t>Top 10% share (%)</w:t>
            </w:r>
          </w:p>
        </w:tc>
      </w:tr>
      <w:tr w14:paraId="4896560F">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3E65C0D">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Overall</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DFAB5">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67,039</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074DC">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31.98</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BB9514F">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0.81</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DD6EED0">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0.18</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2CF759A">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11.10</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4EA328C4">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71.70</w:t>
            </w:r>
          </w:p>
        </w:tc>
      </w:tr>
      <w:tr w14:paraId="23CFB587">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A2AD406">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1985</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4126B">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141</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1B109">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29.08</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E2D0CD1">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0.13</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BDD54D9">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0.01</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87EE3EB">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17.02</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CE7490F">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21.28</w:t>
            </w:r>
          </w:p>
        </w:tc>
      </w:tr>
      <w:tr w14:paraId="6420AC1D">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806F45E">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1995</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23EB">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375</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2F525">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30.93</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11E70AAB">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0.26</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AC1FDF1">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0.03</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4EA3FF8C">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15.20</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25B183D">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26.67</w:t>
            </w:r>
          </w:p>
        </w:tc>
      </w:tr>
      <w:tr w14:paraId="4908DB40">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161F1E21">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2005</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D7105">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1,363</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DB75">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28.54</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8939B00">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0.42</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2565108">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0.06</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78A3A82">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12.25</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45EE2CF">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37.12</w:t>
            </w:r>
          </w:p>
        </w:tc>
      </w:tr>
      <w:tr w14:paraId="5F3ECA5E">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79F7F368">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2015</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B4330">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3,379</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8AAE1">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31.28</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E42A197">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0.54</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643F146E">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0.09</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81928F1">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12.13</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0881B318">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43.56</w:t>
            </w:r>
          </w:p>
        </w:tc>
      </w:tr>
      <w:tr w14:paraId="36C72C43">
        <w:tblPrEx>
          <w:tblCellMar>
            <w:top w:w="0" w:type="dxa"/>
            <w:left w:w="108" w:type="dxa"/>
            <w:bottom w:w="0" w:type="dxa"/>
            <w:right w:w="108" w:type="dxa"/>
          </w:tblCellMar>
        </w:tblPrEx>
        <w:trPr>
          <w:trHeight w:val="283"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1096131D">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2023</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CE41">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4,455</w:t>
            </w:r>
          </w:p>
        </w:tc>
        <w:tc>
          <w:tcPr>
            <w:tcW w:w="2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E5B4">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38.54</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5D15C6B9">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0.56</w:t>
            </w:r>
          </w:p>
        </w:tc>
        <w:tc>
          <w:tcPr>
            <w:tcW w:w="1292"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335AAF98">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0.09</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1368C5EC">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9.67</w:t>
            </w:r>
          </w:p>
        </w:tc>
        <w:tc>
          <w:tcPr>
            <w:tcW w:w="1324" w:type="dxa"/>
            <w:tcBorders>
              <w:top w:val="single" w:color="000000" w:sz="4" w:space="0"/>
              <w:left w:val="single" w:color="000000" w:sz="4" w:space="0"/>
              <w:bottom w:val="single" w:color="000000" w:sz="4" w:space="0"/>
              <w:right w:val="single" w:color="000000" w:sz="4" w:space="0"/>
            </w:tcBorders>
            <w:shd w:val="clear" w:color="auto" w:fill="auto"/>
            <w:tcMar>
              <w:top w:w="-1" w:type="dxa"/>
              <w:left w:w="-1" w:type="dxa"/>
              <w:bottom w:w="-1" w:type="dxa"/>
              <w:right w:w="-1" w:type="dxa"/>
            </w:tcMar>
            <w:vAlign w:val="center"/>
          </w:tcPr>
          <w:p w14:paraId="2CAC81C8">
            <w:pPr>
              <w:spacing w:before="0" w:after="0" w:line="240" w:lineRule="auto"/>
              <w:jc w:val="center"/>
              <w:rPr>
                <w:rFonts w:hint="default" w:ascii="Times New Roman" w:hAnsi="Times New Roman" w:eastAsia="Times New Roman" w:cs="Times New Roman"/>
                <w:b w:val="0"/>
                <w:i w:val="0"/>
                <w:color w:val="000000"/>
                <w:kern w:val="2"/>
                <w:sz w:val="21"/>
                <w:szCs w:val="21"/>
                <w:lang w:val="en-US" w:eastAsia="zh-CN" w:bidi="ar-SA"/>
              </w:rPr>
            </w:pPr>
            <w:r>
              <w:rPr>
                <w:rFonts w:hint="default" w:ascii="Times New Roman" w:hAnsi="Times New Roman" w:eastAsia="宋体" w:cs="Times New Roman"/>
                <w:sz w:val="21"/>
                <w:szCs w:val="21"/>
              </w:rPr>
              <w:t>44.96</w:t>
            </w:r>
          </w:p>
        </w:tc>
      </w:tr>
    </w:tbl>
    <w:p w14:paraId="1E3677BB">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N denotes senior-position records in the LinkedIn samples and executive–company–year records in the Chinese listed-company sample. Gini and normalized Theil indices measure inequality in the distribution of positions across source institutions; higher values indicate greater concentration. The normalized Theil index equals the raw Theil index divided by ln(n), where n is the number of source institutions in the corresponding year or sample. Top 10 is the share contributed by the ten largest source institutions. Top 10% is the share contributed by the highest-ranked 10% of source institutions, rounded up to the next whole institution. “Overall” pools all available years and therefore is not an average of the selected annual estimates. The table reports representative years to summarize long-run change; all annual estimates are available in the underlying analysis. Fixed Top 10 shares generally decline as the number of observed source institutions expands, whereas Top 10% shares increase markedly. Accordingly, the evidence is best interpreted as increasing concentration within the relative upper tier, rather than as a uniform rise across every concentration measure.</w:t>
      </w:r>
    </w:p>
    <w:p w14:paraId="5352E0A0">
      <w:pPr>
        <w:rPr>
          <w:rFonts w:hint="default" w:ascii="Times New Roman" w:hAnsi="Times New Roman" w:cs="Times New Roman"/>
          <w:szCs w:val="21"/>
        </w:rPr>
      </w:pPr>
      <w:r>
        <w:rPr>
          <w:rFonts w:hint="default" w:ascii="Times New Roman" w:hAnsi="Times New Roman" w:cs="Times New Roman"/>
          <w:szCs w:val="21"/>
        </w:rPr>
        <w:br w:type="page"/>
      </w:r>
    </w:p>
    <w:p w14:paraId="4FBCE104">
      <w:pPr>
        <w:pStyle w:val="13"/>
        <w:keepNext/>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Times New Roman" w:hAnsi="Times New Roman" w:cs="Times New Roman"/>
          <w:i w:val="0"/>
          <w:sz w:val="24"/>
          <w:szCs w:val="24"/>
        </w:rPr>
      </w:pPr>
      <w:r>
        <w:rPr>
          <w:rFonts w:hint="default" w:ascii="Times New Roman" w:hAnsi="Times New Roman" w:cs="Times New Roman"/>
          <w:i w:val="0"/>
          <w:sz w:val="24"/>
          <w:szCs w:val="24"/>
        </w:rPr>
        <w:t>B2. Elite-position attainment</w:t>
      </w:r>
    </w:p>
    <w:p w14:paraId="392B76EE">
      <w:pPr>
        <w:pStyle w:val="4"/>
        <w:widowControl/>
        <w:spacing w:beforeAutospacing="0" w:afterAutospacing="0" w:line="300" w:lineRule="auto"/>
        <w:ind w:firstLine="420"/>
        <w:jc w:val="both"/>
        <w:rPr>
          <w:rFonts w:hint="default" w:ascii="Times New Roman" w:hAnsi="Times New Roman" w:eastAsia="宋体" w:cs="Times New Roman"/>
          <w:b w:val="0"/>
          <w:i w:val="0"/>
          <w:szCs w:val="32"/>
          <w:lang w:eastAsia="zh-CN"/>
        </w:rPr>
      </w:pPr>
      <w:r>
        <w:rPr>
          <w:rFonts w:hint="default" w:ascii="Times New Roman" w:hAnsi="Times New Roman" w:eastAsia="宋体" w:cs="Times New Roman"/>
          <w:b w:val="0"/>
          <w:i w:val="0"/>
          <w:szCs w:val="32"/>
          <w:lang w:eastAsia="zh-CN"/>
        </w:rPr>
        <w:t>Appendix Tables 3 and 4 report the baseline, complete-case, and subgroup estimates for the ORCID and global faculty CV samples, respectively. Appendix Table 5 reports the corresponding main and subgroup estimates for the OpenAlex sample. Baseline models use the maximum available sample and retain missing covariate information as separate categories or indicators where applicable. Complete-case models restrict the sample to observations with complete information on the included covariates. A separate complete-case specification is not reported for OpenAlex because the covariates contain no missing values in the analytical sample.</w:t>
      </w:r>
    </w:p>
    <w:p w14:paraId="2870ECB8">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3. Association between elite doctoral education and employment at an elite university in the ORCID sample</w:t>
      </w:r>
    </w:p>
    <w:p w14:paraId="3C6DCBD9">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Baseline logit model</w:t>
      </w:r>
    </w:p>
    <w:p w14:paraId="095604CC">
      <w:pPr>
        <w:pStyle w:val="20"/>
        <w:widowControl/>
        <w:rPr>
          <w:rFonts w:hint="default" w:ascii="Times New Roman" w:hAnsi="Times New Roman" w:cs="Times New Roman"/>
          <w:sz w:val="22"/>
          <w:szCs w:val="28"/>
          <w:highlight w:val="cyan"/>
        </w:rPr>
      </w:pPr>
      <w:r>
        <w:rPr>
          <w:rFonts w:hint="default" w:ascii="Times New Roman" w:hAnsi="Times New Roman" w:cs="Times New Roman"/>
          <w:sz w:val="22"/>
          <w:szCs w:val="28"/>
        </w:rPr>
        <w:t>N = 1,011,012; Pseudo R² = 0.2160; AME of elite doctorate = 23</w:t>
      </w:r>
      <w:r>
        <w:rPr>
          <w:rFonts w:hint="default" w:ascii="Times New Roman" w:hAnsi="Times New Roman" w:cs="Times New Roman"/>
          <w:sz w:val="22"/>
          <w:szCs w:val="28"/>
          <w:lang w:val="en-US" w:eastAsia="zh-CN"/>
        </w:rPr>
        <w:t>.</w:t>
      </w:r>
      <w:r>
        <w:rPr>
          <w:rFonts w:hint="default" w:ascii="Times New Roman" w:hAnsi="Times New Roman" w:cs="Times New Roman"/>
          <w:sz w:val="22"/>
          <w:szCs w:val="28"/>
        </w:rPr>
        <w:t>90</w:t>
      </w:r>
      <w:r>
        <w:rPr>
          <w:rFonts w:hint="default" w:ascii="Times New Roman" w:hAnsi="Times New Roman" w:cs="Times New Roman"/>
          <w:sz w:val="22"/>
          <w:szCs w:val="28"/>
          <w:lang w:val="en-US" w:eastAsia="zh-CN"/>
        </w:rPr>
        <w:t xml:space="preserve"> pp</w:t>
      </w:r>
      <w:r>
        <w:rPr>
          <w:rFonts w:hint="default" w:ascii="Times New Roman" w:hAnsi="Times New Roman" w:cs="Times New Roman"/>
          <w:sz w:val="22"/>
          <w:szCs w:val="28"/>
        </w:rPr>
        <w:t xml:space="preserve"> (p &lt; 0.001); OR = 5.05 </w:t>
      </w:r>
    </w:p>
    <w:tbl>
      <w:tblPr>
        <w:tblStyle w:val="5"/>
        <w:tblW w:w="8522" w:type="dxa"/>
        <w:jc w:val="center"/>
        <w:tblLayout w:type="fixed"/>
        <w:tblCellMar>
          <w:top w:w="0" w:type="dxa"/>
          <w:left w:w="108" w:type="dxa"/>
          <w:bottom w:w="0" w:type="dxa"/>
          <w:right w:w="108" w:type="dxa"/>
        </w:tblCellMar>
      </w:tblPr>
      <w:tblGrid>
        <w:gridCol w:w="2388"/>
        <w:gridCol w:w="1236"/>
        <w:gridCol w:w="1090"/>
        <w:gridCol w:w="1006"/>
        <w:gridCol w:w="941"/>
        <w:gridCol w:w="1861"/>
      </w:tblGrid>
      <w:tr w14:paraId="42794FCB">
        <w:tblPrEx>
          <w:tblCellMar>
            <w:top w:w="0" w:type="dxa"/>
            <w:left w:w="108" w:type="dxa"/>
            <w:bottom w:w="0" w:type="dxa"/>
            <w:right w:w="108" w:type="dxa"/>
          </w:tblCellMar>
        </w:tblPrEx>
        <w:trPr>
          <w:cantSplit/>
          <w:trHeight w:val="283" w:hRule="atLeast"/>
          <w:tblHeader/>
          <w:jc w:val="center"/>
        </w:trPr>
        <w:tc>
          <w:tcPr>
            <w:tcW w:w="2388"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17B9BD34">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Variable</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BBAA143">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Coefficient</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C2D30BE">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Robust SE</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2EE348F">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z</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1197AA4">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p-value</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185DCEF">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95% CI</w:t>
            </w:r>
          </w:p>
        </w:tc>
      </w:tr>
      <w:tr w14:paraId="7D88A21B">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1BD28CD">
            <w:pPr>
              <w:keepNext/>
              <w:widowControl/>
              <w:snapToGrid w:val="0"/>
              <w:spacing w:before="0" w:after="0" w:line="240" w:lineRule="auto"/>
              <w:jc w:val="left"/>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Elite doctorate</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16E08B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1.619</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5C63D3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0.006</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4E6E51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264.33</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30472B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8CE39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[1.607, 1.631]</w:t>
            </w:r>
          </w:p>
        </w:tc>
      </w:tr>
      <w:tr w14:paraId="3E2B4B41">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90480B0">
            <w:pPr>
              <w:keepNext/>
              <w:widowControl/>
              <w:snapToGrid w:val="0"/>
              <w:spacing w:before="0" w:after="0" w:line="240" w:lineRule="auto"/>
              <w:jc w:val="left"/>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Elite bachelor’s degree</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797450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0.582</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2DE17F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0.009</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F84B91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63.98</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D7B4E1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1F5194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[0.564, 0.600]</w:t>
            </w:r>
          </w:p>
        </w:tc>
      </w:tr>
      <w:tr w14:paraId="02010D26">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FFB1CDF">
            <w:pPr>
              <w:keepNext/>
              <w:widowControl/>
              <w:snapToGrid w:val="0"/>
              <w:spacing w:before="0" w:after="0" w:line="240" w:lineRule="auto"/>
              <w:jc w:val="left"/>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Undergraduate institution missing</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1504B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0.351</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32630D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0.007</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7C6991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50.00</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8AF82C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723ACD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[0.337, 0.364]</w:t>
            </w:r>
          </w:p>
        </w:tc>
      </w:tr>
      <w:tr w14:paraId="4E606CF9">
        <w:tblPrEx>
          <w:tblCellMar>
            <w:top w:w="0" w:type="dxa"/>
            <w:left w:w="108" w:type="dxa"/>
            <w:bottom w:w="0" w:type="dxa"/>
            <w:right w:w="108" w:type="dxa"/>
          </w:tblCellMar>
        </w:tblPrEx>
        <w:trPr>
          <w:cantSplit/>
          <w:trHeight w:val="283" w:hRule="atLeast"/>
          <w:jc w:val="center"/>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C557F19">
            <w:pPr>
              <w:widowControl/>
              <w:spacing w:before="0" w:after="0" w:line="240" w:lineRule="auto"/>
              <w:jc w:val="left"/>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b/>
                <w:bCs/>
                <w:kern w:val="0"/>
                <w:szCs w:val="21"/>
                <w:lang w:bidi="ar"/>
              </w:rPr>
              <w:t>Gender (ref: Male)</w:t>
            </w:r>
          </w:p>
        </w:tc>
      </w:tr>
      <w:tr w14:paraId="6F4D5DB4">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5C5FF03">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kern w:val="0"/>
                <w:szCs w:val="21"/>
                <w:lang w:bidi="ar"/>
              </w:rPr>
              <w:t>Female</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5A38D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0.012</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D74F36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0.006</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E9C66E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2.12</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C91D67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0.034</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5D267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[0.001, 0.023]</w:t>
            </w:r>
          </w:p>
        </w:tc>
      </w:tr>
      <w:tr w14:paraId="4543B91A">
        <w:tblPrEx>
          <w:tblCellMar>
            <w:top w:w="0" w:type="dxa"/>
            <w:left w:w="108" w:type="dxa"/>
            <w:bottom w:w="0" w:type="dxa"/>
            <w:right w:w="108" w:type="dxa"/>
          </w:tblCellMar>
        </w:tblPrEx>
        <w:trPr>
          <w:cantSplit/>
          <w:trHeight w:val="283" w:hRule="atLeast"/>
          <w:jc w:val="center"/>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8D5C855">
            <w:pPr>
              <w:keepNext/>
              <w:widowControl/>
              <w:snapToGrid w:val="0"/>
              <w:spacing w:before="0" w:after="0" w:line="240" w:lineRule="auto"/>
              <w:jc w:val="left"/>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Discipline (ref: Natural Sciences)</w:t>
            </w:r>
          </w:p>
        </w:tc>
      </w:tr>
      <w:tr w14:paraId="5E58DB6F">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76CFABF">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Engineering</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63D01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−0.096</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BB9F7A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0.009</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24EA1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−10.38</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6713F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7EAA35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[−0.115, −0.078]</w:t>
            </w:r>
          </w:p>
        </w:tc>
      </w:tr>
      <w:tr w14:paraId="72D7DDDC">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9B81FD9">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Medicine and Health</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32087E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−0.145</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5AF749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0.010</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C30B7D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−14.38</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7A328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C25BE4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[−0.165, −0.125]</w:t>
            </w:r>
          </w:p>
        </w:tc>
      </w:tr>
      <w:tr w14:paraId="6C5E1B9B">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183522F">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Social Sciences</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BE16B5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−0.029</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F0D8F6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0.016</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76278E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−1.90</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BCB06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0.057</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4CC84E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[−0.060, 0.001]</w:t>
            </w:r>
          </w:p>
        </w:tc>
      </w:tr>
      <w:tr w14:paraId="2F38EA0D">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75C80B0">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Applied Sciences</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3D8172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−0.055</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BDF8E5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0.020</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FF5000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−2.79</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45FCA5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0.005</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2A481E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[−0.094, −0.016]</w:t>
            </w:r>
          </w:p>
        </w:tc>
      </w:tr>
      <w:tr w14:paraId="78AEC82A">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4C1B6E">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Humanities</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BE211B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−0.049</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475E53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0.012</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2357D8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−4.19</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B92841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1AE0CD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[−0.072, −0.026]</w:t>
            </w:r>
          </w:p>
        </w:tc>
      </w:tr>
      <w:tr w14:paraId="2CA00B74">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A508CF8">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Mathematics and Computing</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E0D98A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0.173</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C96780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0.017</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EBE663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9.93</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8B00F6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4C4DCF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[0.139, 0.207]</w:t>
            </w:r>
          </w:p>
        </w:tc>
      </w:tr>
      <w:tr w14:paraId="1747D40E">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CDA1F1">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Discipline type missing</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1F1120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−0.375</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E1145D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0.008</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CD5650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−48.60</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9430A0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A16D3B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[−0.390, −0.359]</w:t>
            </w:r>
          </w:p>
        </w:tc>
      </w:tr>
      <w:tr w14:paraId="23E615C0">
        <w:tblPrEx>
          <w:tblCellMar>
            <w:top w:w="0" w:type="dxa"/>
            <w:left w:w="108" w:type="dxa"/>
            <w:bottom w:w="0" w:type="dxa"/>
            <w:right w:w="108" w:type="dxa"/>
          </w:tblCellMar>
        </w:tblPrEx>
        <w:trPr>
          <w:cantSplit/>
          <w:trHeight w:val="283" w:hRule="atLeast"/>
          <w:jc w:val="center"/>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AAAB4FE">
            <w:pPr>
              <w:keepNext/>
              <w:widowControl/>
              <w:snapToGrid w:val="0"/>
              <w:spacing w:before="0" w:after="0" w:line="240" w:lineRule="auto"/>
              <w:jc w:val="left"/>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Country (ref: United States)</w:t>
            </w:r>
          </w:p>
        </w:tc>
      </w:tr>
      <w:tr w14:paraId="704BC52B">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A1C090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United Kingdom</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6EBD10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0.491</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02623C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0.012</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F210E9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42.43</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004CB4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99E912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[0.468, 0.513]</w:t>
            </w:r>
          </w:p>
        </w:tc>
      </w:tr>
      <w:tr w14:paraId="72247A03">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4D18E4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France</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3CF09C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−1.485</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5CF0E5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0.025</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D04F9C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−60.17</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FD34E7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3CEE5F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[−1.533, −1.436]</w:t>
            </w:r>
          </w:p>
        </w:tc>
      </w:tr>
      <w:tr w14:paraId="243A7398">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12F118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Germany</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40C49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−0.364</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3B9C0F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0.016</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53ABC1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−23.06</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2EC1E9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2219EF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[−0.395, −0.333]</w:t>
            </w:r>
          </w:p>
        </w:tc>
      </w:tr>
      <w:tr w14:paraId="3AD647E5">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A53F3F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Australia</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73CCA3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0.567</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7D603B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0.016</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A13504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36.07</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C11F6E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AC53D5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[0.536, 0.597]</w:t>
            </w:r>
          </w:p>
        </w:tc>
      </w:tr>
      <w:tr w14:paraId="7C434792">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BD1D0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Canada</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9E0EF2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0.278</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6C4E23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0.017</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084995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16.66</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F9C2C7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60FE9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[0.245, 0.311]</w:t>
            </w:r>
          </w:p>
        </w:tc>
      </w:tr>
      <w:tr w14:paraId="61EB56D4">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845DA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Spain</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A22284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−0.863</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BAF16A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0.015</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BEDA53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−59.25</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10268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D7444A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[−0.891, −0.834]</w:t>
            </w:r>
          </w:p>
        </w:tc>
      </w:tr>
      <w:tr w14:paraId="2786D5F7">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F4BFA6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Italy</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8127ED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−0.587</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1FD3B7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0.018</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D59281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−33.43</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23C38F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A4AF2B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[−0.622, −0.553]</w:t>
            </w:r>
          </w:p>
        </w:tc>
      </w:tr>
      <w:tr w14:paraId="364E6414">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55638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Brazil</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414DAD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−1.700</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D66F7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0.015</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5A342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−111.34</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F014D7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C2F754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[−1.730, −1.670]</w:t>
            </w:r>
          </w:p>
        </w:tc>
      </w:tr>
      <w:tr w14:paraId="21D4CBD3">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384CF9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China</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B80F8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−0.043</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D4BF85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0.030</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35DFAD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−1.43</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0A05D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0.153</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8F40FE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[−0.102, 0.016]</w:t>
            </w:r>
          </w:p>
        </w:tc>
      </w:tr>
      <w:tr w14:paraId="41389C5F">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8AFE2E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Japan</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7B9BA6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−0.552</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3057B1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0.018</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12A4E8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−30.33</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90081E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5844C4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[−0.588, −0.517]</w:t>
            </w:r>
          </w:p>
        </w:tc>
      </w:tr>
      <w:tr w14:paraId="4B150EA1">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ED8B6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India</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44B65D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−1.960</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186B49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0.021</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FC005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−94.05</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AB8714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E424BC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[−2.001, −1.919]</w:t>
            </w:r>
          </w:p>
        </w:tc>
      </w:tr>
      <w:tr w14:paraId="5BADE568">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2EAA2F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Indonesia</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FD4EE8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−3.224</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17239E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0.071</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F69ED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−45.55</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15FED4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C5AE55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[−3.363, −3.085]</w:t>
            </w:r>
          </w:p>
        </w:tc>
      </w:tr>
      <w:tr w14:paraId="6F4484C3">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F2CC93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Other countries</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A9A815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−0.935</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5151DC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0.007</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7CC3F1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−130.81</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257E22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3DE332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[−0.949, −0.921]</w:t>
            </w:r>
          </w:p>
        </w:tc>
      </w:tr>
      <w:tr w14:paraId="5DB9404F">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EDC7D9E">
            <w:pPr>
              <w:keepNext/>
              <w:widowControl/>
              <w:snapToGrid w:val="0"/>
              <w:spacing w:before="0" w:after="0" w:line="240" w:lineRule="auto"/>
              <w:jc w:val="left"/>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b/>
                <w:bCs/>
                <w:kern w:val="0"/>
                <w:szCs w:val="21"/>
                <w:lang w:bidi="ar"/>
              </w:rPr>
              <w:t>Year (centered at 2000)</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F85EF0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0.015</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927FC7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49314D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51.07</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9DF055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FAD901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[0.014, 0.015]</w:t>
            </w:r>
          </w:p>
        </w:tc>
      </w:tr>
      <w:tr w14:paraId="0C97017B">
        <w:tblPrEx>
          <w:tblCellMar>
            <w:top w:w="0" w:type="dxa"/>
            <w:left w:w="108" w:type="dxa"/>
            <w:bottom w:w="0" w:type="dxa"/>
            <w:right w:w="108" w:type="dxa"/>
          </w:tblCellMar>
        </w:tblPrEx>
        <w:trPr>
          <w:cantSplit/>
          <w:trHeight w:val="283" w:hRule="atLeast"/>
          <w:jc w:val="center"/>
        </w:trPr>
        <w:tc>
          <w:tcPr>
            <w:tcW w:w="238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3C8476">
            <w:pPr>
              <w:keepNext/>
              <w:widowControl/>
              <w:snapToGrid w:val="0"/>
              <w:spacing w:before="0" w:after="0" w:line="240" w:lineRule="auto"/>
              <w:jc w:val="left"/>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b/>
                <w:bCs/>
                <w:kern w:val="0"/>
                <w:szCs w:val="21"/>
                <w:lang w:bidi="ar"/>
              </w:rPr>
              <w:t>Constant</w:t>
            </w:r>
          </w:p>
        </w:tc>
        <w:tc>
          <w:tcPr>
            <w:tcW w:w="123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989DF8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−1.829</w:t>
            </w:r>
          </w:p>
        </w:tc>
        <w:tc>
          <w:tcPr>
            <w:tcW w:w="109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24FDD9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0.011</w:t>
            </w:r>
          </w:p>
        </w:tc>
        <w:tc>
          <w:tcPr>
            <w:tcW w:w="100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D43DCB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−165.32</w:t>
            </w:r>
          </w:p>
        </w:tc>
        <w:tc>
          <w:tcPr>
            <w:tcW w:w="94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4DFEC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6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FB6835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[−1.850, −1.807]</w:t>
            </w:r>
          </w:p>
        </w:tc>
      </w:tr>
    </w:tbl>
    <w:p w14:paraId="77218033">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The dependent variable equals one for employment at a Top 500 university. Male, Natural Sciences, and the United States are the reference categories. Missing undergraduate-institution and discipline information are retained as separate categories or indicators, whereas observations with missing gender or country information are excluded. Year is centered at 2000. Robust standard errors are reported.</w:t>
      </w:r>
    </w:p>
    <w:p w14:paraId="0CAEE8A0">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Complete-case logit model</w:t>
      </w:r>
    </w:p>
    <w:p w14:paraId="47CA9483">
      <w:pPr>
        <w:pStyle w:val="20"/>
        <w:widowControl/>
        <w:rPr>
          <w:rFonts w:hint="default" w:ascii="Times New Roman" w:hAnsi="Times New Roman" w:cs="Times New Roman"/>
          <w:sz w:val="22"/>
          <w:szCs w:val="28"/>
        </w:rPr>
      </w:pPr>
      <w:r>
        <w:rPr>
          <w:rFonts w:hint="default" w:ascii="Times New Roman" w:hAnsi="Times New Roman" w:cs="Times New Roman"/>
          <w:sz w:val="22"/>
          <w:szCs w:val="28"/>
        </w:rPr>
        <w:t>N = 222,217; Pseudo R² = 0.2071; AME of elite doctorate = 22</w:t>
      </w:r>
      <w:r>
        <w:rPr>
          <w:rFonts w:hint="default" w:ascii="Times New Roman" w:hAnsi="Times New Roman" w:cs="Times New Roman"/>
          <w:sz w:val="22"/>
          <w:szCs w:val="28"/>
          <w:lang w:val="en-US" w:eastAsia="zh-CN"/>
        </w:rPr>
        <w:t>.</w:t>
      </w:r>
      <w:r>
        <w:rPr>
          <w:rFonts w:hint="default" w:ascii="Times New Roman" w:hAnsi="Times New Roman" w:cs="Times New Roman"/>
          <w:sz w:val="22"/>
          <w:szCs w:val="28"/>
        </w:rPr>
        <w:t>57</w:t>
      </w:r>
      <w:r>
        <w:rPr>
          <w:rFonts w:hint="default" w:ascii="Times New Roman" w:hAnsi="Times New Roman" w:cs="Times New Roman"/>
          <w:sz w:val="22"/>
          <w:szCs w:val="28"/>
          <w:lang w:val="en-US" w:eastAsia="zh-CN"/>
        </w:rPr>
        <w:t xml:space="preserve"> pp</w:t>
      </w:r>
      <w:r>
        <w:rPr>
          <w:rFonts w:hint="default" w:ascii="Times New Roman" w:hAnsi="Times New Roman" w:cs="Times New Roman"/>
          <w:sz w:val="22"/>
          <w:szCs w:val="28"/>
        </w:rPr>
        <w:t xml:space="preserve"> (p &lt; 0.001); OR = 3.91</w:t>
      </w:r>
    </w:p>
    <w:tbl>
      <w:tblPr>
        <w:tblStyle w:val="5"/>
        <w:tblW w:w="837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99"/>
        <w:gridCol w:w="1283"/>
        <w:gridCol w:w="960"/>
        <w:gridCol w:w="978"/>
        <w:gridCol w:w="1014"/>
        <w:gridCol w:w="1743"/>
      </w:tblGrid>
      <w:tr w14:paraId="629A4F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tblHeader/>
          <w:jc w:val="center"/>
        </w:trPr>
        <w:tc>
          <w:tcPr>
            <w:tcW w:w="2399" w:type="dxa"/>
            <w:tcBorders>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49154D9C">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Variable</w:t>
            </w:r>
          </w:p>
        </w:tc>
        <w:tc>
          <w:tcPr>
            <w:tcW w:w="1283" w:type="dxa"/>
            <w:tcBorders>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97BA59E">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Coefficient</w:t>
            </w:r>
          </w:p>
        </w:tc>
        <w:tc>
          <w:tcPr>
            <w:tcW w:w="960" w:type="dxa"/>
            <w:tcBorders>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A7432D6">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Robust SE</w:t>
            </w:r>
          </w:p>
        </w:tc>
        <w:tc>
          <w:tcPr>
            <w:tcW w:w="978" w:type="dxa"/>
            <w:tcBorders>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561E2A">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z</w:t>
            </w:r>
          </w:p>
        </w:tc>
        <w:tc>
          <w:tcPr>
            <w:tcW w:w="1014" w:type="dxa"/>
            <w:tcBorders>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984FBE3">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p-value</w:t>
            </w:r>
          </w:p>
        </w:tc>
        <w:tc>
          <w:tcPr>
            <w:tcW w:w="1743" w:type="dxa"/>
            <w:tcBorders>
              <w:left w:val="single" w:color="000000" w:sz="4" w:space="0"/>
              <w:bottom w:val="single" w:color="000000" w:sz="4" w:space="0"/>
            </w:tcBorders>
            <w:shd w:val="clear" w:color="auto" w:fill="FFFFFF"/>
            <w:tcMar>
              <w:top w:w="-1" w:type="dxa"/>
              <w:left w:w="-1" w:type="dxa"/>
              <w:bottom w:w="-1" w:type="dxa"/>
              <w:right w:w="-1" w:type="dxa"/>
            </w:tcMar>
            <w:vAlign w:val="center"/>
          </w:tcPr>
          <w:p w14:paraId="5DF7A3E1">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95% CI</w:t>
            </w:r>
          </w:p>
        </w:tc>
      </w:tr>
      <w:tr w14:paraId="57487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AE6DE9C">
            <w:pPr>
              <w:keepNext/>
              <w:widowControl/>
              <w:snapToGrid w:val="0"/>
              <w:spacing w:before="0" w:after="0" w:line="240" w:lineRule="auto"/>
              <w:jc w:val="left"/>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Elite doctorate</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CE8C0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1.364</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9BB514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0.013</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8A1E52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107.20</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BB764F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75EC0B2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[1.339, 1.388]</w:t>
            </w:r>
          </w:p>
        </w:tc>
      </w:tr>
      <w:tr w14:paraId="39D6BE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E1BE622">
            <w:pPr>
              <w:keepNext/>
              <w:widowControl/>
              <w:snapToGrid w:val="0"/>
              <w:spacing w:before="0" w:after="0" w:line="240" w:lineRule="auto"/>
              <w:jc w:val="left"/>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Elite bachelor’s degree</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EC37D9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0.667</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6D2400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0.012</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0E3004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57.82</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6B97D0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7971483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[0.645, 0.690]</w:t>
            </w:r>
          </w:p>
        </w:tc>
      </w:tr>
      <w:tr w14:paraId="1F6331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8377" w:type="dxa"/>
            <w:gridSpan w:val="6"/>
            <w:tcBorders>
              <w:top w:val="single" w:color="000000" w:sz="4" w:space="0"/>
              <w:bottom w:val="single" w:color="000000" w:sz="4" w:space="0"/>
            </w:tcBorders>
            <w:shd w:val="clear" w:color="auto" w:fill="FFFFFF"/>
            <w:tcMar>
              <w:top w:w="-1" w:type="dxa"/>
              <w:left w:w="-1" w:type="dxa"/>
              <w:bottom w:w="-1" w:type="dxa"/>
              <w:right w:w="-1" w:type="dxa"/>
            </w:tcMar>
            <w:vAlign w:val="center"/>
          </w:tcPr>
          <w:p w14:paraId="02CE9176">
            <w:pPr>
              <w:widowControl/>
              <w:spacing w:before="0" w:after="0" w:line="240" w:lineRule="auto"/>
              <w:jc w:val="left"/>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b/>
                <w:bCs/>
                <w:kern w:val="0"/>
                <w:szCs w:val="21"/>
                <w:lang w:bidi="ar"/>
              </w:rPr>
              <w:t>Gender (ref: Male)</w:t>
            </w:r>
          </w:p>
        </w:tc>
      </w:tr>
      <w:tr w14:paraId="5E2A7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F3C7069">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kern w:val="0"/>
                <w:szCs w:val="21"/>
                <w:lang w:bidi="ar"/>
              </w:rPr>
              <w:t>Female</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78B83E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0.012</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CED9F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0.011</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CBA7C4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1.03</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C2D133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0.305</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26AFD45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[−0.011, 0.034]</w:t>
            </w:r>
          </w:p>
        </w:tc>
      </w:tr>
      <w:tr w14:paraId="0C083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8377" w:type="dxa"/>
            <w:gridSpan w:val="6"/>
            <w:tcBorders>
              <w:top w:val="single" w:color="000000" w:sz="4" w:space="0"/>
              <w:bottom w:val="single" w:color="000000" w:sz="4" w:space="0"/>
            </w:tcBorders>
            <w:shd w:val="clear" w:color="auto" w:fill="FFFFFF"/>
            <w:tcMar>
              <w:top w:w="-1" w:type="dxa"/>
              <w:left w:w="-1" w:type="dxa"/>
              <w:bottom w:w="-1" w:type="dxa"/>
              <w:right w:w="-1" w:type="dxa"/>
            </w:tcMar>
            <w:vAlign w:val="center"/>
          </w:tcPr>
          <w:p w14:paraId="1C9D6C5F">
            <w:pPr>
              <w:keepNext/>
              <w:widowControl/>
              <w:snapToGrid w:val="0"/>
              <w:spacing w:before="0" w:after="0" w:line="240" w:lineRule="auto"/>
              <w:jc w:val="left"/>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Discipline (ref: Natural Sciences)</w:t>
            </w:r>
          </w:p>
        </w:tc>
      </w:tr>
      <w:tr w14:paraId="6C6D32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B5BC062">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Engineering</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EE5864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−0.111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4B52E0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0.014</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5589D9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−7.71</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39031A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27901B1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[−0.140, −0.083]</w:t>
            </w:r>
          </w:p>
        </w:tc>
      </w:tr>
      <w:tr w14:paraId="4850F2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3C0FF41">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Medicine and Health</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DE0CC9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−0.175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1DBA54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0.016</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C64D84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−10.92</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311A9E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279F0B9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[−0.206, −0.143]</w:t>
            </w:r>
          </w:p>
        </w:tc>
      </w:tr>
      <w:tr w14:paraId="2B3093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548C11">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Social Sciences</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7A7306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−0.059</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FD5E0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0.025</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7BB295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−2.39</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7EAB40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0.017</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50A89F5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[−0.108, −0.011]</w:t>
            </w:r>
          </w:p>
        </w:tc>
      </w:tr>
      <w:tr w14:paraId="579180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D046BD5">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Applied Sciences</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CAE953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−0.146</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D8C2C9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0.032</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A5A32A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−4.52</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CE1C4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313A418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[−0.210, −0.083]</w:t>
            </w:r>
          </w:p>
        </w:tc>
      </w:tr>
      <w:tr w14:paraId="5FC0B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08B8518">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Humanities</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C4A139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−0.082</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ADC82F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0.018</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1B14E8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−4.51</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A567AA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749ECE4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[−0.118, −0.046]</w:t>
            </w:r>
          </w:p>
        </w:tc>
      </w:tr>
      <w:tr w14:paraId="0BF072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D073A58">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Mathematics and Computing</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690787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0.196</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7FC8C1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0.027</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7C5555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7.29</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A6F7EE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3988C18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[0.144, 0.249]</w:t>
            </w:r>
          </w:p>
        </w:tc>
      </w:tr>
      <w:tr w14:paraId="563A84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8377" w:type="dxa"/>
            <w:gridSpan w:val="6"/>
            <w:tcBorders>
              <w:top w:val="single" w:color="000000" w:sz="4" w:space="0"/>
              <w:bottom w:val="single" w:color="000000" w:sz="4" w:space="0"/>
            </w:tcBorders>
            <w:shd w:val="clear" w:color="auto" w:fill="FFFFFF"/>
            <w:tcMar>
              <w:top w:w="-1" w:type="dxa"/>
              <w:left w:w="-1" w:type="dxa"/>
              <w:bottom w:w="-1" w:type="dxa"/>
              <w:right w:w="-1" w:type="dxa"/>
            </w:tcMar>
            <w:vAlign w:val="center"/>
          </w:tcPr>
          <w:p w14:paraId="6B726A6A">
            <w:pPr>
              <w:keepNext/>
              <w:widowControl/>
              <w:snapToGrid w:val="0"/>
              <w:spacing w:before="0" w:after="0" w:line="240" w:lineRule="auto"/>
              <w:jc w:val="left"/>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Country (ref: United States)</w:t>
            </w:r>
          </w:p>
        </w:tc>
      </w:tr>
      <w:tr w14:paraId="751EA7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ECEFE6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United Kingdom</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C127B9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0.442</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D04DAA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0.021</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1AB960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21.25</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6D3D05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0979276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[0.401, 0.482]</w:t>
            </w:r>
          </w:p>
        </w:tc>
      </w:tr>
      <w:tr w14:paraId="77961E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3B5BE4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France</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D88F63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−1.625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0A24C5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0.067</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EA5178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−24.32</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91F950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68DBFFF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[−1.756, −1.494]</w:t>
            </w:r>
          </w:p>
        </w:tc>
      </w:tr>
      <w:tr w14:paraId="55F01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0A9240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Germany</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DD803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−0.593</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111B1A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0.033</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4ED96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−17.86</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5DA2C0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5F031F1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[−0.659, −0.528]</w:t>
            </w:r>
          </w:p>
        </w:tc>
      </w:tr>
      <w:tr w14:paraId="06D01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087B1D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Australia</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3766A2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0.327</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A0A960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0.026</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76FB35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12.47</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33CA7E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33325BB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[0.276, 0.378]</w:t>
            </w:r>
          </w:p>
        </w:tc>
      </w:tr>
      <w:tr w14:paraId="3A8170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6F0A86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Canada</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AB7C0B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0.172</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DBCE4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0.031</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74C84A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5.64</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C3E2A5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14D130E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[0.112, 0.232]</w:t>
            </w:r>
          </w:p>
        </w:tc>
      </w:tr>
      <w:tr w14:paraId="0CC782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1A9EBE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Spain</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C42835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−0.927</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486887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0.033</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4E3996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−27.73</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09771E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5188C04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[−0.993, −0.862]</w:t>
            </w:r>
          </w:p>
        </w:tc>
      </w:tr>
      <w:tr w14:paraId="4AD6A5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EA14A3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Italy</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615D65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−0.597</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49E5D4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0.041</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5D3F91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−14.66</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025A6B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35E3BBB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[−0.677, −0.517]</w:t>
            </w:r>
          </w:p>
        </w:tc>
      </w:tr>
      <w:tr w14:paraId="1A893D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DF6108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Brazil</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25846D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−1.643</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E37DC6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0.031</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973DCE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−53.70</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860456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66BE73E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[−1.703, −1.583]</w:t>
            </w:r>
          </w:p>
        </w:tc>
      </w:tr>
      <w:tr w14:paraId="19A090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67D0EB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China</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2F520D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−0.172</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A2CCF4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0.065</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525525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−2.64</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D3C3A9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0.008</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2359AC2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[−0.300, −0.045]</w:t>
            </w:r>
          </w:p>
        </w:tc>
      </w:tr>
      <w:tr w14:paraId="6F068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5FEF85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Japan</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0A2045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−0.575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AA06E8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0.038</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63F2B2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−15.17</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D0E894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6C35D97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[−0.649, −0.501]</w:t>
            </w:r>
          </w:p>
        </w:tc>
      </w:tr>
      <w:tr w14:paraId="3C4539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D44C97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India</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94A492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−1.958</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7D348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0.045</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B20F10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−43.38</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DBD5B2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1A3BA0C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[−2.046, −1.869]</w:t>
            </w:r>
          </w:p>
        </w:tc>
      </w:tr>
      <w:tr w14:paraId="6C2FD7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2BB98D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Indonesia</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EFAF54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−2.928</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5B4C93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0.153</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32C1C3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−19.09</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8D389A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7BB5311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[−3.229, −2.628]</w:t>
            </w:r>
          </w:p>
        </w:tc>
      </w:tr>
      <w:tr w14:paraId="61F435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88AC86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Other countries</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ACE5EC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−0.899</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E25DCB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0.014</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10869F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−66.78</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E97E80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74A0072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[−0.925, −0.873]</w:t>
            </w:r>
          </w:p>
        </w:tc>
      </w:tr>
      <w:tr w14:paraId="5213CD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F11BC2E">
            <w:pPr>
              <w:keepNext/>
              <w:widowControl/>
              <w:snapToGrid w:val="0"/>
              <w:spacing w:before="0" w:after="0" w:line="240" w:lineRule="auto"/>
              <w:jc w:val="left"/>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Year (centered at 2000)</w:t>
            </w:r>
          </w:p>
        </w:tc>
        <w:tc>
          <w:tcPr>
            <w:tcW w:w="12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D39E02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0.022</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99C56F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0.001</w:t>
            </w:r>
          </w:p>
        </w:tc>
        <w:tc>
          <w:tcPr>
            <w:tcW w:w="97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94CC67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36.22</w:t>
            </w:r>
          </w:p>
        </w:tc>
        <w:tc>
          <w:tcPr>
            <w:tcW w:w="101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59A0A8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bottom w:val="single" w:color="000000" w:sz="4" w:space="0"/>
            </w:tcBorders>
            <w:shd w:val="clear" w:color="auto" w:fill="FFFFFF"/>
            <w:tcMar>
              <w:top w:w="-1" w:type="dxa"/>
              <w:left w:w="-1" w:type="dxa"/>
              <w:bottom w:w="-1" w:type="dxa"/>
              <w:right w:w="-1" w:type="dxa"/>
            </w:tcMar>
            <w:vAlign w:val="center"/>
          </w:tcPr>
          <w:p w14:paraId="20B9CC1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[0.021, 0.023]</w:t>
            </w:r>
          </w:p>
        </w:tc>
      </w:tr>
      <w:tr w14:paraId="6BD0C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99" w:type="dxa"/>
            <w:tcBorders>
              <w:top w:val="single" w:color="000000" w:sz="4" w:space="0"/>
              <w:right w:val="single" w:color="000000" w:sz="4" w:space="0"/>
            </w:tcBorders>
            <w:shd w:val="clear" w:color="auto" w:fill="FFFFFF"/>
            <w:tcMar>
              <w:top w:w="-1" w:type="dxa"/>
              <w:left w:w="-1" w:type="dxa"/>
              <w:bottom w:w="-1" w:type="dxa"/>
              <w:right w:w="-1" w:type="dxa"/>
            </w:tcMar>
            <w:vAlign w:val="center"/>
          </w:tcPr>
          <w:p w14:paraId="54F82663">
            <w:pPr>
              <w:keepNext/>
              <w:widowControl/>
              <w:snapToGrid w:val="0"/>
              <w:spacing w:before="0" w:after="0" w:line="240" w:lineRule="auto"/>
              <w:jc w:val="left"/>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Constant</w:t>
            </w:r>
          </w:p>
        </w:tc>
        <w:tc>
          <w:tcPr>
            <w:tcW w:w="1283" w:type="dxa"/>
            <w:tcBorders>
              <w:top w:val="single" w:color="000000" w:sz="4" w:space="0"/>
              <w:left w:val="single" w:color="000000" w:sz="4" w:space="0"/>
              <w:right w:val="single" w:color="000000" w:sz="4" w:space="0"/>
            </w:tcBorders>
            <w:shd w:val="clear" w:color="auto" w:fill="FFFFFF"/>
            <w:tcMar>
              <w:top w:w="-1" w:type="dxa"/>
              <w:left w:w="-1" w:type="dxa"/>
              <w:bottom w:w="-1" w:type="dxa"/>
              <w:right w:w="-1" w:type="dxa"/>
            </w:tcMar>
            <w:vAlign w:val="center"/>
          </w:tcPr>
          <w:p w14:paraId="5EA72CD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−1.726</w:t>
            </w:r>
          </w:p>
        </w:tc>
        <w:tc>
          <w:tcPr>
            <w:tcW w:w="960" w:type="dxa"/>
            <w:tcBorders>
              <w:top w:val="single" w:color="000000" w:sz="4" w:space="0"/>
              <w:left w:val="single" w:color="000000" w:sz="4" w:space="0"/>
              <w:right w:val="single" w:color="000000" w:sz="4" w:space="0"/>
            </w:tcBorders>
            <w:shd w:val="clear" w:color="auto" w:fill="FFFFFF"/>
            <w:tcMar>
              <w:top w:w="-1" w:type="dxa"/>
              <w:left w:w="-1" w:type="dxa"/>
              <w:bottom w:w="-1" w:type="dxa"/>
              <w:right w:w="-1" w:type="dxa"/>
            </w:tcMar>
            <w:vAlign w:val="center"/>
          </w:tcPr>
          <w:p w14:paraId="36574A4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0.018</w:t>
            </w:r>
          </w:p>
        </w:tc>
        <w:tc>
          <w:tcPr>
            <w:tcW w:w="978" w:type="dxa"/>
            <w:tcBorders>
              <w:top w:val="single" w:color="000000" w:sz="4" w:space="0"/>
              <w:left w:val="single" w:color="000000" w:sz="4" w:space="0"/>
              <w:right w:val="single" w:color="000000" w:sz="4" w:space="0"/>
            </w:tcBorders>
            <w:shd w:val="clear" w:color="auto" w:fill="FFFFFF"/>
            <w:tcMar>
              <w:top w:w="-1" w:type="dxa"/>
              <w:left w:w="-1" w:type="dxa"/>
              <w:bottom w:w="-1" w:type="dxa"/>
              <w:right w:w="-1" w:type="dxa"/>
            </w:tcMar>
            <w:vAlign w:val="center"/>
          </w:tcPr>
          <w:p w14:paraId="694D857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−97.14</w:t>
            </w:r>
          </w:p>
        </w:tc>
        <w:tc>
          <w:tcPr>
            <w:tcW w:w="1014" w:type="dxa"/>
            <w:tcBorders>
              <w:top w:val="single" w:color="000000" w:sz="4" w:space="0"/>
              <w:left w:val="single" w:color="000000" w:sz="4" w:space="0"/>
              <w:right w:val="single" w:color="000000" w:sz="4" w:space="0"/>
            </w:tcBorders>
            <w:shd w:val="clear" w:color="auto" w:fill="FFFFFF"/>
            <w:tcMar>
              <w:top w:w="-1" w:type="dxa"/>
              <w:left w:w="-1" w:type="dxa"/>
              <w:bottom w:w="-1" w:type="dxa"/>
              <w:right w:w="-1" w:type="dxa"/>
            </w:tcMar>
            <w:vAlign w:val="center"/>
          </w:tcPr>
          <w:p w14:paraId="12E367D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43" w:type="dxa"/>
            <w:tcBorders>
              <w:top w:val="single" w:color="000000" w:sz="4" w:space="0"/>
              <w:left w:val="single" w:color="000000" w:sz="4" w:space="0"/>
            </w:tcBorders>
            <w:shd w:val="clear" w:color="auto" w:fill="FFFFFF"/>
            <w:tcMar>
              <w:top w:w="-1" w:type="dxa"/>
              <w:left w:w="-1" w:type="dxa"/>
              <w:bottom w:w="-1" w:type="dxa"/>
              <w:right w:w="-1" w:type="dxa"/>
            </w:tcMar>
            <w:vAlign w:val="center"/>
          </w:tcPr>
          <w:p w14:paraId="713D9FC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[−1.760, −1.691]</w:t>
            </w:r>
          </w:p>
        </w:tc>
      </w:tr>
    </w:tbl>
    <w:p w14:paraId="2B23CE31">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The dependent variable and reference categories are the same as in Panel A. The sample is restricted to observations with complete information on undergraduate institution type, gender, discipline, country, and year. Year is centered at 2000. Robust standard errors are reported.</w:t>
      </w:r>
    </w:p>
    <w:p w14:paraId="4CCFD161">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C. Heterogeneity estimates: baseline sample</w:t>
      </w:r>
    </w:p>
    <w:tbl>
      <w:tblPr>
        <w:tblStyle w:val="5"/>
        <w:tblW w:w="4805" w:type="pct"/>
        <w:jc w:val="center"/>
        <w:tblLayout w:type="autofit"/>
        <w:tblCellMar>
          <w:top w:w="0" w:type="dxa"/>
          <w:left w:w="108" w:type="dxa"/>
          <w:bottom w:w="0" w:type="dxa"/>
          <w:right w:w="108" w:type="dxa"/>
        </w:tblCellMar>
      </w:tblPr>
      <w:tblGrid>
        <w:gridCol w:w="3010"/>
        <w:gridCol w:w="4045"/>
        <w:gridCol w:w="2513"/>
      </w:tblGrid>
      <w:tr w14:paraId="4960E944">
        <w:tblPrEx>
          <w:tblCellMar>
            <w:top w:w="0" w:type="dxa"/>
            <w:left w:w="108" w:type="dxa"/>
            <w:bottom w:w="0" w:type="dxa"/>
            <w:right w:w="108" w:type="dxa"/>
          </w:tblCellMar>
        </w:tblPrEx>
        <w:trPr>
          <w:cantSplit/>
          <w:trHeight w:val="283" w:hRule="atLeast"/>
          <w:tblHeader/>
          <w:jc w:val="center"/>
        </w:trPr>
        <w:tc>
          <w:tcPr>
            <w:tcW w:w="1573" w:type="pct"/>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5624C096">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Subgroup</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667D9CF">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AME, percentage points (95% CI)</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DAB5F20">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OR (95% CI)</w:t>
            </w:r>
          </w:p>
        </w:tc>
      </w:tr>
      <w:tr w14:paraId="0158A151">
        <w:tblPrEx>
          <w:tblCellMar>
            <w:top w:w="0" w:type="dxa"/>
            <w:left w:w="108" w:type="dxa"/>
            <w:bottom w:w="0" w:type="dxa"/>
            <w:right w:w="108" w:type="dxa"/>
          </w:tblCellMar>
        </w:tblPrEx>
        <w:trPr>
          <w:cantSplit/>
          <w:trHeight w:val="283"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D80E758">
            <w:pPr>
              <w:keepNext/>
              <w:widowControl/>
              <w:snapToGrid w:val="0"/>
              <w:spacing w:before="0" w:after="0" w:line="240" w:lineRule="auto"/>
              <w:jc w:val="center"/>
              <w:textAlignment w:val="center"/>
              <w:rPr>
                <w:rFonts w:hint="default" w:ascii="Times New Roman" w:hAnsi="Times New Roman" w:eastAsia="宋体" w:cs="Times New Roman"/>
                <w:bCs/>
                <w:kern w:val="0"/>
                <w:szCs w:val="21"/>
                <w:lang w:bidi="ar"/>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C1</w:t>
            </w:r>
            <w:r>
              <w:rPr>
                <w:rFonts w:hint="default" w:ascii="Times New Roman" w:hAnsi="Times New Roman" w:eastAsia="宋体" w:cs="Times New Roman"/>
                <w:b/>
                <w:kern w:val="0"/>
                <w:szCs w:val="21"/>
                <w:lang w:bidi="ar"/>
              </w:rPr>
              <w:t>. Gender</w:t>
            </w:r>
          </w:p>
        </w:tc>
      </w:tr>
      <w:tr w14:paraId="4287D4F7">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733634E">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Male</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5FED14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23.27 (23.05–23.49)</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58E979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4.79 (4.72–4.86)</w:t>
            </w:r>
          </w:p>
        </w:tc>
      </w:tr>
      <w:tr w14:paraId="57D75944">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94D71C">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Female</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4BBE00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24.88 (24.62–25.14)</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2BD427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5.48 (5.38–5.59)</w:t>
            </w:r>
          </w:p>
        </w:tc>
      </w:tr>
      <w:tr w14:paraId="7A233C5A">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882FFEA">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Joint test of interaction</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4E0170A">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χ²(1) = 128.12, p &lt; 0.001</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B75A759">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p>
        </w:tc>
      </w:tr>
      <w:tr w14:paraId="30D6428D">
        <w:tblPrEx>
          <w:tblCellMar>
            <w:top w:w="0" w:type="dxa"/>
            <w:left w:w="108" w:type="dxa"/>
            <w:bottom w:w="0" w:type="dxa"/>
            <w:right w:w="108" w:type="dxa"/>
          </w:tblCellMar>
        </w:tblPrEx>
        <w:trPr>
          <w:cantSplit/>
          <w:trHeight w:val="283"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532C7DF">
            <w:pPr>
              <w:keepNext/>
              <w:widowControl/>
              <w:snapToGrid w:val="0"/>
              <w:spacing w:before="0" w:after="0" w:line="240" w:lineRule="auto"/>
              <w:jc w:val="center"/>
              <w:textAlignment w:val="center"/>
              <w:rPr>
                <w:rFonts w:hint="default" w:ascii="Times New Roman" w:hAnsi="Times New Roman" w:eastAsia="宋体" w:cs="Times New Roman"/>
                <w:bCs/>
                <w:kern w:val="0"/>
                <w:szCs w:val="21"/>
                <w:lang w:bidi="ar"/>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C2</w:t>
            </w:r>
            <w:r>
              <w:rPr>
                <w:rFonts w:hint="default" w:ascii="Times New Roman" w:hAnsi="Times New Roman" w:eastAsia="宋体" w:cs="Times New Roman"/>
                <w:b/>
                <w:kern w:val="0"/>
                <w:szCs w:val="21"/>
                <w:lang w:bidi="ar"/>
              </w:rPr>
              <w:t>. Discipline</w:t>
            </w:r>
          </w:p>
        </w:tc>
      </w:tr>
      <w:tr w14:paraId="09AF15A8">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4ADE80E">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Natural Sciences</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A1BA36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24.61 (24.21–25.01)</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6B726C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4.34 (4.23–4.45)</w:t>
            </w:r>
          </w:p>
        </w:tc>
      </w:tr>
      <w:tr w14:paraId="213A9AD6">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63CC95B">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Engineering</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3D45C1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23.84 (23.40–24.27)</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7335E9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4.17 (4.06–4.29)</w:t>
            </w:r>
          </w:p>
        </w:tc>
      </w:tr>
      <w:tr w14:paraId="74439223">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6C32BD8">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Medicine and Health</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F09FC4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27.85 (27.39–28.32)</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6D7803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6.98 (6.73–7.23)</w:t>
            </w:r>
          </w:p>
        </w:tc>
      </w:tr>
      <w:tr w14:paraId="01BF427C">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6D9878">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Social Sciences</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DB6644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26.46 (25.63–27.29)</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9CDA7A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6.00 (5.64–6.38)</w:t>
            </w:r>
          </w:p>
        </w:tc>
      </w:tr>
      <w:tr w14:paraId="00FD3ADD">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F89DE91">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Applied Sciences</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CFAE9C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30.15 (29.03–31.27)</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EBCEC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8.24 (7.55–8.99)</w:t>
            </w:r>
          </w:p>
        </w:tc>
      </w:tr>
      <w:tr w14:paraId="3FA8491F">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77AB235">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Humanities</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F04614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25.99 (25.40–26.57)</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0454A9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5.72 (5.48–5.97)</w:t>
            </w:r>
          </w:p>
        </w:tc>
      </w:tr>
      <w:tr w14:paraId="5753ED69">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B4C9A26">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Mathematics and Computing</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1318B8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25.72 (24.68–26.77)</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BCB148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4.50 (4.22–4.80)</w:t>
            </w:r>
          </w:p>
        </w:tc>
      </w:tr>
      <w:tr w14:paraId="0C21E6DA">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2B9AD7D">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Joint test of interaction</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FBCF08">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χ²(7) = 853.36, p &lt; 0.001</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B3E06A2">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p>
        </w:tc>
      </w:tr>
      <w:tr w14:paraId="63EE0ED6">
        <w:tblPrEx>
          <w:tblCellMar>
            <w:top w:w="0" w:type="dxa"/>
            <w:left w:w="108" w:type="dxa"/>
            <w:bottom w:w="0" w:type="dxa"/>
            <w:right w:w="108" w:type="dxa"/>
          </w:tblCellMar>
        </w:tblPrEx>
        <w:trPr>
          <w:cantSplit/>
          <w:trHeight w:val="283"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267EA5D">
            <w:pPr>
              <w:keepNext/>
              <w:widowControl/>
              <w:snapToGrid w:val="0"/>
              <w:spacing w:before="0" w:after="0" w:line="240" w:lineRule="auto"/>
              <w:jc w:val="center"/>
              <w:textAlignment w:val="center"/>
              <w:rPr>
                <w:rFonts w:hint="default" w:ascii="Times New Roman" w:hAnsi="Times New Roman" w:eastAsia="宋体" w:cs="Times New Roman"/>
                <w:bCs/>
                <w:kern w:val="0"/>
                <w:szCs w:val="21"/>
                <w:lang w:bidi="ar"/>
              </w:rPr>
            </w:pPr>
            <w:r>
              <w:rPr>
                <w:rFonts w:hint="default" w:ascii="Times New Roman" w:hAnsi="Times New Roman" w:eastAsia="宋体" w:cs="Times New Roman"/>
                <w:b/>
                <w:kern w:val="0"/>
                <w:szCs w:val="21"/>
                <w:lang w:bidi="ar"/>
              </w:rPr>
              <w:t>Panel C</w:t>
            </w:r>
            <w:r>
              <w:rPr>
                <w:rFonts w:hint="default" w:ascii="Times New Roman" w:hAnsi="Times New Roman" w:eastAsia="宋体" w:cs="Times New Roman"/>
                <w:b/>
                <w:kern w:val="0"/>
                <w:szCs w:val="21"/>
                <w:lang w:val="en-US" w:eastAsia="zh-CN" w:bidi="ar"/>
              </w:rPr>
              <w:t>3</w:t>
            </w:r>
            <w:r>
              <w:rPr>
                <w:rFonts w:hint="default" w:ascii="Times New Roman" w:hAnsi="Times New Roman" w:eastAsia="宋体" w:cs="Times New Roman"/>
                <w:b/>
                <w:kern w:val="0"/>
                <w:szCs w:val="21"/>
                <w:lang w:bidi="ar"/>
              </w:rPr>
              <w:t>. Country</w:t>
            </w:r>
          </w:p>
        </w:tc>
      </w:tr>
      <w:tr w14:paraId="754A8C5B">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BB0978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United States</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9EB23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19.61 (19.18–20.05)</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CC200A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2.40 (2.35–2.45)</w:t>
            </w:r>
          </w:p>
        </w:tc>
      </w:tr>
      <w:tr w14:paraId="3FE859F7">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B913B3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United Kingdom</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CC330A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30.15 (29.21–31.08)</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83D3E5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3.57 (3.42–3.73)</w:t>
            </w:r>
          </w:p>
        </w:tc>
      </w:tr>
      <w:tr w14:paraId="14742BE7">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40A0C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France</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C611A0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12.01 (11.02–12.99)</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D5A76E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3.60 (3.29–3.95)</w:t>
            </w:r>
          </w:p>
        </w:tc>
      </w:tr>
      <w:tr w14:paraId="48475786">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66E855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Germany</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8C923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25.98 (24.92–27.03)</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9415D2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3.85 (3.62–4.09)</w:t>
            </w:r>
          </w:p>
        </w:tc>
      </w:tr>
      <w:tr w14:paraId="01DBC4EA">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0EEAA0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Australia</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A203EC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23.63 (21.83–25.44)</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6CB80F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2.68 (2.49–2.90)</w:t>
            </w:r>
          </w:p>
        </w:tc>
      </w:tr>
      <w:tr w14:paraId="45C7C8DF">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11251C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Canada</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46481B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19.85 (18.33–21.38)</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47D597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2.29 (2.14–2.45)</w:t>
            </w:r>
          </w:p>
        </w:tc>
      </w:tr>
      <w:tr w14:paraId="3069E119">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ADECF2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Spain</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9BB51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32.62 (31.82–33.42)</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420A3B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12.76 (11.90–13.67)</w:t>
            </w:r>
          </w:p>
        </w:tc>
      </w:tr>
      <w:tr w14:paraId="6C51BF20">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803DC4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Italy</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BC8781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31.24 (30.13–32.36)</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39A690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6.46 (6.02–6.93)</w:t>
            </w:r>
          </w:p>
        </w:tc>
      </w:tr>
      <w:tr w14:paraId="4305E306">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0D0802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Brazil</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E5EA58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15.95 (15.43–16.47)</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6FD2D9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9.10 (8.53–9.70)</w:t>
            </w:r>
          </w:p>
        </w:tc>
      </w:tr>
      <w:tr w14:paraId="692EB3F1">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AA9D77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China</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BBAE84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29.85 (27.57–32.13)</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F2F773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4.05 (3.60–4.55)</w:t>
            </w:r>
          </w:p>
        </w:tc>
      </w:tr>
      <w:tr w14:paraId="6D13A978">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A4448A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Japan</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1D81AC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28.89 (27.73–30.06)</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374C56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5.45 (5.01–5.92)</w:t>
            </w:r>
          </w:p>
        </w:tc>
      </w:tr>
      <w:tr w14:paraId="4986082F">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9F4C9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India</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D367B2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13.49 (12.67–14.31)</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1AEA07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7.88 (7.27–8.54)</w:t>
            </w:r>
          </w:p>
        </w:tc>
      </w:tr>
      <w:tr w14:paraId="72C6EF67">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A5C536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Indonesia</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CC852D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1.44 (0.85–2.04)</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116192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2.38 (1.79–3.17)</w:t>
            </w:r>
          </w:p>
        </w:tc>
      </w:tr>
      <w:tr w14:paraId="721988EF">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99E882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Other countries</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5DA1AA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28.14 (27.89–28.40)</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41C0D8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9.19 (9.01–9.38)</w:t>
            </w:r>
          </w:p>
        </w:tc>
      </w:tr>
      <w:tr w14:paraId="680D94D3">
        <w:tblPrEx>
          <w:tblCellMar>
            <w:top w:w="0" w:type="dxa"/>
            <w:left w:w="108" w:type="dxa"/>
            <w:bottom w:w="0" w:type="dxa"/>
            <w:right w:w="108" w:type="dxa"/>
          </w:tblCellMar>
        </w:tblPrEx>
        <w:trPr>
          <w:cantSplit/>
          <w:trHeight w:val="283" w:hRule="atLeast"/>
          <w:jc w:val="center"/>
        </w:trPr>
        <w:tc>
          <w:tcPr>
            <w:tcW w:w="1573"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C354624">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Joint test of interaction</w:t>
            </w:r>
          </w:p>
        </w:tc>
        <w:tc>
          <w:tcPr>
            <w:tcW w:w="2114"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F1C6EFD">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χ²(13) = 10,811.95, p &lt; 0.001</w:t>
            </w:r>
          </w:p>
        </w:tc>
        <w:tc>
          <w:tcPr>
            <w:tcW w:w="1312" w:type="pc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041989B">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p>
        </w:tc>
      </w:tr>
    </w:tbl>
    <w:p w14:paraId="40532C11">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AMEs are reported in percentage points. Each panel is estimated from a separate logit model including an interaction between elite doctoral education and the corresponding subgroup variable, with the same controls as Panel A. Missing discipline is retained in estimation but not displayed. Robust standard errors are reported (N = 1,011,012).</w:t>
      </w:r>
    </w:p>
    <w:p w14:paraId="01833BFF">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D. Heterogeneity estimates: complete-case sample</w:t>
      </w:r>
    </w:p>
    <w:tbl>
      <w:tblPr>
        <w:tblStyle w:val="5"/>
        <w:tblW w:w="4816" w:type="pct"/>
        <w:jc w:val="center"/>
        <w:tblLayout w:type="autofit"/>
        <w:tblCellMar>
          <w:top w:w="0" w:type="dxa"/>
          <w:left w:w="108" w:type="dxa"/>
          <w:bottom w:w="0" w:type="dxa"/>
          <w:right w:w="108" w:type="dxa"/>
        </w:tblCellMar>
      </w:tblPr>
      <w:tblGrid>
        <w:gridCol w:w="2974"/>
        <w:gridCol w:w="4177"/>
        <w:gridCol w:w="2439"/>
      </w:tblGrid>
      <w:tr w14:paraId="3A732DB7">
        <w:tblPrEx>
          <w:tblCellMar>
            <w:top w:w="0" w:type="dxa"/>
            <w:left w:w="108" w:type="dxa"/>
            <w:bottom w:w="0" w:type="dxa"/>
            <w:right w:w="108" w:type="dxa"/>
          </w:tblCellMar>
        </w:tblPrEx>
        <w:trPr>
          <w:cantSplit/>
          <w:trHeight w:val="283" w:hRule="atLeast"/>
          <w:tblHeader/>
          <w:jc w:val="center"/>
        </w:trPr>
        <w:tc>
          <w:tcPr>
            <w:tcW w:w="2481"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3F0408ED">
            <w:pPr>
              <w:keepNext/>
              <w:widowControl/>
              <w:snapToGrid w:val="0"/>
              <w:spacing w:before="0" w:after="0" w:line="240" w:lineRule="auto"/>
              <w:jc w:val="center"/>
              <w:textAlignment w:val="center"/>
              <w:rPr>
                <w:rFonts w:hint="default" w:ascii="Times New Roman" w:hAnsi="Times New Roman" w:eastAsia="宋体" w:cs="Times New Roman"/>
                <w:b/>
                <w:kern w:val="0"/>
                <w:szCs w:val="21"/>
                <w:lang w:bidi="ar"/>
              </w:rPr>
            </w:pPr>
            <w:r>
              <w:rPr>
                <w:rFonts w:hint="default" w:ascii="Times New Roman" w:hAnsi="Times New Roman" w:eastAsia="宋体" w:cs="Times New Roman"/>
                <w:b/>
                <w:bCs/>
                <w:kern w:val="0"/>
                <w:szCs w:val="21"/>
                <w:lang w:bidi="ar"/>
              </w:rPr>
              <w:t>Subgroup</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2EDE64F">
            <w:pPr>
              <w:keepNext/>
              <w:widowControl/>
              <w:snapToGrid w:val="0"/>
              <w:spacing w:before="0" w:after="0" w:line="240" w:lineRule="auto"/>
              <w:jc w:val="center"/>
              <w:textAlignment w:val="center"/>
              <w:rPr>
                <w:rFonts w:hint="default" w:ascii="Times New Roman" w:hAnsi="Times New Roman" w:eastAsia="宋体" w:cs="Times New Roman"/>
                <w:b/>
                <w:kern w:val="0"/>
                <w:szCs w:val="21"/>
                <w:lang w:bidi="ar"/>
              </w:rPr>
            </w:pPr>
            <w:r>
              <w:rPr>
                <w:rFonts w:hint="default" w:ascii="Times New Roman" w:hAnsi="Times New Roman" w:eastAsia="宋体" w:cs="Times New Roman"/>
                <w:b/>
                <w:bCs/>
                <w:kern w:val="0"/>
                <w:szCs w:val="21"/>
                <w:lang w:bidi="ar"/>
              </w:rPr>
              <w:t>AME, percentage points (95% CI)</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1A61018">
            <w:pPr>
              <w:keepNext/>
              <w:widowControl/>
              <w:snapToGrid w:val="0"/>
              <w:spacing w:before="0" w:after="0" w:line="240" w:lineRule="auto"/>
              <w:jc w:val="center"/>
              <w:textAlignment w:val="center"/>
              <w:rPr>
                <w:rFonts w:hint="default" w:ascii="Times New Roman" w:hAnsi="Times New Roman" w:eastAsia="宋体" w:cs="Times New Roman"/>
                <w:b/>
                <w:kern w:val="0"/>
                <w:szCs w:val="21"/>
                <w:lang w:bidi="ar"/>
              </w:rPr>
            </w:pPr>
            <w:r>
              <w:rPr>
                <w:rFonts w:hint="default" w:ascii="Times New Roman" w:hAnsi="Times New Roman" w:eastAsia="宋体" w:cs="Times New Roman"/>
                <w:b/>
                <w:bCs/>
                <w:kern w:val="0"/>
                <w:szCs w:val="21"/>
                <w:lang w:bidi="ar"/>
              </w:rPr>
              <w:t>OR (95% CI)</w:t>
            </w:r>
          </w:p>
        </w:tc>
      </w:tr>
      <w:tr w14:paraId="579D0B00">
        <w:tblPrEx>
          <w:tblCellMar>
            <w:top w:w="0" w:type="dxa"/>
            <w:left w:w="108" w:type="dxa"/>
            <w:bottom w:w="0" w:type="dxa"/>
            <w:right w:w="108" w:type="dxa"/>
          </w:tblCellMar>
        </w:tblPrEx>
        <w:trPr>
          <w:cantSplit/>
          <w:trHeight w:val="283" w:hRule="atLeast"/>
          <w:jc w:val="center"/>
        </w:trPr>
        <w:tc>
          <w:tcPr>
            <w:tcW w:w="7999" w:type="dxa"/>
            <w:gridSpan w:val="3"/>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C0819C3">
            <w:pPr>
              <w:keepNext/>
              <w:widowControl/>
              <w:snapToGrid w:val="0"/>
              <w:spacing w:before="0" w:after="0" w:line="240" w:lineRule="auto"/>
              <w:jc w:val="center"/>
              <w:textAlignment w:val="center"/>
              <w:rPr>
                <w:rFonts w:hint="default" w:ascii="Times New Roman" w:hAnsi="Times New Roman" w:eastAsia="宋体" w:cs="Times New Roman"/>
                <w:b/>
                <w:kern w:val="0"/>
                <w:szCs w:val="21"/>
                <w:lang w:bidi="ar"/>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D1</w:t>
            </w:r>
            <w:r>
              <w:rPr>
                <w:rFonts w:hint="default" w:ascii="Times New Roman" w:hAnsi="Times New Roman" w:eastAsia="宋体" w:cs="Times New Roman"/>
                <w:b/>
                <w:kern w:val="0"/>
                <w:szCs w:val="21"/>
                <w:lang w:bidi="ar"/>
              </w:rPr>
              <w:t>. Gender</w:t>
            </w:r>
          </w:p>
        </w:tc>
      </w:tr>
      <w:tr w14:paraId="19CE58FD">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13E2FCE">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Male</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0BC59CA">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22.05 (21.58–22.53)</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9562C90">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3.79 (3.68–3.91)</w:t>
            </w:r>
          </w:p>
        </w:tc>
      </w:tr>
      <w:tr w14:paraId="202EDFD6">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0A9EA32">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Female</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C8130DD">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23.44 (22.84–24.03)</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4FCCDC2">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4.11 (3.96–4.28)</w:t>
            </w:r>
          </w:p>
        </w:tc>
      </w:tr>
      <w:tr w14:paraId="0859AB79">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FB6EC7">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Joint test of interaction</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CCB418C">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χ²(1) = 10.90, p = 0.001</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0BF026">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p>
        </w:tc>
      </w:tr>
      <w:tr w14:paraId="5A7E81C3">
        <w:tblPrEx>
          <w:tblCellMar>
            <w:top w:w="0" w:type="dxa"/>
            <w:left w:w="108" w:type="dxa"/>
            <w:bottom w:w="0" w:type="dxa"/>
            <w:right w:w="108" w:type="dxa"/>
          </w:tblCellMar>
        </w:tblPrEx>
        <w:trPr>
          <w:cantSplit/>
          <w:trHeight w:val="283" w:hRule="atLeast"/>
          <w:jc w:val="center"/>
        </w:trPr>
        <w:tc>
          <w:tcPr>
            <w:tcW w:w="7999" w:type="dxa"/>
            <w:gridSpan w:val="3"/>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2F14A20">
            <w:pPr>
              <w:keepNext/>
              <w:widowControl/>
              <w:snapToGrid w:val="0"/>
              <w:spacing w:before="0" w:after="0" w:line="240" w:lineRule="auto"/>
              <w:jc w:val="center"/>
              <w:textAlignment w:val="center"/>
              <w:rPr>
                <w:rFonts w:hint="default" w:ascii="Times New Roman" w:hAnsi="Times New Roman" w:eastAsia="宋体" w:cs="Times New Roman"/>
                <w:b/>
                <w:kern w:val="0"/>
                <w:szCs w:val="21"/>
                <w:lang w:bidi="ar"/>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D2</w:t>
            </w:r>
            <w:r>
              <w:rPr>
                <w:rFonts w:hint="default" w:ascii="Times New Roman" w:hAnsi="Times New Roman" w:eastAsia="宋体" w:cs="Times New Roman"/>
                <w:b/>
                <w:kern w:val="0"/>
                <w:szCs w:val="21"/>
                <w:lang w:bidi="ar"/>
              </w:rPr>
              <w:t>. Discipline</w:t>
            </w:r>
          </w:p>
        </w:tc>
      </w:tr>
      <w:tr w14:paraId="6C456D0F">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0F39200">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Natural Sciences</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EB6D68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22.07 (21.39–22.75)</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89FFB7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3.46 (3.32–3.61)</w:t>
            </w:r>
          </w:p>
        </w:tc>
      </w:tr>
      <w:tr w14:paraId="7A8C5FB4">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CC101FF">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Engineering</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908DB8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19.80 (19.03–20.57)</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D2EF1E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2.96 (2.83–3.10)</w:t>
            </w:r>
          </w:p>
        </w:tc>
      </w:tr>
      <w:tr w14:paraId="5A33D7E0">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8306686">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Medicine and Health</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263AC3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25.19 (24.43–25.96)</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F478F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5.76 (5.43–6.12)</w:t>
            </w:r>
          </w:p>
        </w:tc>
      </w:tr>
      <w:tr w14:paraId="6C6D6004">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8AC1F08">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Social Sciences</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D963C2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23.60 (22.26–24.94)</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744C6A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5.14 (4.62–5.71)</w:t>
            </w:r>
          </w:p>
        </w:tc>
      </w:tr>
      <w:tr w14:paraId="20F1CEB9">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1E08E42">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Applied Sciences</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B7A59E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26.90 (25.13–28.68)</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20BB3D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7.15 (6.15–8.32)</w:t>
            </w:r>
          </w:p>
        </w:tc>
      </w:tr>
      <w:tr w14:paraId="0461E966">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9276BB7">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Humanities</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D20B82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22.69 (21.76–23.61)</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F815D2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4.66 (4.34–5.01)</w:t>
            </w:r>
          </w:p>
        </w:tc>
      </w:tr>
      <w:tr w14:paraId="4C1D463C">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421FCDA">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Mathematics and Computing</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CC0034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24.45 (22.71–26.18)</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80E9AC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4.00 (3.59–4.46)</w:t>
            </w:r>
          </w:p>
        </w:tc>
      </w:tr>
      <w:tr w14:paraId="557F7B84">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3540029">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Joint test of interaction</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5E2997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χ²(6) = 461.02, p &lt; 0.001</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BAA610">
            <w:pPr>
              <w:widowControl/>
              <w:spacing w:before="0" w:after="0" w:line="240" w:lineRule="auto"/>
              <w:jc w:val="center"/>
              <w:textAlignment w:val="center"/>
              <w:rPr>
                <w:rFonts w:hint="default" w:ascii="Times New Roman" w:hAnsi="Times New Roman" w:eastAsia="宋体" w:cs="Times New Roman"/>
                <w:kern w:val="0"/>
                <w:szCs w:val="21"/>
                <w:lang w:bidi="ar"/>
              </w:rPr>
            </w:pPr>
          </w:p>
        </w:tc>
      </w:tr>
      <w:tr w14:paraId="1EF6F00B">
        <w:tblPrEx>
          <w:tblCellMar>
            <w:top w:w="0" w:type="dxa"/>
            <w:left w:w="108" w:type="dxa"/>
            <w:bottom w:w="0" w:type="dxa"/>
            <w:right w:w="108" w:type="dxa"/>
          </w:tblCellMar>
        </w:tblPrEx>
        <w:trPr>
          <w:cantSplit/>
          <w:trHeight w:val="283" w:hRule="atLeast"/>
          <w:jc w:val="center"/>
        </w:trPr>
        <w:tc>
          <w:tcPr>
            <w:tcW w:w="7999" w:type="dxa"/>
            <w:gridSpan w:val="3"/>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9F49A38">
            <w:pPr>
              <w:keepNext/>
              <w:widowControl/>
              <w:snapToGrid w:val="0"/>
              <w:spacing w:before="0" w:after="0" w:line="240" w:lineRule="auto"/>
              <w:jc w:val="center"/>
              <w:textAlignment w:val="center"/>
              <w:rPr>
                <w:rFonts w:hint="default" w:ascii="Times New Roman" w:hAnsi="Times New Roman" w:eastAsia="宋体" w:cs="Times New Roman"/>
                <w:b/>
                <w:kern w:val="0"/>
                <w:szCs w:val="21"/>
                <w:lang w:bidi="ar"/>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D3</w:t>
            </w:r>
            <w:r>
              <w:rPr>
                <w:rFonts w:hint="default" w:ascii="Times New Roman" w:hAnsi="Times New Roman" w:eastAsia="宋体" w:cs="Times New Roman"/>
                <w:b/>
                <w:kern w:val="0"/>
                <w:szCs w:val="21"/>
                <w:lang w:bidi="ar"/>
              </w:rPr>
              <w:t>. Country</w:t>
            </w:r>
          </w:p>
        </w:tc>
      </w:tr>
      <w:tr w14:paraId="742FED78">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A7C53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United States</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CC123C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20.58 (19.74–21.41)</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FDE43B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2.46 (2.37–2.56)</w:t>
            </w:r>
          </w:p>
        </w:tc>
      </w:tr>
      <w:tr w14:paraId="6DD9649D">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EF6E97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United Kingdom</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9477C2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29.86 (28.06–31.67)</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4B9D49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3.57 (3.29–3.87)</w:t>
            </w:r>
          </w:p>
        </w:tc>
      </w:tr>
      <w:tr w14:paraId="1853B74B">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001CEF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France</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2E6614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9.64 (7.14–12.14)</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D54CE7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2.74 (2.11–3.56)</w:t>
            </w:r>
          </w:p>
        </w:tc>
      </w:tr>
      <w:tr w14:paraId="2BEA2A34">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B1D63E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Germany</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5EDEB9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22.85 (20.57–25.12)</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531F51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3.39 (2.96–3.88)</w:t>
            </w:r>
          </w:p>
        </w:tc>
      </w:tr>
      <w:tr w14:paraId="78A42823">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B740CE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Australia</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539FF4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21.57 (18.31–24.83)</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E648F8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2.47 (2.15–2.83)</w:t>
            </w:r>
          </w:p>
        </w:tc>
      </w:tr>
      <w:tr w14:paraId="4EC6097A">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F58A1A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Canada</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3F43AA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16.53 (13.36–19.70)</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AE5ADA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1.99 (1.74–2.28)</w:t>
            </w:r>
          </w:p>
        </w:tc>
      </w:tr>
      <w:tr w14:paraId="72A1A1B7">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D01020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Spain</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54AF8A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28.93 (27.05–30.81)</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C8D032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9.25 (7.83–10.92)</w:t>
            </w:r>
          </w:p>
        </w:tc>
      </w:tr>
      <w:tr w14:paraId="78469B7A">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587CE5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Italy</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465C91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30.98 (28.21–33.76)</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703734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5.95 (4.99–7.09)</w:t>
            </w:r>
          </w:p>
        </w:tc>
      </w:tr>
      <w:tr w14:paraId="18376869">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A8E60C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Brazil</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21D3A2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15.15 (14.11–16.20)</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D805A1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7.87 (6.90–8.98)</w:t>
            </w:r>
          </w:p>
        </w:tc>
      </w:tr>
      <w:tr w14:paraId="149CCA78">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D6DEC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China</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740860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26.47 (21.46–31.47)</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A60F6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3.53 (2.73–4.57)</w:t>
            </w:r>
          </w:p>
        </w:tc>
      </w:tr>
      <w:tr w14:paraId="53E9DBA4">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504AB6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Japan</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A54481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27.04 (24.26–29.82)</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EF3A24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4.43 (3.66–5.36)</w:t>
            </w:r>
          </w:p>
        </w:tc>
      </w:tr>
      <w:tr w14:paraId="72A37F01">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FC3300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India</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B50E63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12.41 (10.91–13.92)</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35AB20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7.40 (6.20–8.82)</w:t>
            </w:r>
          </w:p>
        </w:tc>
      </w:tr>
      <w:tr w14:paraId="3CD2CD40">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4F1EBD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Indonesia</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0EA2D3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0.45 (−0.86–1.76)</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7D4D04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1.24 (0.67–2.29)</w:t>
            </w:r>
          </w:p>
        </w:tc>
      </w:tr>
      <w:tr w14:paraId="486F2FD5">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72AAA8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Other countries</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A8FA5A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25.00 (24.45–25.55)</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9F76C0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6.53 (6.24–6.83)</w:t>
            </w:r>
          </w:p>
        </w:tc>
      </w:tr>
      <w:tr w14:paraId="028D23FD">
        <w:tblPrEx>
          <w:tblCellMar>
            <w:top w:w="0" w:type="dxa"/>
            <w:left w:w="108" w:type="dxa"/>
            <w:bottom w:w="0" w:type="dxa"/>
            <w:right w:w="108" w:type="dxa"/>
          </w:tblCellMar>
        </w:tblPrEx>
        <w:trPr>
          <w:cantSplit/>
          <w:trHeight w:val="283" w:hRule="atLeast"/>
          <w:jc w:val="center"/>
        </w:trPr>
        <w:tc>
          <w:tcPr>
            <w:tcW w:w="248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B60211C">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Joint test of interaction</w:t>
            </w:r>
          </w:p>
        </w:tc>
        <w:tc>
          <w:tcPr>
            <w:tcW w:w="34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672D8C">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χ²(13) = 1,495.77, p &lt; 0.001</w:t>
            </w:r>
          </w:p>
        </w:tc>
        <w:tc>
          <w:tcPr>
            <w:tcW w:w="203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B98D2A7">
            <w:pPr>
              <w:keepNext/>
              <w:widowControl/>
              <w:snapToGrid w:val="0"/>
              <w:spacing w:before="0" w:after="0" w:line="240" w:lineRule="auto"/>
              <w:jc w:val="center"/>
              <w:textAlignment w:val="center"/>
              <w:rPr>
                <w:rFonts w:hint="default" w:ascii="Times New Roman" w:hAnsi="Times New Roman" w:eastAsia="宋体" w:cs="Times New Roman"/>
                <w:kern w:val="0"/>
                <w:szCs w:val="21"/>
                <w:lang w:bidi="ar"/>
              </w:rPr>
            </w:pPr>
          </w:p>
        </w:tc>
      </w:tr>
    </w:tbl>
    <w:p w14:paraId="65503AC3">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AMEs are reported in percentage points. Each panel is estimated from a separate logit model including an interaction between elite doctoral education and the corresponding subgroup variable, with the same controls as Panel B. Robust standard errors are used (N = 222,217).</w:t>
      </w:r>
    </w:p>
    <w:p w14:paraId="7375ADDA">
      <w:pPr>
        <w:rPr>
          <w:rFonts w:hint="default" w:ascii="Times New Roman" w:hAnsi="Times New Roman" w:eastAsia="宋体" w:cs="Times New Roman"/>
          <w:b/>
          <w:sz w:val="24"/>
          <w:highlight w:val="cyan"/>
        </w:rPr>
      </w:pPr>
      <w:r>
        <w:rPr>
          <w:rFonts w:hint="default" w:ascii="Times New Roman" w:hAnsi="Times New Roman" w:eastAsia="宋体" w:cs="Times New Roman"/>
          <w:b/>
          <w:sz w:val="24"/>
        </w:rPr>
        <w:br w:type="page"/>
      </w:r>
    </w:p>
    <w:p w14:paraId="173F69BF">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4. Association between elite doctoral education and employment at an elite university in the global faculty CV sample</w:t>
      </w:r>
    </w:p>
    <w:p w14:paraId="22FD4635">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Baseline logit model</w:t>
      </w:r>
    </w:p>
    <w:p w14:paraId="60711463">
      <w:pPr>
        <w:pStyle w:val="20"/>
        <w:widowControl/>
        <w:rPr>
          <w:rFonts w:hint="default" w:ascii="Times New Roman" w:hAnsi="Times New Roman" w:cs="Times New Roman"/>
          <w:sz w:val="22"/>
          <w:szCs w:val="28"/>
        </w:rPr>
      </w:pPr>
      <w:r>
        <w:rPr>
          <w:rFonts w:hint="default" w:ascii="Times New Roman" w:hAnsi="Times New Roman" w:cs="Times New Roman"/>
          <w:sz w:val="22"/>
          <w:szCs w:val="28"/>
        </w:rPr>
        <w:t>N = 4,139,853; Pseudo R² = 0.2274; AME of elite doctorate = 23</w:t>
      </w:r>
      <w:r>
        <w:rPr>
          <w:rFonts w:hint="default" w:ascii="Times New Roman" w:hAnsi="Times New Roman" w:cs="Times New Roman"/>
          <w:sz w:val="22"/>
          <w:szCs w:val="28"/>
          <w:lang w:val="en-US" w:eastAsia="zh-CN"/>
        </w:rPr>
        <w:t>.</w:t>
      </w:r>
      <w:r>
        <w:rPr>
          <w:rFonts w:hint="default" w:ascii="Times New Roman" w:hAnsi="Times New Roman" w:cs="Times New Roman"/>
          <w:sz w:val="22"/>
          <w:szCs w:val="28"/>
        </w:rPr>
        <w:t xml:space="preserve">33 </w:t>
      </w:r>
      <w:r>
        <w:rPr>
          <w:rFonts w:hint="default" w:ascii="Times New Roman" w:hAnsi="Times New Roman" w:cs="Times New Roman"/>
          <w:sz w:val="22"/>
          <w:szCs w:val="28"/>
          <w:lang w:val="en-US" w:eastAsia="zh-CN"/>
        </w:rPr>
        <w:t xml:space="preserve">pp </w:t>
      </w:r>
      <w:r>
        <w:rPr>
          <w:rFonts w:hint="default" w:ascii="Times New Roman" w:hAnsi="Times New Roman" w:cs="Times New Roman"/>
          <w:sz w:val="22"/>
          <w:szCs w:val="28"/>
        </w:rPr>
        <w:t>(p &lt; 0.001); OR = 4.56</w:t>
      </w:r>
    </w:p>
    <w:tbl>
      <w:tblPr>
        <w:tblStyle w:val="5"/>
        <w:tblW w:w="8302" w:type="dxa"/>
        <w:jc w:val="center"/>
        <w:tblLayout w:type="fixed"/>
        <w:tblCellMar>
          <w:top w:w="0" w:type="dxa"/>
          <w:left w:w="108" w:type="dxa"/>
          <w:bottom w:w="0" w:type="dxa"/>
          <w:right w:w="108" w:type="dxa"/>
        </w:tblCellMar>
      </w:tblPr>
      <w:tblGrid>
        <w:gridCol w:w="2415"/>
        <w:gridCol w:w="1242"/>
        <w:gridCol w:w="878"/>
        <w:gridCol w:w="922"/>
        <w:gridCol w:w="955"/>
        <w:gridCol w:w="1890"/>
      </w:tblGrid>
      <w:tr w14:paraId="6B17742A">
        <w:tblPrEx>
          <w:tblCellMar>
            <w:top w:w="0" w:type="dxa"/>
            <w:left w:w="108" w:type="dxa"/>
            <w:bottom w:w="0" w:type="dxa"/>
            <w:right w:w="108" w:type="dxa"/>
          </w:tblCellMar>
        </w:tblPrEx>
        <w:trPr>
          <w:cantSplit/>
          <w:trHeight w:val="283" w:hRule="atLeast"/>
          <w:tblHeader/>
          <w:jc w:val="center"/>
        </w:trPr>
        <w:tc>
          <w:tcPr>
            <w:tcW w:w="2415"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D290EE6">
            <w:pPr>
              <w:widowControl/>
              <w:snapToGrid w:val="0"/>
              <w:spacing w:before="0" w:after="0" w:line="240" w:lineRule="auto"/>
              <w:jc w:val="center"/>
              <w:textAlignment w:val="center"/>
              <w:rPr>
                <w:rFonts w:hint="default" w:ascii="Times New Roman" w:hAnsi="Times New Roman" w:eastAsia="Times New Roman Regular" w:cs="Times New Roman"/>
                <w:b/>
                <w:szCs w:val="21"/>
              </w:rPr>
            </w:pPr>
            <w:r>
              <w:rPr>
                <w:rFonts w:hint="default" w:ascii="Times New Roman" w:hAnsi="Times New Roman" w:eastAsia="宋体" w:cs="Times New Roman"/>
                <w:b/>
                <w:kern w:val="0"/>
                <w:szCs w:val="21"/>
                <w:lang w:bidi="ar"/>
              </w:rPr>
              <w:t>Variable</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AF6F3">
            <w:pPr>
              <w:widowControl/>
              <w:snapToGrid w:val="0"/>
              <w:spacing w:before="0" w:after="0" w:line="240" w:lineRule="auto"/>
              <w:jc w:val="center"/>
              <w:textAlignment w:val="center"/>
              <w:rPr>
                <w:rFonts w:hint="default" w:ascii="Times New Roman" w:hAnsi="Times New Roman" w:eastAsia="Times New Roman Regular" w:cs="Times New Roman"/>
                <w:b/>
                <w:szCs w:val="21"/>
              </w:rPr>
            </w:pPr>
            <w:r>
              <w:rPr>
                <w:rFonts w:hint="default" w:ascii="Times New Roman" w:hAnsi="Times New Roman" w:eastAsia="宋体" w:cs="Times New Roman"/>
                <w:b/>
                <w:kern w:val="0"/>
                <w:szCs w:val="21"/>
                <w:lang w:bidi="ar"/>
              </w:rPr>
              <w:t>Coefficient</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35D36">
            <w:pPr>
              <w:widowControl/>
              <w:snapToGrid w:val="0"/>
              <w:spacing w:before="0" w:after="0" w:line="240" w:lineRule="auto"/>
              <w:jc w:val="center"/>
              <w:textAlignment w:val="center"/>
              <w:rPr>
                <w:rFonts w:hint="default" w:ascii="Times New Roman" w:hAnsi="Times New Roman" w:eastAsia="Times New Roman Regular" w:cs="Times New Roman"/>
                <w:b/>
                <w:szCs w:val="21"/>
              </w:rPr>
            </w:pPr>
            <w:r>
              <w:rPr>
                <w:rFonts w:hint="default" w:ascii="Times New Roman" w:hAnsi="Times New Roman" w:eastAsia="宋体" w:cs="Times New Roman"/>
                <w:b/>
                <w:kern w:val="0"/>
                <w:szCs w:val="21"/>
                <w:lang w:bidi="ar"/>
              </w:rPr>
              <w:t>Robust SE</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9CACC">
            <w:pPr>
              <w:widowControl/>
              <w:snapToGrid w:val="0"/>
              <w:spacing w:before="0" w:after="0" w:line="240" w:lineRule="auto"/>
              <w:jc w:val="center"/>
              <w:textAlignment w:val="center"/>
              <w:rPr>
                <w:rFonts w:hint="default" w:ascii="Times New Roman" w:hAnsi="Times New Roman" w:eastAsia="Times New Roman Regular" w:cs="Times New Roman"/>
                <w:b/>
                <w:szCs w:val="21"/>
              </w:rPr>
            </w:pPr>
            <w:r>
              <w:rPr>
                <w:rFonts w:hint="default" w:ascii="Times New Roman" w:hAnsi="Times New Roman" w:eastAsia="宋体" w:cs="Times New Roman"/>
                <w:b/>
                <w:kern w:val="0"/>
                <w:szCs w:val="21"/>
                <w:lang w:bidi="ar"/>
              </w:rPr>
              <w:t>z</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81E24B">
            <w:pPr>
              <w:widowControl/>
              <w:snapToGrid w:val="0"/>
              <w:spacing w:before="0" w:after="0" w:line="240" w:lineRule="auto"/>
              <w:jc w:val="center"/>
              <w:textAlignment w:val="center"/>
              <w:rPr>
                <w:rFonts w:hint="default" w:ascii="Times New Roman" w:hAnsi="Times New Roman" w:eastAsia="Times New Roman Regular" w:cs="Times New Roman"/>
                <w:b/>
                <w:szCs w:val="21"/>
              </w:rPr>
            </w:pPr>
            <w:r>
              <w:rPr>
                <w:rFonts w:hint="default" w:ascii="Times New Roman" w:hAnsi="Times New Roman" w:eastAsia="宋体" w:cs="Times New Roman"/>
                <w:b/>
                <w:bCs/>
                <w:kern w:val="0"/>
                <w:szCs w:val="21"/>
                <w:lang w:bidi="ar"/>
              </w:rPr>
              <w:t>p-value</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BF680">
            <w:pPr>
              <w:widowControl/>
              <w:snapToGrid w:val="0"/>
              <w:spacing w:before="0" w:after="0" w:line="240" w:lineRule="auto"/>
              <w:jc w:val="center"/>
              <w:textAlignment w:val="center"/>
              <w:rPr>
                <w:rFonts w:hint="default" w:ascii="Times New Roman" w:hAnsi="Times New Roman" w:eastAsia="Times New Roman Regular" w:cs="Times New Roman"/>
                <w:b/>
                <w:szCs w:val="21"/>
              </w:rPr>
            </w:pPr>
            <w:r>
              <w:rPr>
                <w:rFonts w:hint="default" w:ascii="Times New Roman" w:hAnsi="Times New Roman" w:eastAsia="宋体" w:cs="Times New Roman"/>
                <w:b/>
                <w:kern w:val="0"/>
                <w:szCs w:val="21"/>
                <w:lang w:bidi="ar"/>
              </w:rPr>
              <w:t>95% CI</w:t>
            </w:r>
          </w:p>
        </w:tc>
      </w:tr>
      <w:tr w14:paraId="52404C0D">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CDFF4">
            <w:pPr>
              <w:widowControl/>
              <w:snapToGrid w:val="0"/>
              <w:spacing w:before="0" w:after="0" w:line="240" w:lineRule="auto"/>
              <w:jc w:val="left"/>
              <w:textAlignment w:val="center"/>
              <w:rPr>
                <w:rFonts w:hint="default" w:ascii="Times New Roman" w:hAnsi="Times New Roman" w:eastAsia="Times New Roman Regular" w:cs="Times New Roman"/>
                <w:b/>
                <w:szCs w:val="21"/>
              </w:rPr>
            </w:pPr>
            <w:r>
              <w:rPr>
                <w:rFonts w:hint="default" w:ascii="Times New Roman" w:hAnsi="Times New Roman" w:eastAsia="宋体" w:cs="Times New Roman"/>
                <w:b/>
                <w:kern w:val="0"/>
                <w:szCs w:val="21"/>
                <w:lang w:bidi="ar"/>
              </w:rPr>
              <w:t>Elite doctorate</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A2EF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1.517</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3273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0.004</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DE0B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438.26</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0BF6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9EFC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[1.510, 1.524]</w:t>
            </w:r>
          </w:p>
        </w:tc>
      </w:tr>
      <w:tr w14:paraId="66E14D79">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6E686">
            <w:pPr>
              <w:widowControl/>
              <w:snapToGrid w:val="0"/>
              <w:spacing w:before="0" w:after="0" w:line="240" w:lineRule="auto"/>
              <w:jc w:val="left"/>
              <w:textAlignment w:val="center"/>
              <w:rPr>
                <w:rFonts w:hint="default" w:ascii="Times New Roman" w:hAnsi="Times New Roman" w:eastAsia="Times New Roman Regular" w:cs="Times New Roman"/>
                <w:b/>
                <w:szCs w:val="21"/>
              </w:rPr>
            </w:pPr>
            <w:r>
              <w:rPr>
                <w:rFonts w:hint="default" w:ascii="Times New Roman" w:hAnsi="Times New Roman" w:eastAsia="宋体" w:cs="Times New Roman"/>
                <w:b/>
                <w:kern w:val="0"/>
                <w:szCs w:val="21"/>
                <w:lang w:bidi="ar"/>
              </w:rPr>
              <w:t>Elite bachelor’s degree</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125A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1.067</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E611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0.004</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67AF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244.65</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67BC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92EC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[1.058, 1.076]</w:t>
            </w:r>
          </w:p>
        </w:tc>
      </w:tr>
      <w:tr w14:paraId="07AAD57C">
        <w:tblPrEx>
          <w:tblCellMar>
            <w:top w:w="0" w:type="dxa"/>
            <w:left w:w="108" w:type="dxa"/>
            <w:bottom w:w="0" w:type="dxa"/>
            <w:right w:w="108" w:type="dxa"/>
          </w:tblCellMar>
        </w:tblPrEx>
        <w:trPr>
          <w:cantSplit/>
          <w:trHeight w:val="283" w:hRule="atLeast"/>
          <w:jc w:val="center"/>
        </w:trPr>
        <w:tc>
          <w:tcPr>
            <w:tcW w:w="8302"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1D33231A">
            <w:pPr>
              <w:snapToGrid w:val="0"/>
              <w:spacing w:before="0" w:after="0" w:line="240" w:lineRule="auto"/>
              <w:jc w:val="left"/>
              <w:rPr>
                <w:rFonts w:hint="default" w:ascii="Times New Roman" w:hAnsi="Times New Roman" w:eastAsia="Times New Roman Regular" w:cs="Times New Roman"/>
                <w:b/>
                <w:szCs w:val="21"/>
              </w:rPr>
            </w:pPr>
            <w:r>
              <w:rPr>
                <w:rFonts w:hint="default" w:ascii="Times New Roman" w:hAnsi="Times New Roman" w:eastAsia="宋体" w:cs="Times New Roman"/>
                <w:b/>
                <w:kern w:val="0"/>
                <w:szCs w:val="21"/>
                <w:lang w:bidi="ar"/>
              </w:rPr>
              <w:t>Gender (ref: Male)</w:t>
            </w:r>
          </w:p>
        </w:tc>
      </w:tr>
      <w:tr w14:paraId="23803B05">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6004F">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Female</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94069">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−0.095</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2840A">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0.004</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5511F">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−26.99</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14A3E">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58BD6">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[−0.102, −0.088]</w:t>
            </w:r>
          </w:p>
        </w:tc>
      </w:tr>
      <w:tr w14:paraId="570A6035">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4E86A6">
            <w:pPr>
              <w:widowControl/>
              <w:snapToGrid w:val="0"/>
              <w:spacing w:before="0" w:after="0" w:line="240" w:lineRule="auto"/>
              <w:jc w:val="center"/>
              <w:textAlignment w:val="center"/>
              <w:rPr>
                <w:rFonts w:hint="default" w:ascii="Times New Roman" w:hAnsi="Times New Roman" w:eastAsia="Times New Roman Regular" w:cs="Times New Roman"/>
                <w:kern w:val="0"/>
                <w:szCs w:val="21"/>
                <w:lang w:bidi="ar"/>
              </w:rPr>
            </w:pPr>
            <w:r>
              <w:rPr>
                <w:rFonts w:hint="default" w:ascii="Times New Roman" w:hAnsi="Times New Roman" w:eastAsia="宋体" w:cs="Times New Roman"/>
                <w:kern w:val="0"/>
                <w:szCs w:val="21"/>
                <w:lang w:bidi="ar"/>
              </w:rPr>
              <w:t>Missing gender</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35C63">
            <w:pPr>
              <w:widowControl/>
              <w:spacing w:before="0" w:after="0" w:line="240" w:lineRule="auto"/>
              <w:jc w:val="center"/>
              <w:textAlignment w:val="center"/>
              <w:rPr>
                <w:rFonts w:hint="default" w:ascii="Times New Roman" w:hAnsi="Times New Roman" w:eastAsia="Times New Roman Regular" w:cs="Times New Roman"/>
                <w:kern w:val="0"/>
                <w:szCs w:val="21"/>
                <w:lang w:bidi="ar"/>
              </w:rPr>
            </w:pPr>
            <w:r>
              <w:rPr>
                <w:rFonts w:hint="default" w:ascii="Times New Roman" w:hAnsi="Times New Roman" w:eastAsia="宋体" w:cs="Times New Roman"/>
                <w:kern w:val="0"/>
                <w:szCs w:val="21"/>
                <w:lang w:bidi="ar"/>
              </w:rPr>
              <w:t>1.114</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A7797">
            <w:pPr>
              <w:widowControl/>
              <w:spacing w:before="0" w:after="0" w:line="240" w:lineRule="auto"/>
              <w:jc w:val="center"/>
              <w:textAlignment w:val="center"/>
              <w:rPr>
                <w:rFonts w:hint="default" w:ascii="Times New Roman" w:hAnsi="Times New Roman" w:eastAsia="Times New Roman Regular" w:cs="Times New Roman"/>
                <w:kern w:val="0"/>
                <w:szCs w:val="21"/>
                <w:lang w:bidi="ar"/>
              </w:rPr>
            </w:pPr>
            <w:r>
              <w:rPr>
                <w:rFonts w:hint="default" w:ascii="Times New Roman" w:hAnsi="Times New Roman" w:eastAsia="宋体" w:cs="Times New Roman"/>
                <w:kern w:val="0"/>
                <w:szCs w:val="21"/>
                <w:lang w:bidi="ar"/>
              </w:rPr>
              <w:t>0.004</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9F73B">
            <w:pPr>
              <w:widowControl/>
              <w:spacing w:before="0" w:after="0" w:line="240" w:lineRule="auto"/>
              <w:jc w:val="center"/>
              <w:textAlignment w:val="center"/>
              <w:rPr>
                <w:rFonts w:hint="default" w:ascii="Times New Roman" w:hAnsi="Times New Roman" w:eastAsia="Times New Roman Regular" w:cs="Times New Roman"/>
                <w:kern w:val="0"/>
                <w:szCs w:val="21"/>
                <w:lang w:bidi="ar"/>
              </w:rPr>
            </w:pPr>
            <w:r>
              <w:rPr>
                <w:rFonts w:hint="default" w:ascii="Times New Roman" w:hAnsi="Times New Roman" w:eastAsia="宋体" w:cs="Times New Roman"/>
                <w:kern w:val="0"/>
                <w:szCs w:val="21"/>
                <w:lang w:bidi="ar"/>
              </w:rPr>
              <w:t>310.93</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14EDD">
            <w:pPr>
              <w:widowControl/>
              <w:spacing w:before="0" w:after="0" w:line="240" w:lineRule="auto"/>
              <w:jc w:val="center"/>
              <w:textAlignment w:val="center"/>
              <w:rPr>
                <w:rFonts w:hint="default" w:ascii="Times New Roman" w:hAnsi="Times New Roman" w:eastAsia="Times New Roman Regular" w:cs="Times New Roman"/>
                <w:kern w:val="0"/>
                <w:szCs w:val="21"/>
                <w:lang w:bidi="ar"/>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A4AAF2">
            <w:pPr>
              <w:widowControl/>
              <w:spacing w:before="0" w:after="0" w:line="240" w:lineRule="auto"/>
              <w:jc w:val="center"/>
              <w:textAlignment w:val="center"/>
              <w:rPr>
                <w:rFonts w:hint="default" w:ascii="Times New Roman" w:hAnsi="Times New Roman" w:eastAsia="Times New Roman Regular" w:cs="Times New Roman"/>
                <w:kern w:val="0"/>
                <w:szCs w:val="21"/>
                <w:lang w:bidi="ar"/>
              </w:rPr>
            </w:pPr>
            <w:r>
              <w:rPr>
                <w:rFonts w:hint="default" w:ascii="Times New Roman" w:hAnsi="Times New Roman" w:eastAsia="宋体" w:cs="Times New Roman"/>
                <w:kern w:val="0"/>
                <w:szCs w:val="21"/>
                <w:lang w:bidi="ar"/>
              </w:rPr>
              <w:t>[1.107, 1.121]</w:t>
            </w:r>
          </w:p>
        </w:tc>
      </w:tr>
      <w:tr w14:paraId="528C7659">
        <w:tblPrEx>
          <w:tblCellMar>
            <w:top w:w="0" w:type="dxa"/>
            <w:left w:w="108" w:type="dxa"/>
            <w:bottom w:w="0" w:type="dxa"/>
            <w:right w:w="108" w:type="dxa"/>
          </w:tblCellMar>
        </w:tblPrEx>
        <w:trPr>
          <w:cantSplit/>
          <w:trHeight w:val="283" w:hRule="atLeast"/>
          <w:jc w:val="center"/>
        </w:trPr>
        <w:tc>
          <w:tcPr>
            <w:tcW w:w="8302"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FDD1FC5">
            <w:pPr>
              <w:snapToGrid w:val="0"/>
              <w:spacing w:before="0" w:after="0" w:line="240" w:lineRule="auto"/>
              <w:jc w:val="left"/>
              <w:rPr>
                <w:rFonts w:hint="default" w:ascii="Times New Roman" w:hAnsi="Times New Roman" w:eastAsia="Times New Roman Regular" w:cs="Times New Roman"/>
                <w:szCs w:val="21"/>
              </w:rPr>
            </w:pPr>
            <w:r>
              <w:rPr>
                <w:rFonts w:hint="default" w:ascii="Times New Roman" w:hAnsi="Times New Roman" w:eastAsia="宋体" w:cs="Times New Roman"/>
                <w:b/>
                <w:bCs/>
                <w:kern w:val="0"/>
                <w:szCs w:val="21"/>
                <w:lang w:bidi="ar"/>
              </w:rPr>
              <w:t>Discipline (ref: Natural Sciences)</w:t>
            </w:r>
          </w:p>
        </w:tc>
      </w:tr>
      <w:tr w14:paraId="7F8F5D41">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E4B70">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Engineering</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82454">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−0.017</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D854D">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0.006</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826BA">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−2.91</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88676">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0.004</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30C179">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[−0.028, −0.005]</w:t>
            </w:r>
          </w:p>
        </w:tc>
      </w:tr>
      <w:tr w14:paraId="268443DB">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582A9">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Medicine and Health</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962C1">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0.118</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D0D9A">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0.006</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BB810">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19.77</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E88F6">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DF2937">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[0.106, 0.129]</w:t>
            </w:r>
          </w:p>
        </w:tc>
      </w:tr>
      <w:tr w14:paraId="669FFFC3">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2927D">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Social Sciences</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9EEA5">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−0.181</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6F50D">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0.005</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AEC98">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−33.42</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718C1">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7F4DD">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[−0.192, −0.171]</w:t>
            </w:r>
          </w:p>
        </w:tc>
      </w:tr>
      <w:tr w14:paraId="0F0CE38B">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5116A">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Applied Sciences</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0A33A">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−0.373</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BA713">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0.013</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884D2">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−29.01</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D182C">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C66825">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[−0.398, −0.348]</w:t>
            </w:r>
          </w:p>
        </w:tc>
      </w:tr>
      <w:tr w14:paraId="3254B26E">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0415A">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Humanities</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29B5F">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−0.082</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E9C9C">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0.006</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DD781">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−13.50</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37CEC">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FC879">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[−0.094, −0.070]</w:t>
            </w:r>
          </w:p>
        </w:tc>
      </w:tr>
      <w:tr w14:paraId="4F6B3C5D">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7AF84">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Mathematics and Computing</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10227">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−0.140</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A95B1">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0.014</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E08881">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−9.69</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3FCD7">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CD1DD">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[−0.168, −0.111]</w:t>
            </w:r>
          </w:p>
        </w:tc>
      </w:tr>
      <w:tr w14:paraId="5172ACF6">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A63EB">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Missing discipline</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F274E">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−0.009</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8ABFE">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0.005</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39CE1">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−1.73</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D618E">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0.083</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B79F7">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[−0.019, 0.001]</w:t>
            </w:r>
          </w:p>
        </w:tc>
      </w:tr>
      <w:tr w14:paraId="28062B29">
        <w:tblPrEx>
          <w:tblCellMar>
            <w:top w:w="0" w:type="dxa"/>
            <w:left w:w="108" w:type="dxa"/>
            <w:bottom w:w="0" w:type="dxa"/>
            <w:right w:w="108" w:type="dxa"/>
          </w:tblCellMar>
        </w:tblPrEx>
        <w:trPr>
          <w:cantSplit/>
          <w:trHeight w:val="283" w:hRule="atLeast"/>
          <w:jc w:val="center"/>
        </w:trPr>
        <w:tc>
          <w:tcPr>
            <w:tcW w:w="8302"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7CCB174">
            <w:pPr>
              <w:snapToGrid w:val="0"/>
              <w:spacing w:before="0" w:after="0" w:line="240" w:lineRule="auto"/>
              <w:jc w:val="left"/>
              <w:rPr>
                <w:rFonts w:hint="default" w:ascii="Times New Roman" w:hAnsi="Times New Roman" w:eastAsia="Times New Roman Regular" w:cs="Times New Roman"/>
                <w:b/>
                <w:szCs w:val="21"/>
              </w:rPr>
            </w:pPr>
            <w:r>
              <w:rPr>
                <w:rFonts w:hint="default" w:ascii="Times New Roman" w:hAnsi="Times New Roman" w:eastAsia="宋体" w:cs="Times New Roman"/>
                <w:b/>
                <w:bCs/>
                <w:kern w:val="0"/>
                <w:szCs w:val="21"/>
                <w:lang w:bidi="ar"/>
              </w:rPr>
              <w:t>Country (ref: United States)</w:t>
            </w:r>
          </w:p>
        </w:tc>
      </w:tr>
      <w:tr w14:paraId="117C5A3C">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309088">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United Kingdom</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D13B9">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0.810</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268B4">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0.006</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A74AC">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146.54</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48405">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9352C">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[0.799, 0.821]</w:t>
            </w:r>
          </w:p>
        </w:tc>
      </w:tr>
      <w:tr w14:paraId="533D5FCB">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E02BB">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France</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E0955">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−1.556</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DAD75">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0.024</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3F740">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−66.11</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2DA28">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34844">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[−1.602, −1.510]</w:t>
            </w:r>
          </w:p>
        </w:tc>
      </w:tr>
      <w:tr w14:paraId="5D020C8A">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3AEE7">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Germany</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8E9AF9">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0.017</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8D628">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0.007</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AD719">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2.32</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CC29D4">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0.020</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D2F3C">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[0.003, 0.032]</w:t>
            </w:r>
          </w:p>
        </w:tc>
      </w:tr>
      <w:tr w14:paraId="55B34DC2">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B6CDA">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Australia</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1AEBCE">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1.024</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08E6C">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0.009</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78B209">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120.32</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43BD8">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990AC">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[1.008, 1.041]</w:t>
            </w:r>
          </w:p>
        </w:tc>
      </w:tr>
      <w:tr w14:paraId="7B2C7C79">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E2572">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Canada</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C759C">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0.357</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DA318">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0.007</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39A2F">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49.81</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41AE3">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CA7DF">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[0.343, 0.371]</w:t>
            </w:r>
          </w:p>
        </w:tc>
      </w:tr>
      <w:tr w14:paraId="5D84DA1F">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0E30CC">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Spain</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69DAC">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−1.363</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0E3FA">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0.016</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52A2B">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−85.93</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C216F">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88125">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[−1.394, −1.332]</w:t>
            </w:r>
          </w:p>
        </w:tc>
      </w:tr>
      <w:tr w14:paraId="2AF4D3D5">
        <w:tblPrEx>
          <w:tblCellMar>
            <w:top w:w="0" w:type="dxa"/>
            <w:left w:w="108" w:type="dxa"/>
            <w:bottom w:w="0" w:type="dxa"/>
            <w:right w:w="108" w:type="dxa"/>
          </w:tblCellMar>
        </w:tblPrEx>
        <w:trPr>
          <w:cantSplit/>
          <w:trHeight w:val="90"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5E53B">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Italy</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084E4">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−1.307</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C9193">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0.021</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C5EA9">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−61.09</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AB3E77">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44CED">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[−1.349, −1.265]</w:t>
            </w:r>
          </w:p>
        </w:tc>
      </w:tr>
      <w:tr w14:paraId="4E4D70CA">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39344">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Brazil</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27F035">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−3.287</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9B1D0">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0.037</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A7308">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−89.25</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5779B">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3F51F">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[−3.360, −3.215]</w:t>
            </w:r>
          </w:p>
        </w:tc>
      </w:tr>
      <w:tr w14:paraId="3668BA3F">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2EE9A">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China</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992936">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−0.382</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273B6">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0.004</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9F989">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−95.11</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C61C0">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D8370">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[−0.390, −0.374]</w:t>
            </w:r>
          </w:p>
        </w:tc>
      </w:tr>
      <w:tr w14:paraId="472DA792">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51F6B">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Japan</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0B2CB4">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−1.780</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FEC75">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0.011</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8EA870">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−162.38</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86D51">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D3AA1">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[−1.801, −1.758]</w:t>
            </w:r>
          </w:p>
        </w:tc>
      </w:tr>
      <w:tr w14:paraId="7415AB57">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8B2CE9">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India</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183ABE">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−3.487</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BB6CD">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0.031</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AA05E">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−114.50</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B474A">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19085">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[−3.547, −3.428]</w:t>
            </w:r>
          </w:p>
        </w:tc>
      </w:tr>
      <w:tr w14:paraId="1001AD5F">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546A2">
            <w:pPr>
              <w:widowControl/>
              <w:snapToGrid w:val="0"/>
              <w:spacing w:before="0" w:after="0" w:line="240" w:lineRule="auto"/>
              <w:jc w:val="center"/>
              <w:textAlignment w:val="center"/>
              <w:rPr>
                <w:rFonts w:hint="default" w:ascii="Times New Roman" w:hAnsi="Times New Roman" w:eastAsia="Times New Roman Regular" w:cs="Times New Roman"/>
                <w:kern w:val="0"/>
                <w:szCs w:val="21"/>
                <w:lang w:bidi="ar"/>
              </w:rPr>
            </w:pPr>
            <w:r>
              <w:rPr>
                <w:rFonts w:hint="default" w:ascii="Times New Roman" w:hAnsi="Times New Roman" w:eastAsia="宋体" w:cs="Times New Roman"/>
                <w:kern w:val="0"/>
                <w:szCs w:val="21"/>
                <w:lang w:bidi="ar"/>
              </w:rPr>
              <w:t>Indonesia</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23536">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−9.721</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4C79D6">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1.000</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CB370">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−9.72</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2699C">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CAB0D7">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[−11.680, −7.761]</w:t>
            </w:r>
          </w:p>
        </w:tc>
      </w:tr>
      <w:tr w14:paraId="31821BF3">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A85B26">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Other countries</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799B9">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−1.310</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BE93C">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0.004</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C90FED">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−296.97</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197FB8">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4235A">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[−1.319, −1.301]</w:t>
            </w:r>
          </w:p>
        </w:tc>
      </w:tr>
      <w:tr w14:paraId="7AEBC92D">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3E997">
            <w:pPr>
              <w:widowControl/>
              <w:snapToGrid w:val="0"/>
              <w:spacing w:before="0" w:after="0" w:line="240" w:lineRule="auto"/>
              <w:jc w:val="left"/>
              <w:textAlignment w:val="center"/>
              <w:rPr>
                <w:rFonts w:hint="default" w:ascii="Times New Roman" w:hAnsi="Times New Roman" w:eastAsia="Times New Roman Regular" w:cs="Times New Roman"/>
                <w:b/>
                <w:bCs/>
                <w:szCs w:val="21"/>
              </w:rPr>
            </w:pPr>
            <w:r>
              <w:rPr>
                <w:rFonts w:hint="default" w:ascii="Times New Roman" w:hAnsi="Times New Roman" w:eastAsia="宋体" w:cs="Times New Roman"/>
                <w:b/>
                <w:bCs/>
                <w:kern w:val="0"/>
                <w:szCs w:val="21"/>
                <w:lang w:bidi="ar"/>
              </w:rPr>
              <w:t>Year (centered at 2000)</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59C11">
            <w:pPr>
              <w:widowControl/>
              <w:spacing w:before="0" w:after="0" w:line="240" w:lineRule="auto"/>
              <w:jc w:val="center"/>
              <w:textAlignment w:val="center"/>
              <w:rPr>
                <w:rFonts w:hint="default" w:ascii="Times New Roman" w:hAnsi="Times New Roman" w:eastAsia="Times New Roman Regular" w:cs="Times New Roman"/>
                <w:kern w:val="0"/>
                <w:szCs w:val="21"/>
                <w:lang w:bidi="ar"/>
              </w:rPr>
            </w:pPr>
            <w:r>
              <w:rPr>
                <w:rFonts w:hint="default" w:ascii="Times New Roman" w:hAnsi="Times New Roman" w:eastAsia="宋体" w:cs="Times New Roman"/>
                <w:kern w:val="0"/>
                <w:szCs w:val="21"/>
                <w:lang w:bidi="ar"/>
              </w:rPr>
              <w:t>−0.017</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48459">
            <w:pPr>
              <w:widowControl/>
              <w:spacing w:before="0" w:after="0" w:line="240" w:lineRule="auto"/>
              <w:jc w:val="center"/>
              <w:textAlignment w:val="center"/>
              <w:rPr>
                <w:rFonts w:hint="default" w:ascii="Times New Roman" w:hAnsi="Times New Roman" w:eastAsia="Times New Roman Regular" w:cs="Times New Roman"/>
                <w:kern w:val="0"/>
                <w:szCs w:val="21"/>
                <w:lang w:bidi="ar"/>
              </w:rPr>
            </w:pPr>
            <w:r>
              <w:rPr>
                <w:rFonts w:hint="default" w:ascii="Times New Roman" w:hAnsi="Times New Roman" w:eastAsia="宋体" w:cs="Times New Roman"/>
                <w:kern w:val="0"/>
                <w:szCs w:val="21"/>
                <w:highlight w:val="none"/>
                <w:lang w:bidi="ar"/>
              </w:rPr>
              <w:t>&lt;0.001</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72546">
            <w:pPr>
              <w:widowControl/>
              <w:spacing w:before="0" w:after="0" w:line="240" w:lineRule="auto"/>
              <w:jc w:val="center"/>
              <w:textAlignment w:val="center"/>
              <w:rPr>
                <w:rFonts w:hint="default" w:ascii="Times New Roman" w:hAnsi="Times New Roman" w:eastAsia="Times New Roman Regular" w:cs="Times New Roman"/>
                <w:kern w:val="0"/>
                <w:szCs w:val="21"/>
                <w:lang w:bidi="ar"/>
              </w:rPr>
            </w:pPr>
            <w:r>
              <w:rPr>
                <w:rFonts w:hint="default" w:ascii="Times New Roman" w:hAnsi="Times New Roman" w:eastAsia="宋体" w:cs="Times New Roman"/>
                <w:kern w:val="0"/>
                <w:szCs w:val="21"/>
                <w:lang w:bidi="ar"/>
              </w:rPr>
              <w:t>−63.37</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67B68">
            <w:pPr>
              <w:widowControl/>
              <w:spacing w:before="0" w:after="0" w:line="240" w:lineRule="auto"/>
              <w:jc w:val="center"/>
              <w:textAlignment w:val="center"/>
              <w:rPr>
                <w:rFonts w:hint="default" w:ascii="Times New Roman" w:hAnsi="Times New Roman" w:eastAsia="Times New Roman Regular" w:cs="Times New Roman"/>
                <w:kern w:val="0"/>
                <w:szCs w:val="21"/>
                <w:lang w:bidi="ar"/>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E6219">
            <w:pPr>
              <w:widowControl/>
              <w:spacing w:before="0" w:after="0" w:line="240" w:lineRule="auto"/>
              <w:jc w:val="center"/>
              <w:textAlignment w:val="center"/>
              <w:rPr>
                <w:rFonts w:hint="default" w:ascii="Times New Roman" w:hAnsi="Times New Roman" w:eastAsia="Times New Roman Regular" w:cs="Times New Roman"/>
                <w:kern w:val="0"/>
                <w:szCs w:val="21"/>
                <w:lang w:bidi="ar"/>
              </w:rPr>
            </w:pPr>
            <w:r>
              <w:rPr>
                <w:rFonts w:hint="default" w:ascii="Times New Roman" w:hAnsi="Times New Roman" w:eastAsia="宋体" w:cs="Times New Roman"/>
                <w:kern w:val="0"/>
                <w:szCs w:val="21"/>
                <w:lang w:bidi="ar"/>
              </w:rPr>
              <w:t>[−0.018, −0.01</w:t>
            </w:r>
            <w:r>
              <w:rPr>
                <w:rFonts w:hint="default" w:ascii="Times New Roman" w:hAnsi="Times New Roman" w:eastAsia="宋体" w:cs="Times New Roman"/>
                <w:kern w:val="0"/>
                <w:szCs w:val="21"/>
                <w:lang w:val="en-US" w:eastAsia="zh-CN" w:bidi="ar"/>
              </w:rPr>
              <w:t>7</w:t>
            </w:r>
            <w:r>
              <w:rPr>
                <w:rFonts w:hint="default" w:ascii="Times New Roman" w:hAnsi="Times New Roman" w:eastAsia="宋体" w:cs="Times New Roman"/>
                <w:kern w:val="0"/>
                <w:szCs w:val="21"/>
                <w:lang w:bidi="ar"/>
              </w:rPr>
              <w:t>]</w:t>
            </w:r>
          </w:p>
        </w:tc>
      </w:tr>
      <w:tr w14:paraId="561BF254">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36ADF">
            <w:pPr>
              <w:widowControl/>
              <w:snapToGrid w:val="0"/>
              <w:spacing w:before="0" w:after="0" w:line="240" w:lineRule="auto"/>
              <w:jc w:val="left"/>
              <w:textAlignment w:val="center"/>
              <w:rPr>
                <w:rFonts w:hint="default" w:ascii="Times New Roman" w:hAnsi="Times New Roman" w:eastAsia="Times New Roman Regular" w:cs="Times New Roman"/>
                <w:b/>
                <w:bCs/>
                <w:kern w:val="0"/>
                <w:szCs w:val="21"/>
                <w:lang w:bidi="ar"/>
              </w:rPr>
            </w:pPr>
            <w:r>
              <w:rPr>
                <w:rFonts w:hint="default" w:ascii="Times New Roman" w:hAnsi="Times New Roman" w:eastAsia="宋体" w:cs="Times New Roman"/>
                <w:b/>
                <w:bCs/>
                <w:kern w:val="0"/>
                <w:szCs w:val="21"/>
                <w:lang w:bidi="ar"/>
              </w:rPr>
              <w:t>Year missing</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626405">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−0.725</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3C8D1">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0.004</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E0E171">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−176.36</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89D2F">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78FEA">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[−0.733, −0.717]</w:t>
            </w:r>
          </w:p>
        </w:tc>
      </w:tr>
      <w:tr w14:paraId="7A7CEB61">
        <w:tblPrEx>
          <w:tblCellMar>
            <w:top w:w="0" w:type="dxa"/>
            <w:left w:w="108" w:type="dxa"/>
            <w:bottom w:w="0" w:type="dxa"/>
            <w:right w:w="108" w:type="dxa"/>
          </w:tblCellMar>
        </w:tblPrEx>
        <w:trPr>
          <w:cantSplit/>
          <w:trHeight w:val="283" w:hRule="atLeast"/>
          <w:jc w:val="center"/>
        </w:trPr>
        <w:tc>
          <w:tcPr>
            <w:tcW w:w="24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117C9">
            <w:pPr>
              <w:widowControl/>
              <w:snapToGrid w:val="0"/>
              <w:spacing w:before="0" w:after="0" w:line="240" w:lineRule="auto"/>
              <w:jc w:val="left"/>
              <w:textAlignment w:val="center"/>
              <w:rPr>
                <w:rFonts w:hint="default" w:ascii="Times New Roman" w:hAnsi="Times New Roman" w:eastAsia="Times New Roman Regular" w:cs="Times New Roman"/>
                <w:b/>
                <w:bCs/>
                <w:szCs w:val="21"/>
              </w:rPr>
            </w:pPr>
            <w:r>
              <w:rPr>
                <w:rFonts w:hint="default" w:ascii="Times New Roman" w:hAnsi="Times New Roman" w:eastAsia="宋体" w:cs="Times New Roman"/>
                <w:b/>
                <w:bCs/>
                <w:kern w:val="0"/>
                <w:szCs w:val="21"/>
                <w:lang w:bidi="ar"/>
              </w:rPr>
              <w:t>Constant</w:t>
            </w:r>
          </w:p>
        </w:tc>
        <w:tc>
          <w:tcPr>
            <w:tcW w:w="12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75D1E5">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w:t>
            </w:r>
            <w:r>
              <w:rPr>
                <w:rFonts w:hint="default" w:ascii="Times New Roman" w:hAnsi="Times New Roman" w:eastAsia="宋体" w:cs="Times New Roman"/>
                <w:szCs w:val="21"/>
              </w:rPr>
              <w:t>1.220</w:t>
            </w:r>
          </w:p>
        </w:tc>
        <w:tc>
          <w:tcPr>
            <w:tcW w:w="8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978C82">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0.006</w:t>
            </w:r>
          </w:p>
        </w:tc>
        <w:tc>
          <w:tcPr>
            <w:tcW w:w="9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C1331">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w:t>
            </w:r>
            <w:r>
              <w:rPr>
                <w:rFonts w:hint="default" w:ascii="Times New Roman" w:hAnsi="Times New Roman" w:eastAsia="宋体" w:cs="Times New Roman"/>
                <w:szCs w:val="21"/>
              </w:rPr>
              <w:t>195.24</w:t>
            </w:r>
          </w:p>
        </w:tc>
        <w:tc>
          <w:tcPr>
            <w:tcW w:w="9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76B3B">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c>
          <w:tcPr>
            <w:tcW w:w="18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632DF">
            <w:pPr>
              <w:widowControl/>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szCs w:val="21"/>
              </w:rPr>
              <w:t>[−1.232, −1.207]</w:t>
            </w:r>
          </w:p>
        </w:tc>
      </w:tr>
    </w:tbl>
    <w:p w14:paraId="33A01E48">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The dependent variable equals one for employment at a Top 500 university. Male, Natural Sciences, and the United States are the reference categories. Observations with missing country information or known doctoral completion years outside 1985–2023 are excluded. Missing gender and discipline are retained as separate categories. Year is centered at 2000; missing year is coded zero on the centered variable and identified by a separate missing-year indicator. Robust standard errors are reported.</w:t>
      </w:r>
    </w:p>
    <w:p w14:paraId="35622745">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Complete-case logit model</w:t>
      </w:r>
    </w:p>
    <w:p w14:paraId="07215C0E">
      <w:pPr>
        <w:pStyle w:val="20"/>
        <w:widowControl/>
        <w:rPr>
          <w:rFonts w:hint="default" w:ascii="Times New Roman" w:hAnsi="Times New Roman" w:cs="Times New Roman"/>
          <w:sz w:val="20"/>
          <w:szCs w:val="22"/>
        </w:rPr>
      </w:pPr>
      <w:r>
        <w:rPr>
          <w:rFonts w:hint="default" w:ascii="Times New Roman" w:hAnsi="Times New Roman" w:cs="Times New Roman"/>
          <w:sz w:val="22"/>
          <w:szCs w:val="28"/>
        </w:rPr>
        <w:t>N = 763,604; Pseudo R² = 0.2116; AME of elite doctorate = 21</w:t>
      </w:r>
      <w:r>
        <w:rPr>
          <w:rFonts w:hint="default" w:ascii="Times New Roman" w:hAnsi="Times New Roman" w:cs="Times New Roman"/>
          <w:sz w:val="22"/>
          <w:szCs w:val="28"/>
          <w:lang w:val="en-US" w:eastAsia="zh-CN"/>
        </w:rPr>
        <w:t>.</w:t>
      </w:r>
      <w:r>
        <w:rPr>
          <w:rFonts w:hint="default" w:ascii="Times New Roman" w:hAnsi="Times New Roman" w:cs="Times New Roman"/>
          <w:sz w:val="22"/>
          <w:szCs w:val="28"/>
        </w:rPr>
        <w:t>23</w:t>
      </w:r>
      <w:r>
        <w:rPr>
          <w:rFonts w:hint="default" w:ascii="Times New Roman" w:hAnsi="Times New Roman" w:cs="Times New Roman"/>
          <w:sz w:val="22"/>
          <w:szCs w:val="28"/>
          <w:lang w:val="en-US" w:eastAsia="zh-CN"/>
        </w:rPr>
        <w:t xml:space="preserve"> pp</w:t>
      </w:r>
      <w:r>
        <w:rPr>
          <w:rFonts w:hint="default" w:ascii="Times New Roman" w:hAnsi="Times New Roman" w:cs="Times New Roman"/>
          <w:sz w:val="22"/>
          <w:szCs w:val="28"/>
        </w:rPr>
        <w:t xml:space="preserve"> (p &lt; 0.001); OR = 3.39</w:t>
      </w:r>
    </w:p>
    <w:tbl>
      <w:tblPr>
        <w:tblStyle w:val="5"/>
        <w:tblW w:w="8563" w:type="dxa"/>
        <w:jc w:val="center"/>
        <w:tblLayout w:type="fixed"/>
        <w:tblCellMar>
          <w:top w:w="0" w:type="dxa"/>
          <w:left w:w="108" w:type="dxa"/>
          <w:bottom w:w="0" w:type="dxa"/>
          <w:right w:w="108" w:type="dxa"/>
        </w:tblCellMar>
      </w:tblPr>
      <w:tblGrid>
        <w:gridCol w:w="2322"/>
        <w:gridCol w:w="1222"/>
        <w:gridCol w:w="1170"/>
        <w:gridCol w:w="1022"/>
        <w:gridCol w:w="944"/>
        <w:gridCol w:w="1883"/>
      </w:tblGrid>
      <w:tr w14:paraId="0425665F">
        <w:tblPrEx>
          <w:tblCellMar>
            <w:top w:w="0" w:type="dxa"/>
            <w:left w:w="108" w:type="dxa"/>
            <w:bottom w:w="0" w:type="dxa"/>
            <w:right w:w="108" w:type="dxa"/>
          </w:tblCellMar>
        </w:tblPrEx>
        <w:trPr>
          <w:cantSplit/>
          <w:trHeight w:val="283" w:hRule="exact"/>
          <w:tblHeader/>
          <w:jc w:val="center"/>
        </w:trPr>
        <w:tc>
          <w:tcPr>
            <w:tcW w:w="2322"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1A6F266">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Variable</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6913C">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Coefficient</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D3B89">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Robust SE</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7D774">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z</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8775D">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bCs/>
                <w:kern w:val="0"/>
                <w:szCs w:val="21"/>
                <w:lang w:bidi="ar"/>
              </w:rPr>
              <w:t>p-value</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E31AC">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95% CI</w:t>
            </w:r>
          </w:p>
        </w:tc>
      </w:tr>
      <w:tr w14:paraId="7E5364C3">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D3609">
            <w:pPr>
              <w:widowControl/>
              <w:snapToGrid w:val="0"/>
              <w:spacing w:before="0" w:after="0" w:line="240" w:lineRule="auto"/>
              <w:jc w:val="left"/>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Elite doctorate</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85B4A">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1.222</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45993">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0.006</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B64D3">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202.10</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D7C65">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9DA5AF">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[1.210, 1.234]</w:t>
            </w:r>
          </w:p>
        </w:tc>
      </w:tr>
      <w:tr w14:paraId="27449FFD">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55CDB">
            <w:pPr>
              <w:widowControl/>
              <w:snapToGrid w:val="0"/>
              <w:spacing w:before="0" w:after="0" w:line="240" w:lineRule="auto"/>
              <w:jc w:val="left"/>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Elite bachelor’s degree</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5EF49">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0.848</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35185">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0.007</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7EA7A">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119.57</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A5650">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950A4">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[0.834, 0.862]</w:t>
            </w:r>
          </w:p>
        </w:tc>
      </w:tr>
      <w:tr w14:paraId="418EDFE6">
        <w:tblPrEx>
          <w:tblCellMar>
            <w:top w:w="0" w:type="dxa"/>
            <w:left w:w="108" w:type="dxa"/>
            <w:bottom w:w="0" w:type="dxa"/>
            <w:right w:w="108" w:type="dxa"/>
          </w:tblCellMar>
        </w:tblPrEx>
        <w:trPr>
          <w:cantSplit/>
          <w:trHeight w:val="283" w:hRule="exact"/>
          <w:jc w:val="center"/>
        </w:trPr>
        <w:tc>
          <w:tcPr>
            <w:tcW w:w="8563"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6155BCC5">
            <w:pPr>
              <w:snapToGrid w:val="0"/>
              <w:spacing w:before="0" w:after="0" w:line="240" w:lineRule="auto"/>
              <w:jc w:val="left"/>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Gender (ref: Male)</w:t>
            </w:r>
          </w:p>
        </w:tc>
      </w:tr>
      <w:tr w14:paraId="161DF87C">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8385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Female</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61CC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−0.173</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208D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0.006</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7596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−27.67</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D0625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8D67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[−0.185, −0.161]</w:t>
            </w:r>
          </w:p>
        </w:tc>
      </w:tr>
      <w:tr w14:paraId="070905BC">
        <w:tblPrEx>
          <w:tblCellMar>
            <w:top w:w="0" w:type="dxa"/>
            <w:left w:w="108" w:type="dxa"/>
            <w:bottom w:w="0" w:type="dxa"/>
            <w:right w:w="108" w:type="dxa"/>
          </w:tblCellMar>
        </w:tblPrEx>
        <w:trPr>
          <w:cantSplit/>
          <w:trHeight w:val="283" w:hRule="exact"/>
          <w:jc w:val="center"/>
        </w:trPr>
        <w:tc>
          <w:tcPr>
            <w:tcW w:w="8563"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2964ED7">
            <w:pPr>
              <w:snapToGrid w:val="0"/>
              <w:spacing w:before="0" w:after="0" w:line="240" w:lineRule="auto"/>
              <w:jc w:val="left"/>
              <w:rPr>
                <w:rFonts w:hint="default" w:ascii="Times New Roman" w:hAnsi="Times New Roman" w:eastAsia="宋体" w:cs="Times New Roman"/>
                <w:b/>
                <w:szCs w:val="21"/>
              </w:rPr>
            </w:pPr>
            <w:r>
              <w:rPr>
                <w:rFonts w:hint="default" w:ascii="Times New Roman" w:hAnsi="Times New Roman" w:eastAsia="宋体" w:cs="Times New Roman"/>
                <w:b/>
                <w:bCs/>
                <w:kern w:val="0"/>
                <w:szCs w:val="21"/>
                <w:lang w:bidi="ar"/>
              </w:rPr>
              <w:t>Discipline (ref: Natural Sciences)</w:t>
            </w:r>
          </w:p>
        </w:tc>
      </w:tr>
      <w:tr w14:paraId="6DEB5B02">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229D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Engineering</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123E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−0.054</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C076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0.009</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162B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−5.92</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1F37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55A9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[−0.072, −0.036]</w:t>
            </w:r>
          </w:p>
        </w:tc>
      </w:tr>
      <w:tr w14:paraId="2C0C1A07">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5B5B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Medicine and Health</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BCBF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0.308</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D514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0.010</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4F15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29.95</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8368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0239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[0.288, 0.328]</w:t>
            </w:r>
          </w:p>
        </w:tc>
      </w:tr>
      <w:tr w14:paraId="7124F691">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7835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Social Sciences</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5DB4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−0.269</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6287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0.010</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F8C0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−28.40</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45E1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C5CD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[−0.287, −0.250]</w:t>
            </w:r>
          </w:p>
        </w:tc>
      </w:tr>
      <w:tr w14:paraId="78F3B8BA">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CD55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Applied Sciences</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98159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−0.483</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EBBD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0.021</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602E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−23.36</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17BC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EDAC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[−0.524, −0.443]</w:t>
            </w:r>
          </w:p>
        </w:tc>
      </w:tr>
      <w:tr w14:paraId="1E0C461F">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A1B3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Humanities</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4B4B9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−0.131</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AFEE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0.011</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72C6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−11.88</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810B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1167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[−0.153, −0.109]</w:t>
            </w:r>
          </w:p>
        </w:tc>
      </w:tr>
      <w:tr w14:paraId="6E96C2F7">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6DD9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Mathematics and Computing</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9A80F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−0.545</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7BC1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0.033</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9B6F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−16.65</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B126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2A14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[−0.610, −0.481]</w:t>
            </w:r>
          </w:p>
        </w:tc>
      </w:tr>
      <w:tr w14:paraId="22D43D75">
        <w:tblPrEx>
          <w:tblCellMar>
            <w:top w:w="0" w:type="dxa"/>
            <w:left w:w="108" w:type="dxa"/>
            <w:bottom w:w="0" w:type="dxa"/>
            <w:right w:w="108" w:type="dxa"/>
          </w:tblCellMar>
        </w:tblPrEx>
        <w:trPr>
          <w:cantSplit/>
          <w:trHeight w:val="283" w:hRule="exact"/>
          <w:jc w:val="center"/>
        </w:trPr>
        <w:tc>
          <w:tcPr>
            <w:tcW w:w="8563"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69D86635">
            <w:pPr>
              <w:snapToGrid w:val="0"/>
              <w:spacing w:before="0" w:after="0" w:line="240" w:lineRule="auto"/>
              <w:jc w:val="left"/>
              <w:rPr>
                <w:rFonts w:hint="default" w:ascii="Times New Roman" w:hAnsi="Times New Roman" w:eastAsia="宋体" w:cs="Times New Roman"/>
                <w:b/>
                <w:szCs w:val="21"/>
              </w:rPr>
            </w:pPr>
            <w:r>
              <w:rPr>
                <w:rFonts w:hint="default" w:ascii="Times New Roman" w:hAnsi="Times New Roman" w:eastAsia="宋体" w:cs="Times New Roman"/>
                <w:b/>
                <w:bCs/>
                <w:kern w:val="0"/>
                <w:szCs w:val="21"/>
                <w:lang w:bidi="ar"/>
              </w:rPr>
              <w:t>Country (ref: United States)</w:t>
            </w:r>
          </w:p>
        </w:tc>
      </w:tr>
      <w:tr w14:paraId="7E7CFB78">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019E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United Kingdom</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55D5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0.962</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B260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0.017</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B5FA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58.09</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1051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A46D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[0.930, 0.995]</w:t>
            </w:r>
          </w:p>
        </w:tc>
      </w:tr>
      <w:tr w14:paraId="49532022">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2BAAC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France</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BC40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−1.163</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16591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0.045</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8744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−25.67</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F3FF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1200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[−1.251, −1.074]</w:t>
            </w:r>
          </w:p>
        </w:tc>
      </w:tr>
      <w:tr w14:paraId="3A9E4E93">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E246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Germany</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915C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−0.120</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5600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0.023</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CCF2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−5.28</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0D70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A1A5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[−0.164, −0.075]</w:t>
            </w:r>
          </w:p>
        </w:tc>
      </w:tr>
      <w:tr w14:paraId="51864C46">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7CD82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Australia</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C8596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1.098</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79FD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0.029</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5190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38.11</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9A187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6C44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[1.042, 1.155]</w:t>
            </w:r>
          </w:p>
        </w:tc>
      </w:tr>
      <w:tr w14:paraId="162F19B8">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B53E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Canada</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0011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0.308</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4C1C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0.021</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A4E1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14.94</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84F6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6C18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[0.267, 0.348]</w:t>
            </w:r>
          </w:p>
        </w:tc>
      </w:tr>
      <w:tr w14:paraId="0EECC6DA">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32F4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Spain</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B893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−1.063</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7F87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0.024</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4F4B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−44.86</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5F05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7500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[−1.109, −1.016]</w:t>
            </w:r>
          </w:p>
        </w:tc>
      </w:tr>
      <w:tr w14:paraId="794E77BA">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666C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Italy</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A990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−1.068</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1F3EE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0.047</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ADF0D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−22.63</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902A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3A1A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[−1.160, −0.975]</w:t>
            </w:r>
          </w:p>
        </w:tc>
      </w:tr>
      <w:tr w14:paraId="749B3BB6">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F4A0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Brazil</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1F545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−2.395</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AA78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0.047</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DE22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−51.15</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9768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C66D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[−2.487, −2.303]</w:t>
            </w:r>
          </w:p>
        </w:tc>
      </w:tr>
      <w:tr w14:paraId="3814394E">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8DDD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China</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E814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−0.131</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DE69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0.008</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3EBE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−17.35</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6BAD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1AA5F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[−0.146, −0.116]</w:t>
            </w:r>
          </w:p>
        </w:tc>
      </w:tr>
      <w:tr w14:paraId="57A82BD9">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5E96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Japan</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A3E5C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−1.951</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B5D4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0.019</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9861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−102.98</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3BA2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AD7D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[−1.988, −1.913]</w:t>
            </w:r>
          </w:p>
        </w:tc>
      </w:tr>
      <w:tr w14:paraId="02C44957">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4809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India</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E048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−3.877</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7227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0.075</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F5BF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−51.64</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D1DE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3C8FA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[−4.024, −3.730]</w:t>
            </w:r>
          </w:p>
        </w:tc>
      </w:tr>
      <w:tr w14:paraId="17211D1C">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72AA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Other countries</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88D5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−1.365</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AF11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0.009</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7472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−154.62</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B14D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99F0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[−1.383, −1.348]</w:t>
            </w:r>
          </w:p>
        </w:tc>
      </w:tr>
      <w:tr w14:paraId="0221EAA0">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8826B">
            <w:pPr>
              <w:widowControl/>
              <w:snapToGrid w:val="0"/>
              <w:spacing w:before="0" w:after="0" w:line="240" w:lineRule="auto"/>
              <w:jc w:val="left"/>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Year (centered at 2000)</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5D9A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−0.014</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CBC4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9F50D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−42.46</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8E19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08F1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[−0.014, −0.013]</w:t>
            </w:r>
          </w:p>
        </w:tc>
      </w:tr>
      <w:tr w14:paraId="50BF1C4C">
        <w:tblPrEx>
          <w:tblCellMar>
            <w:top w:w="0" w:type="dxa"/>
            <w:left w:w="108" w:type="dxa"/>
            <w:bottom w:w="0" w:type="dxa"/>
            <w:right w:w="108" w:type="dxa"/>
          </w:tblCellMar>
        </w:tblPrEx>
        <w:trPr>
          <w:cantSplit/>
          <w:trHeight w:val="283" w:hRule="exact"/>
          <w:jc w:val="center"/>
        </w:trPr>
        <w:tc>
          <w:tcPr>
            <w:tcW w:w="23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8353F8">
            <w:pPr>
              <w:widowControl/>
              <w:snapToGrid w:val="0"/>
              <w:spacing w:before="0" w:after="0" w:line="240" w:lineRule="auto"/>
              <w:jc w:val="left"/>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Constant</w:t>
            </w:r>
          </w:p>
        </w:tc>
        <w:tc>
          <w:tcPr>
            <w:tcW w:w="12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F117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−0.950</w:t>
            </w:r>
          </w:p>
        </w:tc>
        <w:tc>
          <w:tcPr>
            <w:tcW w:w="11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0C7D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0.010</w:t>
            </w:r>
          </w:p>
        </w:tc>
        <w:tc>
          <w:tcPr>
            <w:tcW w:w="10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A8CB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−95.89</w:t>
            </w:r>
          </w:p>
        </w:tc>
        <w:tc>
          <w:tcPr>
            <w:tcW w:w="9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59B3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8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1B26C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[−0.970, −0.931]</w:t>
            </w:r>
          </w:p>
        </w:tc>
      </w:tr>
    </w:tbl>
    <w:p w14:paraId="5BD7BC0F">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The dependent variable and reference categories are the same as in Panel A. The sample is restricted to observations with complete information on gender, discipline, country, and doctoral completion year. Year is centered at 2000. Robust standard errors are reported. Indonesia is not reported because of perfect prediction, which results in the exclusion of 4,682 observations from estimation.</w:t>
      </w:r>
    </w:p>
    <w:p w14:paraId="5B93A9C8">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C. Heterogeneity estimates: baseline sample</w:t>
      </w:r>
    </w:p>
    <w:tbl>
      <w:tblPr>
        <w:tblStyle w:val="5"/>
        <w:tblW w:w="8105" w:type="dxa"/>
        <w:jc w:val="center"/>
        <w:tblLayout w:type="fixed"/>
        <w:tblCellMar>
          <w:top w:w="0" w:type="dxa"/>
          <w:left w:w="108" w:type="dxa"/>
          <w:bottom w:w="0" w:type="dxa"/>
          <w:right w:w="108" w:type="dxa"/>
        </w:tblCellMar>
      </w:tblPr>
      <w:tblGrid>
        <w:gridCol w:w="2793"/>
        <w:gridCol w:w="3333"/>
        <w:gridCol w:w="1979"/>
      </w:tblGrid>
      <w:tr w14:paraId="3D368346">
        <w:tblPrEx>
          <w:tblCellMar>
            <w:top w:w="0" w:type="dxa"/>
            <w:left w:w="108" w:type="dxa"/>
            <w:bottom w:w="0" w:type="dxa"/>
            <w:right w:w="108" w:type="dxa"/>
          </w:tblCellMar>
        </w:tblPrEx>
        <w:trPr>
          <w:cantSplit/>
          <w:trHeight w:val="283" w:hRule="atLeast"/>
          <w:tblHeader/>
          <w:jc w:val="center"/>
        </w:trPr>
        <w:tc>
          <w:tcPr>
            <w:tcW w:w="2793"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516063F">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Subgroup</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E98BAF">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AME, percentage points (95% CI)</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AE206">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OR (95% CI)</w:t>
            </w:r>
          </w:p>
        </w:tc>
      </w:tr>
      <w:tr w14:paraId="3FD134C4">
        <w:tblPrEx>
          <w:tblCellMar>
            <w:top w:w="0" w:type="dxa"/>
            <w:left w:w="108" w:type="dxa"/>
            <w:bottom w:w="0" w:type="dxa"/>
            <w:right w:w="108" w:type="dxa"/>
          </w:tblCellMar>
        </w:tblPrEx>
        <w:trPr>
          <w:cantSplit/>
          <w:trHeight w:val="283" w:hRule="atLeast"/>
          <w:jc w:val="center"/>
        </w:trPr>
        <w:tc>
          <w:tcPr>
            <w:tcW w:w="810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E75C8AE">
            <w:pPr>
              <w:snapToGrid w:val="0"/>
              <w:spacing w:before="0" w:after="0" w:line="240" w:lineRule="auto"/>
              <w:jc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C1</w:t>
            </w:r>
            <w:r>
              <w:rPr>
                <w:rFonts w:hint="default" w:ascii="Times New Roman" w:hAnsi="Times New Roman" w:eastAsia="宋体" w:cs="Times New Roman"/>
                <w:b/>
                <w:kern w:val="0"/>
                <w:szCs w:val="21"/>
                <w:lang w:bidi="ar"/>
              </w:rPr>
              <w:t>. Gender</w:t>
            </w:r>
          </w:p>
        </w:tc>
      </w:tr>
      <w:tr w14:paraId="67F79C9B">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0409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Male</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C8D3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23.44 (23.28–23.59)</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3240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5.00 (4.96–5.05)</w:t>
            </w:r>
          </w:p>
        </w:tc>
      </w:tr>
      <w:tr w14:paraId="05BF1B60">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6D00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Female</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E55F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22.13 (21.94–22.31)</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B32B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5.08 (5.03–5.14)</w:t>
            </w:r>
          </w:p>
        </w:tc>
      </w:tr>
      <w:tr w14:paraId="7BB6386D">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407AD">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Joint test of interaction</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0635D">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χ²(1) = 4.52, p = 0.033</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A333C">
            <w:pPr>
              <w:snapToGrid w:val="0"/>
              <w:spacing w:before="0" w:after="0" w:line="240" w:lineRule="auto"/>
              <w:jc w:val="center"/>
              <w:rPr>
                <w:rFonts w:hint="default" w:ascii="Times New Roman" w:hAnsi="Times New Roman" w:eastAsia="宋体" w:cs="Times New Roman"/>
                <w:szCs w:val="21"/>
              </w:rPr>
            </w:pPr>
          </w:p>
        </w:tc>
      </w:tr>
      <w:tr w14:paraId="61EFF4B8">
        <w:tblPrEx>
          <w:tblCellMar>
            <w:top w:w="0" w:type="dxa"/>
            <w:left w:w="108" w:type="dxa"/>
            <w:bottom w:w="0" w:type="dxa"/>
            <w:right w:w="108" w:type="dxa"/>
          </w:tblCellMar>
        </w:tblPrEx>
        <w:trPr>
          <w:cantSplit/>
          <w:trHeight w:val="283" w:hRule="atLeast"/>
          <w:jc w:val="center"/>
        </w:trPr>
        <w:tc>
          <w:tcPr>
            <w:tcW w:w="810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909152F">
            <w:pPr>
              <w:snapToGrid w:val="0"/>
              <w:spacing w:before="0" w:after="0" w:line="240" w:lineRule="auto"/>
              <w:jc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C2</w:t>
            </w:r>
            <w:r>
              <w:rPr>
                <w:rFonts w:hint="default" w:ascii="Times New Roman" w:hAnsi="Times New Roman" w:eastAsia="宋体" w:cs="Times New Roman"/>
                <w:b/>
                <w:kern w:val="0"/>
                <w:szCs w:val="21"/>
                <w:lang w:bidi="ar"/>
              </w:rPr>
              <w:t>. Discipline</w:t>
            </w:r>
          </w:p>
        </w:tc>
      </w:tr>
      <w:tr w14:paraId="5A11BA1B">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7D703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Natural Sciences</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1AF4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22.15 (21.84–22.47)</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57F1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3.83 (3.76–3.89)</w:t>
            </w:r>
          </w:p>
        </w:tc>
      </w:tr>
      <w:tr w14:paraId="2B8BA097">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E4F6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Engineering</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EAE6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24.85 (24.60–25.11)</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AC6A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4.61 (4.54–4.68)</w:t>
            </w:r>
          </w:p>
        </w:tc>
      </w:tr>
      <w:tr w14:paraId="14D2E13C">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43FA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Medicine and Health</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CB903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27.39 (27.05–27.73)</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78B9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4.85 (4.77–4.94)</w:t>
            </w:r>
          </w:p>
        </w:tc>
      </w:tr>
      <w:tr w14:paraId="097C167D">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A8D5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Social Sciences</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7849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20.10 (19.89–20.31)</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B249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4.01 (3.96–4.07)</w:t>
            </w:r>
          </w:p>
        </w:tc>
      </w:tr>
      <w:tr w14:paraId="6EBE1298">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A775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Applied Sciences</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BD34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20.24 (19.39–21.08)</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5DCB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4.36 (4.14–4.59)</w:t>
            </w:r>
          </w:p>
        </w:tc>
      </w:tr>
      <w:tr w14:paraId="61AB97E5">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F391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Humanities</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2EB9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20.97 (20.66–21.28)</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8605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3.73 (3.66–3.79)</w:t>
            </w:r>
          </w:p>
        </w:tc>
      </w:tr>
      <w:tr w14:paraId="23E397F9">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782D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Mathematics and Computing</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49FFF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15.34 (14.42–16.25)</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6794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2.92 (2.76–3.09)</w:t>
            </w:r>
          </w:p>
        </w:tc>
      </w:tr>
      <w:tr w14:paraId="71BB9F23">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E4AEF">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Joint test of interaction</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B8713">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χ²(6) = 912.03, p &lt; 0.001</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E76986">
            <w:pPr>
              <w:snapToGrid w:val="0"/>
              <w:spacing w:before="0" w:after="0" w:line="240" w:lineRule="auto"/>
              <w:jc w:val="center"/>
              <w:rPr>
                <w:rFonts w:hint="default" w:ascii="Times New Roman" w:hAnsi="Times New Roman" w:eastAsia="宋体" w:cs="Times New Roman"/>
                <w:szCs w:val="21"/>
              </w:rPr>
            </w:pPr>
          </w:p>
        </w:tc>
      </w:tr>
      <w:tr w14:paraId="1B1A5F65">
        <w:tblPrEx>
          <w:tblCellMar>
            <w:top w:w="0" w:type="dxa"/>
            <w:left w:w="108" w:type="dxa"/>
            <w:bottom w:w="0" w:type="dxa"/>
            <w:right w:w="108" w:type="dxa"/>
          </w:tblCellMar>
        </w:tblPrEx>
        <w:trPr>
          <w:cantSplit/>
          <w:trHeight w:val="283" w:hRule="atLeast"/>
          <w:jc w:val="center"/>
        </w:trPr>
        <w:tc>
          <w:tcPr>
            <w:tcW w:w="810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3C433BC">
            <w:pPr>
              <w:snapToGrid w:val="0"/>
              <w:spacing w:before="0" w:after="0" w:line="240" w:lineRule="auto"/>
              <w:jc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Panel C</w:t>
            </w:r>
            <w:r>
              <w:rPr>
                <w:rFonts w:hint="default" w:ascii="Times New Roman" w:hAnsi="Times New Roman" w:eastAsia="宋体" w:cs="Times New Roman"/>
                <w:b/>
                <w:kern w:val="0"/>
                <w:szCs w:val="21"/>
                <w:lang w:val="en-US" w:eastAsia="zh-CN" w:bidi="ar"/>
              </w:rPr>
              <w:t>3</w:t>
            </w:r>
            <w:r>
              <w:rPr>
                <w:rFonts w:hint="default" w:ascii="Times New Roman" w:hAnsi="Times New Roman" w:eastAsia="宋体" w:cs="Times New Roman"/>
                <w:b/>
                <w:kern w:val="0"/>
                <w:szCs w:val="21"/>
                <w:lang w:bidi="ar"/>
              </w:rPr>
              <w:t>. Employment country</w:t>
            </w:r>
          </w:p>
        </w:tc>
      </w:tr>
      <w:tr w14:paraId="346AB8F1">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2AFA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United States</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9CF57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26.73 (26.54–26.93)</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148F6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4.00 (3.96–4.03)</w:t>
            </w:r>
          </w:p>
        </w:tc>
      </w:tr>
      <w:tr w14:paraId="1E4B2314">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5C85F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United Kingdom</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3B379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41.72 (41.20–42.24)</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F137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6.98 (6.79–7.18)</w:t>
            </w:r>
          </w:p>
        </w:tc>
      </w:tr>
      <w:tr w14:paraId="29BC14B3">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4B7C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France</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06DE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11.26 (10.00–12.51)</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AA4B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4.19 (3.75–4.68)</w:t>
            </w:r>
          </w:p>
        </w:tc>
      </w:tr>
      <w:tr w14:paraId="6BF1E6A2">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9FCB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Germany</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D7C8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18.21 (17.29–19.13)</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0352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2.56 (2.45–2.67)</w:t>
            </w:r>
          </w:p>
        </w:tc>
      </w:tr>
      <w:tr w14:paraId="2F83B2CB">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47D6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Australia</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65C5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45.62 (44.93–46.31)</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4C44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9.58 (9.16–10.01)</w:t>
            </w:r>
          </w:p>
        </w:tc>
      </w:tr>
      <w:tr w14:paraId="34AB466F">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56F0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Canada</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A619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24.14 (23.45–24.82)</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35ABB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3.09 (3.00–3.19)</w:t>
            </w:r>
          </w:p>
        </w:tc>
      </w:tr>
      <w:tr w14:paraId="6BEF0AF9">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F0D0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Spain</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5EF0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24.47 (23.63–25.31)</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0C04F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14.34 (13.38–15.38)</w:t>
            </w:r>
          </w:p>
        </w:tc>
      </w:tr>
      <w:tr w14:paraId="620E19D9">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58ABF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Italy</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3311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24.05 (22.26–25.85)</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4F75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7.34 (6.62–8.14)</w:t>
            </w:r>
          </w:p>
        </w:tc>
      </w:tr>
      <w:tr w14:paraId="5F536FD4">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71C9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Brazil</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E85D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6.71 (6.00–7.42)</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B1B8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13.63 (11.75–15.81)</w:t>
            </w:r>
          </w:p>
        </w:tc>
      </w:tr>
      <w:tr w14:paraId="18D17177">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F27DF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China</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A5A3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29.06 (28.79–29.34)</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0990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4.63 (4.56–4.69)</w:t>
            </w:r>
          </w:p>
        </w:tc>
      </w:tr>
      <w:tr w14:paraId="57D3CFF9">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9FA1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Japan</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95FA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7.20 (6.82–7.58)</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55FE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2.57 (2.46–2.67)</w:t>
            </w:r>
          </w:p>
        </w:tc>
      </w:tr>
      <w:tr w14:paraId="785C6260">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F940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India</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D02A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5.48 (4.84–6.12)</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F28B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10.50 (9.19–12.01)</w:t>
            </w:r>
          </w:p>
        </w:tc>
      </w:tr>
      <w:tr w14:paraId="3AD7CB69">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4FCB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Indonesia</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0D2B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 xml:space="preserve">Not estimable </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3285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 xml:space="preserve">Not estimable </w:t>
            </w:r>
          </w:p>
        </w:tc>
      </w:tr>
      <w:tr w14:paraId="601FE10A">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E8D8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Other countries</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53128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19.24 (19.00–19.49)</w:t>
            </w:r>
          </w:p>
        </w:tc>
        <w:tc>
          <w:tcPr>
            <w:tcW w:w="19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2E82D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6.04 (5.94–6.14)</w:t>
            </w:r>
          </w:p>
        </w:tc>
      </w:tr>
      <w:tr w14:paraId="09C44CB4">
        <w:tblPrEx>
          <w:tblCellMar>
            <w:top w:w="0" w:type="dxa"/>
            <w:left w:w="108" w:type="dxa"/>
            <w:bottom w:w="0" w:type="dxa"/>
            <w:right w:w="108" w:type="dxa"/>
          </w:tblCellMar>
        </w:tblPrEx>
        <w:trPr>
          <w:cantSplit/>
          <w:trHeight w:val="283" w:hRule="atLeast"/>
          <w:jc w:val="center"/>
        </w:trPr>
        <w:tc>
          <w:tcPr>
            <w:tcW w:w="27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FD861">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Joint test of interaction</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88BC5">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χ²(12) = 7,412.93, p &lt; 0.001</w:t>
            </w:r>
          </w:p>
        </w:tc>
        <w:tc>
          <w:tcPr>
            <w:tcW w:w="19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0D0325">
            <w:pPr>
              <w:snapToGrid w:val="0"/>
              <w:spacing w:before="0" w:after="0" w:line="240" w:lineRule="auto"/>
              <w:jc w:val="center"/>
              <w:rPr>
                <w:rFonts w:hint="default" w:ascii="Times New Roman" w:hAnsi="Times New Roman" w:eastAsia="宋体" w:cs="Times New Roman"/>
                <w:szCs w:val="21"/>
              </w:rPr>
            </w:pPr>
          </w:p>
        </w:tc>
      </w:tr>
    </w:tbl>
    <w:p w14:paraId="2853B380">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AMEs are reported in percentage points. Each panel is estimated from a separate logit model including an interaction between elite doctoral education and the corresponding subgroup variable, with the same controls as Panel A. The subgroup variable must be observed in the corresponding panel; missing values in the remaining controls are retained as categories or indicators. Indonesia is not estimable in Panel C3 because of perfect prediction. Robust standard errors are reported. Panel-specific sample sizes are 3,051,574 for gender, 3,023,191 for discipline, and 4,137,890 for country.</w:t>
      </w:r>
    </w:p>
    <w:p w14:paraId="3E1D3B39">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D. Heterogeneity estimates: complete-case sample</w:t>
      </w:r>
    </w:p>
    <w:tbl>
      <w:tblPr>
        <w:tblStyle w:val="5"/>
        <w:tblW w:w="8157" w:type="dxa"/>
        <w:jc w:val="center"/>
        <w:tblLayout w:type="fixed"/>
        <w:tblCellMar>
          <w:top w:w="0" w:type="dxa"/>
          <w:left w:w="108" w:type="dxa"/>
          <w:bottom w:w="0" w:type="dxa"/>
          <w:right w:w="108" w:type="dxa"/>
        </w:tblCellMar>
      </w:tblPr>
      <w:tblGrid>
        <w:gridCol w:w="2744"/>
        <w:gridCol w:w="3333"/>
        <w:gridCol w:w="2080"/>
      </w:tblGrid>
      <w:tr w14:paraId="7D319127">
        <w:tblPrEx>
          <w:tblCellMar>
            <w:top w:w="0" w:type="dxa"/>
            <w:left w:w="108" w:type="dxa"/>
            <w:bottom w:w="0" w:type="dxa"/>
            <w:right w:w="108" w:type="dxa"/>
          </w:tblCellMar>
        </w:tblPrEx>
        <w:trPr>
          <w:cantSplit/>
          <w:trHeight w:val="283" w:hRule="atLeast"/>
          <w:tblHeader/>
          <w:jc w:val="center"/>
        </w:trPr>
        <w:tc>
          <w:tcPr>
            <w:tcW w:w="2744"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22EDC20">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Subgroup</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63AF0">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AME, percentage points (95% CI)</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40E21">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OR (95% CI)</w:t>
            </w:r>
          </w:p>
        </w:tc>
      </w:tr>
      <w:tr w14:paraId="27CEF150">
        <w:tblPrEx>
          <w:tblCellMar>
            <w:top w:w="0" w:type="dxa"/>
            <w:left w:w="108" w:type="dxa"/>
            <w:bottom w:w="0" w:type="dxa"/>
            <w:right w:w="108" w:type="dxa"/>
          </w:tblCellMar>
        </w:tblPrEx>
        <w:trPr>
          <w:cantSplit/>
          <w:trHeight w:val="283" w:hRule="atLeast"/>
          <w:jc w:val="center"/>
        </w:trPr>
        <w:tc>
          <w:tcPr>
            <w:tcW w:w="815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D0692ED">
            <w:pPr>
              <w:snapToGrid w:val="0"/>
              <w:spacing w:before="0" w:after="0" w:line="240" w:lineRule="auto"/>
              <w:jc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D1</w:t>
            </w:r>
            <w:r>
              <w:rPr>
                <w:rFonts w:hint="default" w:ascii="Times New Roman" w:hAnsi="Times New Roman" w:eastAsia="宋体" w:cs="Times New Roman"/>
                <w:b/>
                <w:kern w:val="0"/>
                <w:szCs w:val="21"/>
                <w:lang w:bidi="ar"/>
              </w:rPr>
              <w:t>. Gender</w:t>
            </w:r>
          </w:p>
        </w:tc>
      </w:tr>
      <w:tr w14:paraId="14881805">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3D6C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Male</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0431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21.30 (21.04–21.57)</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16CE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3.20 (3.15–3.24)</w:t>
            </w:r>
          </w:p>
        </w:tc>
      </w:tr>
      <w:tr w14:paraId="5740198E">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2AFD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Female</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75E2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21.28 (20.95–21.61)</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7B881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3.77 (3.70–3.85)</w:t>
            </w:r>
          </w:p>
        </w:tc>
      </w:tr>
      <w:tr w14:paraId="16A1DDC5">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3B79E">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Joint test of interaction</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2EEB3B">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χ²(1) = 186.38, p &lt; 0.001</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20C15">
            <w:pPr>
              <w:snapToGrid w:val="0"/>
              <w:spacing w:before="0" w:after="0" w:line="240" w:lineRule="auto"/>
              <w:jc w:val="center"/>
              <w:rPr>
                <w:rFonts w:hint="default" w:ascii="Times New Roman" w:hAnsi="Times New Roman" w:eastAsia="宋体" w:cs="Times New Roman"/>
                <w:szCs w:val="21"/>
              </w:rPr>
            </w:pPr>
          </w:p>
        </w:tc>
      </w:tr>
      <w:tr w14:paraId="146E9497">
        <w:tblPrEx>
          <w:tblCellMar>
            <w:top w:w="0" w:type="dxa"/>
            <w:left w:w="108" w:type="dxa"/>
            <w:bottom w:w="0" w:type="dxa"/>
            <w:right w:w="108" w:type="dxa"/>
          </w:tblCellMar>
        </w:tblPrEx>
        <w:trPr>
          <w:cantSplit/>
          <w:trHeight w:val="283" w:hRule="atLeast"/>
          <w:jc w:val="center"/>
        </w:trPr>
        <w:tc>
          <w:tcPr>
            <w:tcW w:w="815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5F91F50">
            <w:pPr>
              <w:snapToGrid w:val="0"/>
              <w:spacing w:before="0" w:after="0" w:line="240" w:lineRule="auto"/>
              <w:jc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D2</w:t>
            </w:r>
            <w:r>
              <w:rPr>
                <w:rFonts w:hint="default" w:ascii="Times New Roman" w:hAnsi="Times New Roman" w:eastAsia="宋体" w:cs="Times New Roman"/>
                <w:b/>
                <w:kern w:val="0"/>
                <w:szCs w:val="21"/>
                <w:lang w:bidi="ar"/>
              </w:rPr>
              <w:t>. Discipline</w:t>
            </w:r>
          </w:p>
        </w:tc>
      </w:tr>
      <w:tr w14:paraId="7BD90A8F">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4D2D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Natural Sciences</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1D37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20.14 (19.64–20.64)</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DD29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3.04 (2.96–3.13)</w:t>
            </w:r>
          </w:p>
        </w:tc>
      </w:tr>
      <w:tr w14:paraId="0AF01F6E">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57F3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Engineering</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8FD57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25.57 (25.17–25.97)</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4BD2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4.11 (4.01–4.20)</w:t>
            </w:r>
          </w:p>
        </w:tc>
      </w:tr>
      <w:tr w14:paraId="7587C0E9">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6239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Medicine and Health</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4616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21.89 (21.35–22.43)</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54DA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3.11 (3.02–3.20)</w:t>
            </w:r>
          </w:p>
        </w:tc>
      </w:tr>
      <w:tr w14:paraId="45F8B443">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BF3B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Social Sciences</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698D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19.14 (18.77–19.52)</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FDFEC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3.40 (3.32–3.48)</w:t>
            </w:r>
          </w:p>
        </w:tc>
      </w:tr>
      <w:tr w14:paraId="6945EFB1">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8EB3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Applied Sciences</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B589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15.99 (14.84–17.14)</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3ECD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3.00 (2.79–3.24)</w:t>
            </w:r>
          </w:p>
        </w:tc>
      </w:tr>
      <w:tr w14:paraId="075AA1E9">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67EA5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Humanities</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6B86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19.50 (18.95–20.06)</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902C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3.13 (3.04–3.24)</w:t>
            </w:r>
          </w:p>
        </w:tc>
      </w:tr>
      <w:tr w14:paraId="661CC26E">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8E99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Mathematics and Computing</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8C77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14.59 (12.83–16.36)</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7B4A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2.80 (2.48–3.17)</w:t>
            </w:r>
          </w:p>
        </w:tc>
      </w:tr>
      <w:tr w14:paraId="646142A5">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0E0D8E">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Joint test of interaction</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B0BA2">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χ²(6) = 406.61, p &lt; 0.001</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F3C6B">
            <w:pPr>
              <w:snapToGrid w:val="0"/>
              <w:spacing w:before="0" w:after="0" w:line="240" w:lineRule="auto"/>
              <w:jc w:val="center"/>
              <w:rPr>
                <w:rFonts w:hint="default" w:ascii="Times New Roman" w:hAnsi="Times New Roman" w:eastAsia="宋体" w:cs="Times New Roman"/>
                <w:szCs w:val="21"/>
              </w:rPr>
            </w:pPr>
          </w:p>
        </w:tc>
      </w:tr>
      <w:tr w14:paraId="519ED2B6">
        <w:tblPrEx>
          <w:tblCellMar>
            <w:top w:w="0" w:type="dxa"/>
            <w:left w:w="108" w:type="dxa"/>
            <w:bottom w:w="0" w:type="dxa"/>
            <w:right w:w="108" w:type="dxa"/>
          </w:tblCellMar>
        </w:tblPrEx>
        <w:trPr>
          <w:cantSplit/>
          <w:trHeight w:val="283" w:hRule="atLeast"/>
          <w:jc w:val="center"/>
        </w:trPr>
        <w:tc>
          <w:tcPr>
            <w:tcW w:w="815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CA7B8E0">
            <w:pPr>
              <w:snapToGrid w:val="0"/>
              <w:spacing w:before="0" w:after="0" w:line="240" w:lineRule="auto"/>
              <w:jc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D3</w:t>
            </w:r>
            <w:r>
              <w:rPr>
                <w:rFonts w:hint="default" w:ascii="Times New Roman" w:hAnsi="Times New Roman" w:eastAsia="宋体" w:cs="Times New Roman"/>
                <w:b/>
                <w:kern w:val="0"/>
                <w:szCs w:val="21"/>
                <w:lang w:bidi="ar"/>
              </w:rPr>
              <w:t>. Employment country</w:t>
            </w:r>
          </w:p>
        </w:tc>
      </w:tr>
      <w:tr w14:paraId="58ED0E0D">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F7C0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United States</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9B8A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20.53 (20.12–20.94)</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EE32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2.46 (2.41–2.50)</w:t>
            </w:r>
          </w:p>
        </w:tc>
      </w:tr>
      <w:tr w14:paraId="15996B71">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EC92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United Kingdom</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D657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31.18 (29.88–32.47)</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D09C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4.21 (3.95–4.49)</w:t>
            </w:r>
          </w:p>
        </w:tc>
      </w:tr>
      <w:tr w14:paraId="18D32B0F">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A049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France</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AC90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4.80 (2.65–6.95)</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C830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1.53 (1.28–1.84)</w:t>
            </w:r>
          </w:p>
        </w:tc>
      </w:tr>
      <w:tr w14:paraId="3C6F7460">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0B7F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Germany</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0829F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17.16 (15.41–18.92)</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9914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2.21 (2.04–2.40)</w:t>
            </w:r>
          </w:p>
        </w:tc>
      </w:tr>
      <w:tr w14:paraId="2185B4A0">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7384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Australia</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49EEE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23.03 (20.73–25.32)</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9AB6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3.05 (2.73–3.41)</w:t>
            </w:r>
          </w:p>
        </w:tc>
      </w:tr>
      <w:tr w14:paraId="0CFFF4CA">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7728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Canada</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8FBE6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20.83 (19.13–22.53)</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265B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2.45 (2.27–2.64)</w:t>
            </w:r>
          </w:p>
        </w:tc>
      </w:tr>
      <w:tr w14:paraId="03B26AF2">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D091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Spain</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B257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41.18 (39.49–42.88)</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D347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20.94 (18.59–23.59)</w:t>
            </w:r>
          </w:p>
        </w:tc>
      </w:tr>
      <w:tr w14:paraId="5A78EE80">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583F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Italy</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85E3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22.27 (19.23–25.31)</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1D2F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4.41 (3.65–5.33)</w:t>
            </w:r>
          </w:p>
        </w:tc>
      </w:tr>
      <w:tr w14:paraId="39FC097B">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E529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Brazil</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703A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8.99 (7.68–10.29)</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7652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5.71 (4.74–6.88)</w:t>
            </w:r>
          </w:p>
        </w:tc>
      </w:tr>
      <w:tr w14:paraId="08FDC69E">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B739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China</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7A31C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26.50 (26.08–26.92)</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2DFB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3.35 (3.28–3.42)</w:t>
            </w:r>
          </w:p>
        </w:tc>
      </w:tr>
      <w:tr w14:paraId="343BAF23">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E5CD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Japan</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841B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7.62 (7.00–8.24)</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58EE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2.51 (2.34–2.69)</w:t>
            </w:r>
          </w:p>
        </w:tc>
      </w:tr>
      <w:tr w14:paraId="685DCAA3">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FCD8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India</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7B58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3.13 (2.37–3.90)</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9F535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8.32 (6.18–11.21)</w:t>
            </w:r>
          </w:p>
        </w:tc>
      </w:tr>
      <w:tr w14:paraId="43B40A04">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8323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Indonesia</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A7ECB">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szCs w:val="21"/>
              </w:rPr>
              <w:t xml:space="preserve">Not estimable </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CD959">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szCs w:val="21"/>
              </w:rPr>
              <w:t xml:space="preserve">Not estimable </w:t>
            </w:r>
          </w:p>
        </w:tc>
      </w:tr>
      <w:tr w14:paraId="7EC5EA18">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E29F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Other countries</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CEAD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25.00 (24.55–25.45)</w:t>
            </w:r>
          </w:p>
        </w:tc>
        <w:tc>
          <w:tcPr>
            <w:tcW w:w="2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C57C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8.46 (8.19–8.73)</w:t>
            </w:r>
          </w:p>
        </w:tc>
      </w:tr>
      <w:tr w14:paraId="28E4190F">
        <w:tblPrEx>
          <w:tblCellMar>
            <w:top w:w="0" w:type="dxa"/>
            <w:left w:w="108" w:type="dxa"/>
            <w:bottom w:w="0" w:type="dxa"/>
            <w:right w:w="108" w:type="dxa"/>
          </w:tblCellMar>
        </w:tblPrEx>
        <w:trPr>
          <w:cantSplit/>
          <w:trHeight w:val="283" w:hRule="atLeast"/>
          <w:jc w:val="center"/>
        </w:trPr>
        <w:tc>
          <w:tcPr>
            <w:tcW w:w="27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F7F175">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Joint test of interaction</w:t>
            </w:r>
          </w:p>
        </w:tc>
        <w:tc>
          <w:tcPr>
            <w:tcW w:w="33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A0479">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χ²(12) = 5,775.90, p &lt; 0.001</w:t>
            </w:r>
          </w:p>
        </w:tc>
        <w:tc>
          <w:tcPr>
            <w:tcW w:w="20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03A25">
            <w:pPr>
              <w:snapToGrid w:val="0"/>
              <w:spacing w:before="0" w:after="0" w:line="240" w:lineRule="auto"/>
              <w:jc w:val="center"/>
              <w:rPr>
                <w:rFonts w:hint="default" w:ascii="Times New Roman" w:hAnsi="Times New Roman" w:eastAsia="宋体" w:cs="Times New Roman"/>
                <w:szCs w:val="21"/>
              </w:rPr>
            </w:pPr>
          </w:p>
        </w:tc>
      </w:tr>
    </w:tbl>
    <w:p w14:paraId="24302A41">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AMEs are reported in percentage points. Each panel is estimated from a separate logit model including an interaction between elite doctoral education and the corresponding subgroup variable, with the same controls as Panel B. Robust standard errors are reported (N = 763,604). Indonesia is not estimable in Panel D3 because of perfect prediction.</w:t>
      </w:r>
    </w:p>
    <w:p w14:paraId="5101E764">
      <w:pPr>
        <w:widowControl/>
        <w:snapToGrid w:val="0"/>
        <w:spacing w:before="156" w:beforeLines="50" w:after="156" w:afterLines="50" w:line="288" w:lineRule="auto"/>
        <w:textAlignment w:val="center"/>
        <w:rPr>
          <w:rFonts w:hint="default" w:ascii="Times New Roman" w:hAnsi="Times New Roman" w:eastAsia="宋体" w:cs="Times New Roman"/>
          <w:b/>
          <w:sz w:val="24"/>
          <w:highlight w:val="cyan"/>
        </w:rPr>
      </w:pPr>
    </w:p>
    <w:p w14:paraId="61768C3A">
      <w:pPr>
        <w:widowControl/>
        <w:snapToGrid w:val="0"/>
        <w:spacing w:before="156" w:beforeLines="50" w:after="156" w:afterLines="50" w:line="288" w:lineRule="auto"/>
        <w:textAlignment w:val="center"/>
        <w:rPr>
          <w:rFonts w:hint="default" w:ascii="Times New Roman" w:hAnsi="Times New Roman" w:eastAsia="宋体" w:cs="Times New Roman"/>
          <w:b/>
          <w:sz w:val="24"/>
          <w:highlight w:val="cyan"/>
        </w:rPr>
      </w:pPr>
    </w:p>
    <w:p w14:paraId="539DDCE3">
      <w:pPr>
        <w:rPr>
          <w:rFonts w:hint="default" w:ascii="Times New Roman" w:hAnsi="Times New Roman" w:eastAsia="宋体" w:cs="Times New Roman"/>
          <w:b/>
          <w:sz w:val="24"/>
        </w:rPr>
      </w:pPr>
      <w:r>
        <w:rPr>
          <w:rFonts w:hint="default" w:ascii="Times New Roman" w:hAnsi="Times New Roman" w:eastAsia="宋体" w:cs="Times New Roman"/>
          <w:b/>
          <w:sz w:val="24"/>
        </w:rPr>
        <w:br w:type="page"/>
      </w:r>
    </w:p>
    <w:p w14:paraId="5F51F968">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5. Association between elite doctoral education and employment at an elite university in the OpenAlex sample</w:t>
      </w:r>
    </w:p>
    <w:p w14:paraId="263157CD">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Main logit model</w:t>
      </w:r>
    </w:p>
    <w:p w14:paraId="47056EB7">
      <w:pPr>
        <w:pStyle w:val="20"/>
        <w:widowControl/>
        <w:spacing w:line="300" w:lineRule="auto"/>
        <w:jc w:val="left"/>
        <w:rPr>
          <w:rFonts w:hint="default" w:ascii="Times New Roman" w:hAnsi="Times New Roman" w:cs="Times New Roman"/>
          <w:sz w:val="22"/>
          <w:szCs w:val="28"/>
        </w:rPr>
      </w:pPr>
      <w:r>
        <w:rPr>
          <w:rFonts w:hint="default" w:ascii="Times New Roman" w:hAnsi="Times New Roman" w:cs="Times New Roman"/>
          <w:sz w:val="22"/>
          <w:szCs w:val="28"/>
        </w:rPr>
        <w:t>N = 1,813,704; Pseudo R² = 0.0385; AME of elite doctorate = 6</w:t>
      </w:r>
      <w:r>
        <w:rPr>
          <w:rFonts w:hint="default" w:ascii="Times New Roman" w:hAnsi="Times New Roman" w:cs="Times New Roman"/>
          <w:sz w:val="22"/>
          <w:szCs w:val="28"/>
          <w:lang w:val="en-US" w:eastAsia="zh-CN"/>
        </w:rPr>
        <w:t>.</w:t>
      </w:r>
      <w:r>
        <w:rPr>
          <w:rFonts w:hint="default" w:ascii="Times New Roman" w:hAnsi="Times New Roman" w:cs="Times New Roman"/>
          <w:sz w:val="22"/>
          <w:szCs w:val="28"/>
        </w:rPr>
        <w:t>43</w:t>
      </w:r>
      <w:r>
        <w:rPr>
          <w:rFonts w:hint="default" w:ascii="Times New Roman" w:hAnsi="Times New Roman" w:cs="Times New Roman"/>
          <w:sz w:val="22"/>
          <w:szCs w:val="28"/>
          <w:lang w:val="en-US" w:eastAsia="zh-CN"/>
        </w:rPr>
        <w:t xml:space="preserve"> pp</w:t>
      </w:r>
      <w:r>
        <w:rPr>
          <w:rFonts w:hint="default" w:ascii="Times New Roman" w:hAnsi="Times New Roman" w:cs="Times New Roman"/>
          <w:sz w:val="22"/>
          <w:szCs w:val="28"/>
        </w:rPr>
        <w:t xml:space="preserve"> (p &lt; 0.001); OR = 1.32</w:t>
      </w:r>
    </w:p>
    <w:tbl>
      <w:tblPr>
        <w:tblStyle w:val="5"/>
        <w:tblW w:w="8131" w:type="dxa"/>
        <w:jc w:val="center"/>
        <w:tblLayout w:type="fixed"/>
        <w:tblCellMar>
          <w:top w:w="0" w:type="dxa"/>
          <w:left w:w="108" w:type="dxa"/>
          <w:bottom w:w="0" w:type="dxa"/>
          <w:right w:w="108" w:type="dxa"/>
        </w:tblCellMar>
      </w:tblPr>
      <w:tblGrid>
        <w:gridCol w:w="2353"/>
        <w:gridCol w:w="1245"/>
        <w:gridCol w:w="866"/>
        <w:gridCol w:w="967"/>
        <w:gridCol w:w="1011"/>
        <w:gridCol w:w="1689"/>
      </w:tblGrid>
      <w:tr w14:paraId="6377E33B">
        <w:tblPrEx>
          <w:tblCellMar>
            <w:top w:w="0" w:type="dxa"/>
            <w:left w:w="108" w:type="dxa"/>
            <w:bottom w:w="0" w:type="dxa"/>
            <w:right w:w="108" w:type="dxa"/>
          </w:tblCellMar>
        </w:tblPrEx>
        <w:trPr>
          <w:cantSplit/>
          <w:trHeight w:val="283" w:hRule="atLeast"/>
          <w:tblHeader/>
          <w:jc w:val="center"/>
        </w:trPr>
        <w:tc>
          <w:tcPr>
            <w:tcW w:w="2353"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F3BF641">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Variable</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63DEB3">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Coefficient</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379F4">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Robust SE</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64B95">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z</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76697">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p-value</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AAB25E">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95% CI</w:t>
            </w:r>
          </w:p>
        </w:tc>
      </w:tr>
      <w:tr w14:paraId="1A27CCDB">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4B680">
            <w:pPr>
              <w:widowControl/>
              <w:snapToGrid w:val="0"/>
              <w:spacing w:before="0" w:after="0" w:line="240" w:lineRule="auto"/>
              <w:jc w:val="left"/>
              <w:textAlignment w:val="center"/>
              <w:rPr>
                <w:rFonts w:hint="default" w:ascii="Times New Roman" w:hAnsi="Times New Roman" w:eastAsia="宋体" w:cs="Times New Roman"/>
                <w:bCs/>
                <w:szCs w:val="21"/>
              </w:rPr>
            </w:pPr>
            <w:r>
              <w:rPr>
                <w:rFonts w:hint="default" w:ascii="Times New Roman" w:hAnsi="Times New Roman" w:eastAsia="宋体" w:cs="Times New Roman"/>
                <w:b/>
                <w:kern w:val="0"/>
                <w:szCs w:val="21"/>
                <w:lang w:bidi="ar"/>
              </w:rPr>
              <w:t>Elite doctorate</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5F891">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0.279</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AED1F">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0.003</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44B5B">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86.05</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AF9F5">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44AF2">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[0.272, 0.285]</w:t>
            </w:r>
          </w:p>
        </w:tc>
      </w:tr>
      <w:tr w14:paraId="04D3E548">
        <w:tblPrEx>
          <w:tblCellMar>
            <w:top w:w="0" w:type="dxa"/>
            <w:left w:w="108" w:type="dxa"/>
            <w:bottom w:w="0" w:type="dxa"/>
            <w:right w:w="108" w:type="dxa"/>
          </w:tblCellMar>
        </w:tblPrEx>
        <w:trPr>
          <w:cantSplit/>
          <w:trHeight w:val="283" w:hRule="atLeast"/>
          <w:jc w:val="center"/>
        </w:trPr>
        <w:tc>
          <w:tcPr>
            <w:tcW w:w="813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12778436">
            <w:pPr>
              <w:snapToGrid w:val="0"/>
              <w:spacing w:before="0" w:after="0" w:line="240" w:lineRule="auto"/>
              <w:jc w:val="left"/>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Gender (ref: Male)</w:t>
            </w:r>
          </w:p>
        </w:tc>
      </w:tr>
      <w:tr w14:paraId="3058B5E6">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E4F8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Female</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20B9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0.014</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0E79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0.003</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832E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4.45</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4186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0D49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[0.008, 0.021]</w:t>
            </w:r>
          </w:p>
        </w:tc>
      </w:tr>
      <w:tr w14:paraId="4342F5EB">
        <w:tblPrEx>
          <w:tblCellMar>
            <w:top w:w="0" w:type="dxa"/>
            <w:left w:w="108" w:type="dxa"/>
            <w:bottom w:w="0" w:type="dxa"/>
            <w:right w:w="108" w:type="dxa"/>
          </w:tblCellMar>
        </w:tblPrEx>
        <w:trPr>
          <w:cantSplit/>
          <w:trHeight w:val="283" w:hRule="atLeast"/>
          <w:jc w:val="center"/>
        </w:trPr>
        <w:tc>
          <w:tcPr>
            <w:tcW w:w="813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35C5EB1">
            <w:pPr>
              <w:snapToGrid w:val="0"/>
              <w:spacing w:before="0" w:after="0" w:line="240" w:lineRule="auto"/>
              <w:jc w:val="left"/>
              <w:rPr>
                <w:rFonts w:hint="default" w:ascii="Times New Roman" w:hAnsi="Times New Roman" w:eastAsia="宋体" w:cs="Times New Roman"/>
                <w:szCs w:val="21"/>
              </w:rPr>
            </w:pPr>
            <w:r>
              <w:rPr>
                <w:rFonts w:hint="default" w:ascii="Times New Roman" w:hAnsi="Times New Roman" w:eastAsia="宋体" w:cs="Times New Roman"/>
                <w:bCs/>
                <w:kern w:val="0"/>
                <w:szCs w:val="21"/>
                <w:lang w:bidi="ar"/>
              </w:rPr>
              <w:t>Discipline (ref: Natural Sciences)</w:t>
            </w:r>
          </w:p>
        </w:tc>
      </w:tr>
      <w:tr w14:paraId="75EF02BF">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9309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Engineering</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834A0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−0.103</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F2BB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0.005</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787E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−20.67</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77AB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9A73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[−0.113, −0.094]</w:t>
            </w:r>
          </w:p>
        </w:tc>
      </w:tr>
      <w:tr w14:paraId="27C7F511">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942C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Medicine and Health</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98647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0.013</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5CD4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0.004</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B4351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3.03</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83853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0.002</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5761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[0.004, 0.021]</w:t>
            </w:r>
          </w:p>
        </w:tc>
      </w:tr>
      <w:tr w14:paraId="7EB0C880">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52BE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Social Sciences</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DCA1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−0.197</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7521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0.005</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452B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−37.08</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4D29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5BC16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[−0.208, −0.187]</w:t>
            </w:r>
          </w:p>
        </w:tc>
      </w:tr>
      <w:tr w14:paraId="6EADD940">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80C7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Applied Sciences</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3EF00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−0.056</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BB37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0.007</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261F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−7.63</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E779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A625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[−0.070, −0.041]</w:t>
            </w:r>
          </w:p>
        </w:tc>
      </w:tr>
      <w:tr w14:paraId="6CB66D14">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EF2E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Humanities</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8233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−0.197</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3424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0.011</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275D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−17.21</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B0CA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6A31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[−0.219, −0.174]</w:t>
            </w:r>
          </w:p>
        </w:tc>
      </w:tr>
      <w:tr w14:paraId="6FE26F92">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C81B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Mathematics and Computing</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2A11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−0.133</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753E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0.007</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DE40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−20.43</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E07C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ECDE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[−0.146, −0.120]</w:t>
            </w:r>
          </w:p>
        </w:tc>
      </w:tr>
      <w:tr w14:paraId="25BC82FC">
        <w:tblPrEx>
          <w:tblCellMar>
            <w:top w:w="0" w:type="dxa"/>
            <w:left w:w="108" w:type="dxa"/>
            <w:bottom w:w="0" w:type="dxa"/>
            <w:right w:w="108" w:type="dxa"/>
          </w:tblCellMar>
        </w:tblPrEx>
        <w:trPr>
          <w:cantSplit/>
          <w:trHeight w:val="283" w:hRule="atLeast"/>
          <w:jc w:val="center"/>
        </w:trPr>
        <w:tc>
          <w:tcPr>
            <w:tcW w:w="8131"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0DD29F97">
            <w:pPr>
              <w:snapToGrid w:val="0"/>
              <w:spacing w:before="0" w:after="0" w:line="240" w:lineRule="auto"/>
              <w:jc w:val="left"/>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Country (ref: United States)</w:t>
            </w:r>
          </w:p>
        </w:tc>
      </w:tr>
      <w:tr w14:paraId="3F5F12FF">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FF4D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United Kingdom</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D8DC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−0.009</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1A9F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0.009</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2BB2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−0.99</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CC36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0.324</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A70B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[−0.027, 0.009]</w:t>
            </w:r>
          </w:p>
        </w:tc>
      </w:tr>
      <w:tr w14:paraId="20BA9670">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00C1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France</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AF2DF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−0.269</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7EF1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0.009</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5B6D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−30.08</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E5EF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48FA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[−0.287, −0.252]</w:t>
            </w:r>
          </w:p>
        </w:tc>
      </w:tr>
      <w:tr w14:paraId="004E6DB9">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52CA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Germany</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5E1F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0.041</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DC2B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0.012</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6CA5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3.42</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4085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BB7A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[0.017, 0.065]</w:t>
            </w:r>
          </w:p>
        </w:tc>
      </w:tr>
      <w:tr w14:paraId="20E70C9A">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69CC6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Australia</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F772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0.742</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AC69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0.017</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85645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42.74</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F41C4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A3A8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[0.708, 0.776]</w:t>
            </w:r>
          </w:p>
        </w:tc>
      </w:tr>
      <w:tr w14:paraId="28D1F907">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53307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Canada</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66911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0.264</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AC90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0.012</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FE24D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21.69</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29CF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F423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[0.240, 0.288]</w:t>
            </w:r>
          </w:p>
        </w:tc>
      </w:tr>
      <w:tr w14:paraId="03391ED5">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293B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Spain</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3E0E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−0.247</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250F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0.010</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1E4F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−24.34</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47B7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7B4C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[−0.267, −0.227]</w:t>
            </w:r>
          </w:p>
        </w:tc>
      </w:tr>
      <w:tr w14:paraId="1D290A92">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A722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Italy</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D1C2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−0.559</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7587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0.011</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23CE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−50.08</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3588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2F57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[−0.580, −0.537]</w:t>
            </w:r>
          </w:p>
        </w:tc>
      </w:tr>
      <w:tr w14:paraId="7FB5AFE1">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5A1D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Brazil</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1A04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−0.958</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E2DCB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0.008</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E0AC3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−124.69</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08BE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6D2B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[−0.973, −0.943]</w:t>
            </w:r>
          </w:p>
        </w:tc>
      </w:tr>
      <w:tr w14:paraId="4D8D3910">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EC74A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China</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837C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−0.821</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AE2E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0.005</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4E731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−154.80</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B16B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D137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[−0.831, −0.811]</w:t>
            </w:r>
          </w:p>
        </w:tc>
      </w:tr>
      <w:tr w14:paraId="0AA9E7A4">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C766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Japan</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00D9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−1.334</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1CD0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0.009</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9B3D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−151.66</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AA52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52D6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[−1.351, −1.316]</w:t>
            </w:r>
          </w:p>
        </w:tc>
      </w:tr>
      <w:tr w14:paraId="6E22DBA4">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05EB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India</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A850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−1.122</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603D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0.009</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6970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−125.33</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B4BD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8E99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[−1.139, −1.104]</w:t>
            </w:r>
          </w:p>
        </w:tc>
      </w:tr>
      <w:tr w14:paraId="1E7FAA5F">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7B11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Indonesia</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BD78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−1.556</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66DF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0.019</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F8FA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−83.20</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8C37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C3F5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[−1.592, −1.519]</w:t>
            </w:r>
          </w:p>
        </w:tc>
      </w:tr>
      <w:tr w14:paraId="6CA53016">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806B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Other countries</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1F23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−0.719</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063A6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0.005</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7395E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−146.06</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208D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B0E5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[−0.729, −0.710]</w:t>
            </w:r>
          </w:p>
        </w:tc>
      </w:tr>
      <w:tr w14:paraId="0E556D97">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C175CF">
            <w:pPr>
              <w:widowControl/>
              <w:snapToGrid w:val="0"/>
              <w:spacing w:before="0" w:after="0" w:line="240" w:lineRule="auto"/>
              <w:jc w:val="left"/>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Year (centered at 2000)</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9EC3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0.003</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B25C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EC22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16.33</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BEAA5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428E1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w:t>
            </w:r>
            <w:r>
              <w:rPr>
                <w:rFonts w:hint="default" w:ascii="Times New Roman" w:hAnsi="Times New Roman" w:eastAsia="宋体" w:cs="Times New Roman"/>
                <w:kern w:val="0"/>
                <w:szCs w:val="21"/>
                <w:lang w:val="en-US" w:eastAsia="zh-CN" w:bidi="ar"/>
              </w:rPr>
              <w:t>3</w:t>
            </w:r>
            <w:r>
              <w:rPr>
                <w:rFonts w:hint="default" w:ascii="Times New Roman" w:hAnsi="Times New Roman" w:eastAsia="宋体" w:cs="Times New Roman"/>
                <w:kern w:val="0"/>
                <w:szCs w:val="21"/>
                <w:lang w:bidi="ar"/>
              </w:rPr>
              <w:t>, 0.00</w:t>
            </w:r>
            <w:r>
              <w:rPr>
                <w:rFonts w:hint="default" w:ascii="Times New Roman" w:hAnsi="Times New Roman" w:eastAsia="宋体" w:cs="Times New Roman"/>
                <w:kern w:val="0"/>
                <w:szCs w:val="21"/>
                <w:lang w:val="en-US" w:eastAsia="zh-CN" w:bidi="ar"/>
              </w:rPr>
              <w:t>4</w:t>
            </w:r>
            <w:r>
              <w:rPr>
                <w:rFonts w:hint="default" w:ascii="Times New Roman" w:hAnsi="Times New Roman" w:eastAsia="宋体" w:cs="Times New Roman"/>
                <w:kern w:val="0"/>
                <w:szCs w:val="21"/>
                <w:lang w:bidi="ar"/>
              </w:rPr>
              <w:t>]</w:t>
            </w:r>
          </w:p>
        </w:tc>
      </w:tr>
      <w:tr w14:paraId="7699E0D5">
        <w:tblPrEx>
          <w:tblCellMar>
            <w:top w:w="0" w:type="dxa"/>
            <w:left w:w="108" w:type="dxa"/>
            <w:bottom w:w="0" w:type="dxa"/>
            <w:right w:w="108" w:type="dxa"/>
          </w:tblCellMar>
        </w:tblPrEx>
        <w:trPr>
          <w:cantSplit/>
          <w:trHeight w:val="283" w:hRule="atLeast"/>
          <w:jc w:val="center"/>
        </w:trPr>
        <w:tc>
          <w:tcPr>
            <w:tcW w:w="23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B205E">
            <w:pPr>
              <w:widowControl/>
              <w:snapToGrid w:val="0"/>
              <w:spacing w:before="0" w:after="0" w:line="240" w:lineRule="auto"/>
              <w:jc w:val="left"/>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Constant</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7A66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0.806</w:t>
            </w:r>
          </w:p>
        </w:tc>
        <w:tc>
          <w:tcPr>
            <w:tcW w:w="8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E97A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0.006</w:t>
            </w:r>
          </w:p>
        </w:tc>
        <w:tc>
          <w:tcPr>
            <w:tcW w:w="9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F1A16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138.92</w:t>
            </w:r>
          </w:p>
        </w:tc>
        <w:tc>
          <w:tcPr>
            <w:tcW w:w="10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587B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2DCC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[0.795, 0.817]</w:t>
            </w:r>
          </w:p>
        </w:tc>
      </w:tr>
    </w:tbl>
    <w:p w14:paraId="14AEE7D7">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The dependent variable equals one for employment at a Top 500 university. An elite doctorate indicates a doctoral degree obtained from a Top 500 university. Male, Natural Sciences, and the United States are the reference categories. The sample is restricted to observations with nonmissing elite-position status, elite-doctorate status, gender, discipline, employment country, and a doctoral completion year between 1985 and 2023. Year is centered at 2000. Robust standard errors are reported.</w:t>
      </w:r>
    </w:p>
    <w:p w14:paraId="42A746E7">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Heterogeneity estimates</w:t>
      </w:r>
    </w:p>
    <w:tbl>
      <w:tblPr>
        <w:tblStyle w:val="5"/>
        <w:tblW w:w="7653" w:type="dxa"/>
        <w:jc w:val="center"/>
        <w:tblLayout w:type="fixed"/>
        <w:tblCellMar>
          <w:top w:w="0" w:type="dxa"/>
          <w:left w:w="108" w:type="dxa"/>
          <w:bottom w:w="0" w:type="dxa"/>
          <w:right w:w="108" w:type="dxa"/>
        </w:tblCellMar>
      </w:tblPr>
      <w:tblGrid>
        <w:gridCol w:w="2342"/>
        <w:gridCol w:w="3388"/>
        <w:gridCol w:w="1923"/>
      </w:tblGrid>
      <w:tr w14:paraId="689C404F">
        <w:tblPrEx>
          <w:tblCellMar>
            <w:top w:w="0" w:type="dxa"/>
            <w:left w:w="108" w:type="dxa"/>
            <w:bottom w:w="0" w:type="dxa"/>
            <w:right w:w="108" w:type="dxa"/>
          </w:tblCellMar>
        </w:tblPrEx>
        <w:trPr>
          <w:cantSplit/>
          <w:trHeight w:val="283" w:hRule="atLeast"/>
          <w:tblHeader/>
          <w:jc w:val="center"/>
        </w:trPr>
        <w:tc>
          <w:tcPr>
            <w:tcW w:w="2342"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60A5A72">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Subgroup</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1EDA68">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AME, percentage points (95% CI)</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75EA7">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OR (95% CI)</w:t>
            </w:r>
          </w:p>
        </w:tc>
      </w:tr>
      <w:tr w14:paraId="502B92AC">
        <w:tblPrEx>
          <w:tblCellMar>
            <w:top w:w="0" w:type="dxa"/>
            <w:left w:w="108" w:type="dxa"/>
            <w:bottom w:w="0" w:type="dxa"/>
            <w:right w:w="108" w:type="dxa"/>
          </w:tblCellMar>
        </w:tblPrEx>
        <w:trPr>
          <w:cantSplit/>
          <w:trHeight w:val="283" w:hRule="atLeast"/>
          <w:jc w:val="center"/>
        </w:trPr>
        <w:tc>
          <w:tcPr>
            <w:tcW w:w="765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F7569CE">
            <w:pPr>
              <w:snapToGrid w:val="0"/>
              <w:spacing w:before="0" w:after="0" w:line="240" w:lineRule="auto"/>
              <w:jc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B1</w:t>
            </w:r>
            <w:r>
              <w:rPr>
                <w:rFonts w:hint="default" w:ascii="Times New Roman" w:hAnsi="Times New Roman" w:eastAsia="宋体" w:cs="Times New Roman"/>
                <w:b/>
                <w:kern w:val="0"/>
                <w:szCs w:val="21"/>
                <w:lang w:bidi="ar"/>
              </w:rPr>
              <w:t>. Gender</w:t>
            </w:r>
          </w:p>
        </w:tc>
      </w:tr>
      <w:tr w14:paraId="3126BFA3">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99C4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Male</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9A6B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6.80 (6.61–7.00)</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E74E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1.34 (1.33–1.36)</w:t>
            </w:r>
          </w:p>
        </w:tc>
      </w:tr>
      <w:tr w14:paraId="18FEF479">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479C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Female</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38EA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5.91 (5.69–6.14)</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DDDE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1.29 (1.28–1.30)</w:t>
            </w:r>
          </w:p>
        </w:tc>
      </w:tr>
      <w:tr w14:paraId="49BA6A50">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E15EC">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Joint test of interaction</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61B43">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χ²(1) = 38.47, p &lt; 0.001</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D0E4D">
            <w:pPr>
              <w:snapToGrid w:val="0"/>
              <w:spacing w:before="0" w:after="0" w:line="240" w:lineRule="auto"/>
              <w:jc w:val="center"/>
              <w:rPr>
                <w:rFonts w:hint="default" w:ascii="Times New Roman" w:hAnsi="Times New Roman" w:eastAsia="宋体" w:cs="Times New Roman"/>
                <w:szCs w:val="21"/>
              </w:rPr>
            </w:pPr>
          </w:p>
        </w:tc>
      </w:tr>
      <w:tr w14:paraId="7C915F64">
        <w:tblPrEx>
          <w:tblCellMar>
            <w:top w:w="0" w:type="dxa"/>
            <w:left w:w="108" w:type="dxa"/>
            <w:bottom w:w="0" w:type="dxa"/>
            <w:right w:w="108" w:type="dxa"/>
          </w:tblCellMar>
        </w:tblPrEx>
        <w:trPr>
          <w:cantSplit/>
          <w:trHeight w:val="283" w:hRule="atLeast"/>
          <w:jc w:val="center"/>
        </w:trPr>
        <w:tc>
          <w:tcPr>
            <w:tcW w:w="765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62B8550">
            <w:pPr>
              <w:snapToGrid w:val="0"/>
              <w:spacing w:before="0" w:after="0" w:line="240" w:lineRule="auto"/>
              <w:jc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Panel B</w:t>
            </w:r>
            <w:r>
              <w:rPr>
                <w:rFonts w:hint="default" w:ascii="Times New Roman" w:hAnsi="Times New Roman" w:eastAsia="宋体" w:cs="Times New Roman"/>
                <w:b/>
                <w:kern w:val="0"/>
                <w:szCs w:val="21"/>
                <w:lang w:val="en-US" w:eastAsia="zh-CN" w:bidi="ar"/>
              </w:rPr>
              <w:t>2</w:t>
            </w:r>
            <w:r>
              <w:rPr>
                <w:rFonts w:hint="default" w:ascii="Times New Roman" w:hAnsi="Times New Roman" w:eastAsia="宋体" w:cs="Times New Roman"/>
                <w:b/>
                <w:kern w:val="0"/>
                <w:szCs w:val="21"/>
                <w:lang w:bidi="ar"/>
              </w:rPr>
              <w:t>. Discipline</w:t>
            </w:r>
          </w:p>
        </w:tc>
      </w:tr>
      <w:tr w14:paraId="7559D7B0">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453E1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Natural Sciences</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11AE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6.12 (5.85–6.40)</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6B8C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1.31 (1.29–1.32)</w:t>
            </w:r>
          </w:p>
        </w:tc>
      </w:tr>
      <w:tr w14:paraId="453E5D68">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4924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Engineering</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9260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5.07 (4.69–5.45)</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745D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1.24 (1.22–1.26)</w:t>
            </w:r>
          </w:p>
        </w:tc>
      </w:tr>
      <w:tr w14:paraId="61DE4C86">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76D2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Medicine and Health</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CB52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7.04 (6.78–7.31)</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12CF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1.37 (1.35–1.38)</w:t>
            </w:r>
          </w:p>
        </w:tc>
      </w:tr>
      <w:tr w14:paraId="59BF6820">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8585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Social Sciences</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C81A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6.83 (6.42–7.24)</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E8F8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1.34 (1.32–1.36)</w:t>
            </w:r>
          </w:p>
        </w:tc>
      </w:tr>
      <w:tr w14:paraId="3AFB6671">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8A28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Applied Sciences</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910F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6.00 (5.36–6.64)</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DE60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1.29 (1.25–1.32)</w:t>
            </w:r>
          </w:p>
        </w:tc>
      </w:tr>
      <w:tr w14:paraId="62F496A0">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1661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Humanities</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75CF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8.22 (7.19–9.24)</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DD0D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1.42 (1.36–1.49)</w:t>
            </w:r>
          </w:p>
        </w:tc>
      </w:tr>
      <w:tr w14:paraId="5F5C1B3B">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CA9F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Mathematics and Computing</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43E7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7.15 (6.60–7.70)</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4D3B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1.35 (1.32–1.39)</w:t>
            </w:r>
          </w:p>
        </w:tc>
      </w:tr>
      <w:tr w14:paraId="067F6F97">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74C71">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Joint test of interaction</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C1636F">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χ²(6) = 126.84, p &lt; 0.001</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250F6">
            <w:pPr>
              <w:snapToGrid w:val="0"/>
              <w:spacing w:before="0" w:after="0" w:line="240" w:lineRule="auto"/>
              <w:jc w:val="center"/>
              <w:rPr>
                <w:rFonts w:hint="default" w:ascii="Times New Roman" w:hAnsi="Times New Roman" w:eastAsia="宋体" w:cs="Times New Roman"/>
                <w:szCs w:val="21"/>
              </w:rPr>
            </w:pPr>
          </w:p>
        </w:tc>
      </w:tr>
      <w:tr w14:paraId="278B6FE4">
        <w:tblPrEx>
          <w:tblCellMar>
            <w:top w:w="0" w:type="dxa"/>
            <w:left w:w="108" w:type="dxa"/>
            <w:bottom w:w="0" w:type="dxa"/>
            <w:right w:w="108" w:type="dxa"/>
          </w:tblCellMar>
        </w:tblPrEx>
        <w:trPr>
          <w:cantSplit/>
          <w:trHeight w:val="283" w:hRule="atLeast"/>
          <w:jc w:val="center"/>
        </w:trPr>
        <w:tc>
          <w:tcPr>
            <w:tcW w:w="765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2A9A210">
            <w:pPr>
              <w:snapToGrid w:val="0"/>
              <w:spacing w:before="0" w:after="0" w:line="240" w:lineRule="auto"/>
              <w:jc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B3</w:t>
            </w:r>
            <w:r>
              <w:rPr>
                <w:rFonts w:hint="default" w:ascii="Times New Roman" w:hAnsi="Times New Roman" w:eastAsia="宋体" w:cs="Times New Roman"/>
                <w:b/>
                <w:kern w:val="0"/>
                <w:szCs w:val="21"/>
                <w:lang w:bidi="ar"/>
              </w:rPr>
              <w:t>. Employment country</w:t>
            </w:r>
          </w:p>
        </w:tc>
      </w:tr>
      <w:tr w14:paraId="3E888D14">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EEC6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United States</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4915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9.89 (9.53–10.25)</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E73F9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1.62 (1.59–1.65)</w:t>
            </w:r>
          </w:p>
        </w:tc>
      </w:tr>
      <w:tr w14:paraId="6CB4B231">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DC85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United Kingdom</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78F7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5.12 (4.39–5.85)</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1B70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1.29 (1.24–1.33)</w:t>
            </w:r>
          </w:p>
        </w:tc>
      </w:tr>
      <w:tr w14:paraId="5F79F107">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DA087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France</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CBB9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1.11 (0.38–1.85)</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4B79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1.05 (1.02–1.09)</w:t>
            </w:r>
          </w:p>
        </w:tc>
      </w:tr>
      <w:tr w14:paraId="55EFEB4A">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16BD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Germany</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AD0B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3.34 (2.36–4.32)</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13AC8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1.18 (1.13–1.24)</w:t>
            </w:r>
          </w:p>
        </w:tc>
      </w:tr>
      <w:tr w14:paraId="3F7C2241">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4D64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Australia</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A239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−0.97 (−1.92–−0.01)</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F78FA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0.93 (0.86–1.00)</w:t>
            </w:r>
          </w:p>
        </w:tc>
      </w:tr>
      <w:tr w14:paraId="1E29F8CB">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5466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Canada</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DF10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1.01 (0.15–1.88)</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7AA2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1.06 (1.01–1.11)</w:t>
            </w:r>
          </w:p>
        </w:tc>
      </w:tr>
      <w:tr w14:paraId="27203D1A">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1D73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Spain</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78F0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−0.54 (−1.40–0.32)</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0D557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0.98 (0.94–1.01)</w:t>
            </w:r>
          </w:p>
        </w:tc>
      </w:tr>
      <w:tr w14:paraId="5B789A59">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79DD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Italy</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A299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−0.16 (−1.18–0.85)</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E7ACA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0.99 (0.95–1.04)</w:t>
            </w:r>
          </w:p>
        </w:tc>
      </w:tr>
      <w:tr w14:paraId="19EDDE69">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D1F0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Brazil</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3022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6.65 (6.02–7.29)</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AC7C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1.31 (1.27–1.34)</w:t>
            </w:r>
          </w:p>
        </w:tc>
      </w:tr>
      <w:tr w14:paraId="3B6121F6">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2E6D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China</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416F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3.52 (3.20–3.84)</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88B6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1.15 (1.14–1.17)</w:t>
            </w:r>
          </w:p>
        </w:tc>
      </w:tr>
      <w:tr w14:paraId="76C2FAA6">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D8FB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Japan</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1AA8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3.89 (3.17–4.61)</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1AC58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1.18 (1.14–1.21)</w:t>
            </w:r>
          </w:p>
        </w:tc>
      </w:tr>
      <w:tr w14:paraId="304B3CB5">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47F3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India</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1999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2.39 (1.62–3.16)</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690DB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1.10 (1.07–1.14)</w:t>
            </w:r>
          </w:p>
        </w:tc>
      </w:tr>
      <w:tr w14:paraId="61F54678">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D86A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Indonesia</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7AA8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−3.05 (−4.65–−1.44)</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4E4D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0.87 (0.81–0.94)</w:t>
            </w:r>
          </w:p>
        </w:tc>
      </w:tr>
      <w:tr w14:paraId="5A7C4B85">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6664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Other countries</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84BB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11.19 (10.90–11.47)</w:t>
            </w:r>
          </w:p>
        </w:tc>
        <w:tc>
          <w:tcPr>
            <w:tcW w:w="1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AF56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1.58 (1.56–1.59)</w:t>
            </w:r>
          </w:p>
        </w:tc>
      </w:tr>
      <w:tr w14:paraId="7BADB100">
        <w:tblPrEx>
          <w:tblCellMar>
            <w:top w:w="0" w:type="dxa"/>
            <w:left w:w="108" w:type="dxa"/>
            <w:bottom w:w="0" w:type="dxa"/>
            <w:right w:w="108" w:type="dxa"/>
          </w:tblCellMar>
        </w:tblPrEx>
        <w:trPr>
          <w:cantSplit/>
          <w:trHeight w:val="283" w:hRule="atLeast"/>
          <w:jc w:val="center"/>
        </w:trPr>
        <w:tc>
          <w:tcPr>
            <w:tcW w:w="23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6C4D2">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Joint test of interaction</w:t>
            </w:r>
          </w:p>
        </w:tc>
        <w:tc>
          <w:tcPr>
            <w:tcW w:w="33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B6E72">
            <w:pPr>
              <w:widowControl/>
              <w:snapToGrid w:val="0"/>
              <w:spacing w:before="0" w:after="0" w:line="240" w:lineRule="auto"/>
              <w:jc w:val="center"/>
              <w:textAlignment w:val="center"/>
              <w:rPr>
                <w:rFonts w:hint="default" w:ascii="Times New Roman" w:hAnsi="Times New Roman" w:eastAsia="宋体" w:cs="Times New Roman"/>
                <w:bCs/>
                <w:szCs w:val="21"/>
              </w:rPr>
            </w:pPr>
            <w:r>
              <w:rPr>
                <w:rFonts w:hint="default" w:ascii="Times New Roman" w:hAnsi="Times New Roman" w:eastAsia="宋体" w:cs="Times New Roman"/>
                <w:bCs/>
                <w:kern w:val="0"/>
                <w:szCs w:val="21"/>
                <w:lang w:bidi="ar"/>
              </w:rPr>
              <w:t>χ²(13) = 2,975.20, p &lt; 0.001</w:t>
            </w:r>
          </w:p>
        </w:tc>
        <w:tc>
          <w:tcPr>
            <w:tcW w:w="1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F0678">
            <w:pPr>
              <w:snapToGrid w:val="0"/>
              <w:spacing w:before="0" w:after="0" w:line="240" w:lineRule="auto"/>
              <w:jc w:val="center"/>
              <w:rPr>
                <w:rFonts w:hint="default" w:ascii="Times New Roman" w:hAnsi="Times New Roman" w:eastAsia="宋体" w:cs="Times New Roman"/>
                <w:szCs w:val="21"/>
              </w:rPr>
            </w:pPr>
          </w:p>
        </w:tc>
      </w:tr>
    </w:tbl>
    <w:p w14:paraId="73666C6A">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AMEs are reported in percentage points. Each panel is estimated from a separate logit model including an interaction between elite doctoral education and the corresponding subgroup variable, with the same controls as Panel A. Robust standard errors are reported (N = 1,813,704).</w:t>
      </w:r>
    </w:p>
    <w:p w14:paraId="319B000E">
      <w:pPr>
        <w:pStyle w:val="4"/>
        <w:widowControl/>
        <w:spacing w:beforeAutospacing="0" w:afterAutospacing="0"/>
        <w:jc w:val="both"/>
        <w:rPr>
          <w:rFonts w:hint="default" w:ascii="Times New Roman" w:hAnsi="Times New Roman" w:cs="Times New Roman"/>
          <w:kern w:val="2"/>
          <w:sz w:val="20"/>
          <w:szCs w:val="20"/>
        </w:rPr>
      </w:pPr>
    </w:p>
    <w:p w14:paraId="38EA8385">
      <w:pPr>
        <w:rPr>
          <w:rFonts w:hint="default" w:ascii="Times New Roman" w:hAnsi="Times New Roman" w:cs="Times New Roman"/>
          <w:b/>
          <w:bCs/>
          <w:szCs w:val="21"/>
          <w:highlight w:val="cyan"/>
        </w:rPr>
      </w:pPr>
    </w:p>
    <w:p w14:paraId="51E620CF">
      <w:pPr>
        <w:rPr>
          <w:rFonts w:hint="default" w:ascii="Times New Roman" w:hAnsi="Times New Roman" w:cs="Times New Roman"/>
          <w:b/>
          <w:bCs/>
          <w:sz w:val="24"/>
          <w:szCs w:val="32"/>
        </w:rPr>
      </w:pPr>
      <w:r>
        <w:rPr>
          <w:rFonts w:hint="default" w:ascii="Times New Roman" w:hAnsi="Times New Roman" w:cs="Times New Roman"/>
          <w:b/>
          <w:bCs/>
          <w:sz w:val="24"/>
          <w:szCs w:val="32"/>
        </w:rPr>
        <w:br w:type="page"/>
      </w:r>
    </w:p>
    <w:p w14:paraId="5CD04155">
      <w:pPr>
        <w:pStyle w:val="4"/>
        <w:widowControl/>
        <w:spacing w:beforeAutospacing="0" w:afterAutospacing="0" w:line="300" w:lineRule="auto"/>
        <w:ind w:firstLine="420"/>
        <w:jc w:val="both"/>
        <w:rPr>
          <w:rFonts w:hint="default" w:ascii="Times New Roman" w:hAnsi="Times New Roman" w:eastAsia="宋体" w:cs="Times New Roman"/>
          <w:b w:val="0"/>
          <w:i w:val="0"/>
          <w:szCs w:val="32"/>
          <w:lang w:eastAsia="zh-CN"/>
        </w:rPr>
      </w:pPr>
      <w:r>
        <w:rPr>
          <w:rFonts w:hint="default" w:ascii="Times New Roman" w:hAnsi="Times New Roman" w:eastAsia="宋体" w:cs="Times New Roman"/>
          <w:b w:val="0"/>
          <w:i w:val="0"/>
          <w:szCs w:val="32"/>
          <w:lang w:eastAsia="zh-CN"/>
        </w:rPr>
        <w:t>Appendix Tables 6 and 7 report the main and subgroup estimates for the LinkedIn corporate and Chinese listed-company executive samples, respectively. The LinkedIn analysis examines variation by gender, industry, and country, whereas the Chinese listed-company analysis examines variation by gender and industry.</w:t>
      </w:r>
    </w:p>
    <w:p w14:paraId="228C3A9C">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6. Association between elite undergraduate education and attainment of a senior corporate position in the LinkedIn corporate sample</w:t>
      </w:r>
    </w:p>
    <w:p w14:paraId="491A7D8E">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Main logit model</w:t>
      </w:r>
    </w:p>
    <w:p w14:paraId="56569D52">
      <w:pPr>
        <w:pStyle w:val="20"/>
        <w:widowControl/>
        <w:rPr>
          <w:rFonts w:hint="default" w:ascii="Times New Roman" w:hAnsi="Times New Roman" w:cs="Times New Roman"/>
          <w:sz w:val="22"/>
          <w:szCs w:val="28"/>
        </w:rPr>
      </w:pPr>
      <w:r>
        <w:rPr>
          <w:rFonts w:hint="default" w:ascii="Times New Roman" w:hAnsi="Times New Roman" w:cs="Times New Roman"/>
          <w:sz w:val="22"/>
          <w:szCs w:val="28"/>
        </w:rPr>
        <w:t>N = 44,101,513; Pseudo R² = 0.0416; AME of elite bachelor’s degree = 0.21</w:t>
      </w:r>
      <w:r>
        <w:rPr>
          <w:rFonts w:hint="default" w:ascii="Times New Roman" w:hAnsi="Times New Roman" w:cs="Times New Roman"/>
          <w:sz w:val="22"/>
          <w:szCs w:val="28"/>
          <w:lang w:val="en-US" w:eastAsia="zh-CN"/>
        </w:rPr>
        <w:t xml:space="preserve"> pp</w:t>
      </w:r>
      <w:r>
        <w:rPr>
          <w:rFonts w:hint="default" w:ascii="Times New Roman" w:hAnsi="Times New Roman" w:cs="Times New Roman"/>
          <w:sz w:val="22"/>
          <w:szCs w:val="28"/>
        </w:rPr>
        <w:t xml:space="preserve"> (p &lt; 0.001); OR = 1.12</w:t>
      </w:r>
    </w:p>
    <w:tbl>
      <w:tblPr>
        <w:tblStyle w:val="5"/>
        <w:tblW w:w="8489" w:type="dxa"/>
        <w:jc w:val="center"/>
        <w:tblLayout w:type="fixed"/>
        <w:tblCellMar>
          <w:top w:w="0" w:type="dxa"/>
          <w:left w:w="108" w:type="dxa"/>
          <w:bottom w:w="0" w:type="dxa"/>
          <w:right w:w="108" w:type="dxa"/>
        </w:tblCellMar>
      </w:tblPr>
      <w:tblGrid>
        <w:gridCol w:w="2558"/>
        <w:gridCol w:w="1199"/>
        <w:gridCol w:w="960"/>
        <w:gridCol w:w="969"/>
        <w:gridCol w:w="1016"/>
        <w:gridCol w:w="1787"/>
      </w:tblGrid>
      <w:tr w14:paraId="46120909">
        <w:tblPrEx>
          <w:tblCellMar>
            <w:top w:w="0" w:type="dxa"/>
            <w:left w:w="108" w:type="dxa"/>
            <w:bottom w:w="0" w:type="dxa"/>
            <w:right w:w="108" w:type="dxa"/>
          </w:tblCellMar>
        </w:tblPrEx>
        <w:trPr>
          <w:cantSplit/>
          <w:trHeight w:val="284" w:hRule="atLeast"/>
          <w:tblHeader/>
          <w:jc w:val="center"/>
        </w:trPr>
        <w:tc>
          <w:tcPr>
            <w:tcW w:w="2558"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2A2A4DB1">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Variable</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E55FD2B">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Coefficient</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E4D28D1">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Robust SE</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ABDA7C3">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z</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7FE6909">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p-value</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DB7942E">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95% CI</w:t>
            </w:r>
          </w:p>
        </w:tc>
      </w:tr>
      <w:tr w14:paraId="02D8F54D">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FA50CF4">
            <w:pPr>
              <w:widowControl/>
              <w:snapToGrid w:val="0"/>
              <w:spacing w:before="0" w:after="0" w:line="240" w:lineRule="auto"/>
              <w:jc w:val="left"/>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Elite bachelor’s degree</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38DC32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0.113</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8B4A75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0.003</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29362C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43.19</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F42E45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08B94B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[0.108, 0.118]</w:t>
            </w:r>
          </w:p>
        </w:tc>
      </w:tr>
      <w:tr w14:paraId="1A11AFD2">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DCE3A62">
            <w:pPr>
              <w:widowControl/>
              <w:snapToGrid w:val="0"/>
              <w:spacing w:before="0" w:after="0" w:line="240" w:lineRule="auto"/>
              <w:jc w:val="left"/>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Elite master’s degree</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4BAE02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0.130</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8475E3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0.003</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A0CDBF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51.32</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4DB456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EEE63D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[0.125, 0.135]</w:t>
            </w:r>
          </w:p>
        </w:tc>
      </w:tr>
      <w:tr w14:paraId="58908AC8">
        <w:tblPrEx>
          <w:tblCellMar>
            <w:top w:w="0" w:type="dxa"/>
            <w:left w:w="108" w:type="dxa"/>
            <w:bottom w:w="0" w:type="dxa"/>
            <w:right w:w="108" w:type="dxa"/>
          </w:tblCellMar>
        </w:tblPrEx>
        <w:trPr>
          <w:cantSplit/>
          <w:trHeight w:val="284" w:hRule="atLeast"/>
          <w:jc w:val="center"/>
        </w:trPr>
        <w:tc>
          <w:tcPr>
            <w:tcW w:w="8489" w:type="dxa"/>
            <w:gridSpan w:val="6"/>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80D2EF0">
            <w:pPr>
              <w:widowControl/>
              <w:snapToGrid w:val="0"/>
              <w:spacing w:before="0" w:after="0" w:line="240" w:lineRule="auto"/>
              <w:jc w:val="left"/>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b/>
                <w:bCs/>
                <w:kern w:val="0"/>
                <w:szCs w:val="21"/>
                <w:lang w:bidi="ar"/>
              </w:rPr>
              <w:t>Gender (ref: Male)</w:t>
            </w:r>
          </w:p>
        </w:tc>
      </w:tr>
      <w:tr w14:paraId="0159367D">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23C5DC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kern w:val="0"/>
                <w:szCs w:val="21"/>
                <w:lang w:bidi="ar"/>
              </w:rPr>
              <w:t>Female</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85FC98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−0.497</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B696D5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0.002</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3591BF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−209.42</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BDE264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37F347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[−0.502, −0.492]</w:t>
            </w:r>
          </w:p>
        </w:tc>
      </w:tr>
      <w:tr w14:paraId="4E1EBA63">
        <w:tblPrEx>
          <w:tblCellMar>
            <w:top w:w="0" w:type="dxa"/>
            <w:left w:w="108" w:type="dxa"/>
            <w:bottom w:w="0" w:type="dxa"/>
            <w:right w:w="108" w:type="dxa"/>
          </w:tblCellMar>
        </w:tblPrEx>
        <w:trPr>
          <w:cantSplit/>
          <w:trHeight w:val="284" w:hRule="atLeast"/>
          <w:jc w:val="center"/>
        </w:trPr>
        <w:tc>
          <w:tcPr>
            <w:tcW w:w="8489" w:type="dxa"/>
            <w:gridSpan w:val="6"/>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A0CE3C0">
            <w:pPr>
              <w:snapToGrid w:val="0"/>
              <w:spacing w:before="0" w:after="0" w:line="240" w:lineRule="auto"/>
              <w:jc w:val="left"/>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Industry (ref: Agriculture)</w:t>
            </w:r>
          </w:p>
        </w:tc>
      </w:tr>
      <w:tr w14:paraId="6800099F">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D3A06F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Accommodation and food services</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E4CA29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−0.665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D5996F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0.029</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0CB39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−22.91</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6ED9BD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FFCBB4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[−0.722, −0.608]</w:t>
            </w:r>
          </w:p>
        </w:tc>
      </w:tr>
      <w:tr w14:paraId="08150FFC">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C05362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Administrative and support services</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8D37A5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−0.046</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0FEE1A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0.027</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E050CB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−1.70</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DB97A8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0.088</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21CE3A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[−0.099, 0.007]</w:t>
            </w:r>
          </w:p>
        </w:tc>
      </w:tr>
      <w:tr w14:paraId="6168E3F8">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53C3B2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Arts and entertainment</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5EBFC0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−0.709</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7E438A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0.029</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91C40D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−24.76</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E905FB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3D6AAA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[−0.765, −0.652]</w:t>
            </w:r>
          </w:p>
        </w:tc>
      </w:tr>
      <w:tr w14:paraId="35B2CE7A">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D0BC71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Construction</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6592DE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−0.101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D4D59C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0.028</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902FB0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−3.57</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542F64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87B9CC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[−0.157, −0.046]</w:t>
            </w:r>
          </w:p>
        </w:tc>
      </w:tr>
      <w:tr w14:paraId="45B9E85F">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8C33E7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Education</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7E5775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−1.163</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730C46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0.026</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5E32E8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−44.33</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B4B436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B7691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[−1.214, −1.112]</w:t>
            </w:r>
          </w:p>
        </w:tc>
      </w:tr>
      <w:tr w14:paraId="614BD674">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9314A9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Finance</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5095B7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0.453</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5FBFF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0.026</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B9F183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17.32</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C884F3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7A05A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[0.402, 0.504]</w:t>
            </w:r>
          </w:p>
        </w:tc>
      </w:tr>
      <w:tr w14:paraId="7EBD3746">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1ECED0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Health care</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78D091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0.062</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236D9A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0.026</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F390A3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2.37</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B6B246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0.018</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4C0A10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[0.011, 0.114]</w:t>
            </w:r>
          </w:p>
        </w:tc>
      </w:tr>
      <w:tr w14:paraId="46EBC895">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ADAFA8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Information</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CB0396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0.359</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F1B9F0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0.026</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406422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13.76</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D22F98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0A1F74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[0.308, 0.411]</w:t>
            </w:r>
          </w:p>
        </w:tc>
      </w:tr>
      <w:tr w14:paraId="67A34197">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AD0A19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Management</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720C62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0.491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A38B38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0.045</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57A0F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11.03</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723CBB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690C8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[0.404, 0.578]</w:t>
            </w:r>
          </w:p>
        </w:tc>
      </w:tr>
      <w:tr w14:paraId="3785FFA7">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48EE4B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Manufacturing</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0172D9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0.110</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B61A40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0.026</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0E6933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4.23</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EEEAA5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64280A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[0.059, 0.162]</w:t>
            </w:r>
          </w:p>
        </w:tc>
      </w:tr>
      <w:tr w14:paraId="5826CF43">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EA059B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Mining</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38C93C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−0.125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436D31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0.029</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772717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−4.37</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312A37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462469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[−0.181, −0.069]</w:t>
            </w:r>
          </w:p>
        </w:tc>
      </w:tr>
      <w:tr w14:paraId="4C4F5090">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F71E8D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Other services</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B60BE5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0.126</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BAD8C1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0.027</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F3F87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4.78</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130C73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BE2318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[0.075, 0.178]</w:t>
            </w:r>
          </w:p>
        </w:tc>
      </w:tr>
      <w:tr w14:paraId="3FAED853">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970ACD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Professional services</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FD5157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0.132</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16C72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0.026</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DCA05C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5.04</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AEECB6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7B704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[0.080, 0.183]</w:t>
            </w:r>
          </w:p>
        </w:tc>
      </w:tr>
      <w:tr w14:paraId="107651C1">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9F37EE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Real estate</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15CA82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−0.019</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32BC29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0.028</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7738F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−0.67</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09C0E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0.500</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E6A9FF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[−0.075, 0.036]</w:t>
            </w:r>
          </w:p>
        </w:tc>
      </w:tr>
      <w:tr w14:paraId="12073431">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B2A34F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Retail</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DFAFF5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−0.421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62BA79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0.027</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FD78AD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−15.69</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CD84E2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E40867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[−0.474, −0.369]</w:t>
            </w:r>
          </w:p>
        </w:tc>
      </w:tr>
      <w:tr w14:paraId="213410DA">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79DC9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Transportation</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B1E75D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−0.165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D3F0FF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0.028</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F812E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−5.94</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404571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B77002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[−0.219, −0.111]</w:t>
            </w:r>
          </w:p>
        </w:tc>
      </w:tr>
      <w:tr w14:paraId="350874DB">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A051E4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Utilities</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82D81B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0.105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B48A83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0.028</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D986F8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3.73</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ADF0D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DF2AD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[0.050, 0.161]</w:t>
            </w:r>
          </w:p>
        </w:tc>
      </w:tr>
      <w:tr w14:paraId="7BB68C00">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126E8F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Wholesale</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E7C27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−0.013</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A291FA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0.028</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18529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−0.47</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774A4B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0.637</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E58F4E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[−0.068, 0.041]</w:t>
            </w:r>
          </w:p>
        </w:tc>
      </w:tr>
      <w:tr w14:paraId="0B4B9685">
        <w:tblPrEx>
          <w:tblCellMar>
            <w:top w:w="0" w:type="dxa"/>
            <w:left w:w="108" w:type="dxa"/>
            <w:bottom w:w="0" w:type="dxa"/>
            <w:right w:w="108" w:type="dxa"/>
          </w:tblCellMar>
        </w:tblPrEx>
        <w:trPr>
          <w:cantSplit/>
          <w:trHeight w:val="284" w:hRule="atLeast"/>
          <w:jc w:val="center"/>
        </w:trPr>
        <w:tc>
          <w:tcPr>
            <w:tcW w:w="8489" w:type="dxa"/>
            <w:gridSpan w:val="6"/>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D4D79B">
            <w:pPr>
              <w:snapToGrid w:val="0"/>
              <w:spacing w:before="0" w:after="0" w:line="240" w:lineRule="auto"/>
              <w:jc w:val="left"/>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Country (ref: United States)</w:t>
            </w:r>
          </w:p>
        </w:tc>
      </w:tr>
      <w:tr w14:paraId="3DCE584A">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28FAC7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Australia</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D52D73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−0.411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E6B496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0.006</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4020D9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−72.90</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6ECB6D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6B21AB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[−0.422, −0.400]</w:t>
            </w:r>
          </w:p>
        </w:tc>
      </w:tr>
      <w:tr w14:paraId="77624034">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323227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Canada</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06374F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−0.536</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F7DF3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0.006</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43F875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−95.26</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EA8C6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B1374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[−0.548, −0.525]</w:t>
            </w:r>
          </w:p>
        </w:tc>
      </w:tr>
      <w:tr w14:paraId="79B24FB6">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2B4A6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France</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0A972F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−0.997</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CC8CC9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0.009</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7B6344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−107.98</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DB94A9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1B688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[−1.015, −0.978]</w:t>
            </w:r>
          </w:p>
        </w:tc>
      </w:tr>
      <w:tr w14:paraId="3EB088CE">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5BC5C2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Germany</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312642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−1.009</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FC9080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0.006</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27893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−156.79</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B33CA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0D5092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[−1.022, −0.997]</w:t>
            </w:r>
          </w:p>
        </w:tc>
      </w:tr>
      <w:tr w14:paraId="50CF3E80">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300B6F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India</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6A61FC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−1.074</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67659D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0.005</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A10EF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−210.23</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0523D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BCFCDC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[−1.084, −1.064]</w:t>
            </w:r>
          </w:p>
        </w:tc>
      </w:tr>
      <w:tr w14:paraId="25006275">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485371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Italy</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2826FA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−0.959</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4FCBE9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0.010</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253867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−101.27</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1D5277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435E24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[−0.978, −0.940]</w:t>
            </w:r>
          </w:p>
        </w:tc>
      </w:tr>
      <w:tr w14:paraId="259341E0">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F5D10F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Netherlands</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BEDE0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−0.870</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D92CB2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0.008</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EFEF83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−115.44</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D93F3F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3A2B1C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[−0.885, −0.856]</w:t>
            </w:r>
          </w:p>
        </w:tc>
      </w:tr>
      <w:tr w14:paraId="3BEF2F93">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D4B0EC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Spain</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47DDA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−0.395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44628F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0.010</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B5CD5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−41.20</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A1525C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45FB18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[−0.414, −0.376]</w:t>
            </w:r>
          </w:p>
        </w:tc>
      </w:tr>
      <w:tr w14:paraId="19DAE2A1">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FDEBEA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United Kingdom</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C92EE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−0.570</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DE79FB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0.004</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D1947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−128.42</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DEC8A1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6FD5DF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[−0.579, −0.561]</w:t>
            </w:r>
          </w:p>
        </w:tc>
      </w:tr>
      <w:tr w14:paraId="66148FD0">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CA2C125">
            <w:pPr>
              <w:widowControl/>
              <w:snapToGrid w:val="0"/>
              <w:spacing w:before="0" w:after="0" w:line="240" w:lineRule="auto"/>
              <w:jc w:val="left"/>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Year (centered at 2000)</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727D0B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0.010</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BEB5CF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4BA8C8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64.53</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9761AA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268FE4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[0.010, 0.010]</w:t>
            </w:r>
          </w:p>
        </w:tc>
      </w:tr>
      <w:tr w14:paraId="4A7CAB63">
        <w:tblPrEx>
          <w:tblCellMar>
            <w:top w:w="0" w:type="dxa"/>
            <w:left w:w="108" w:type="dxa"/>
            <w:bottom w:w="0" w:type="dxa"/>
            <w:right w:w="108" w:type="dxa"/>
          </w:tblCellMar>
        </w:tblPrEx>
        <w:trPr>
          <w:cantSplit/>
          <w:trHeight w:val="284" w:hRule="atLeast"/>
          <w:jc w:val="center"/>
        </w:trPr>
        <w:tc>
          <w:tcPr>
            <w:tcW w:w="25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5F101B6">
            <w:pPr>
              <w:widowControl/>
              <w:snapToGrid w:val="0"/>
              <w:spacing w:before="0" w:after="0" w:line="240" w:lineRule="auto"/>
              <w:jc w:val="left"/>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Constant</w:t>
            </w:r>
          </w:p>
        </w:tc>
        <w:tc>
          <w:tcPr>
            <w:tcW w:w="119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7992DD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−3.614</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1FC1B4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0.026</w:t>
            </w:r>
          </w:p>
        </w:tc>
        <w:tc>
          <w:tcPr>
            <w:tcW w:w="9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C39E6F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−138.44</w:t>
            </w:r>
          </w:p>
        </w:tc>
        <w:tc>
          <w:tcPr>
            <w:tcW w:w="101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078A9F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81E709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[−3.665, −3.563]</w:t>
            </w:r>
          </w:p>
        </w:tc>
      </w:tr>
    </w:tbl>
    <w:p w14:paraId="7EB352A6">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The unit of analysis is the position record. The dependent variable equals one for Revelio seniority levels 6–7 and zero for other records with valid seniority information. Public administration (NAICS 92) is excluded. The model is estimated from aggregated covariate cells using grouped binomial logit; cell counts serve as frequency weights for model estimation and the calculation of AMEs, and N denotes the number of position records represented by the cells. Male, Agriculture, and the United States are the reference categories. Year is centered at 2000. Robust standard errors are reported.</w:t>
      </w:r>
    </w:p>
    <w:p w14:paraId="2683AD9A">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Heterogeneity estimates</w:t>
      </w:r>
    </w:p>
    <w:tbl>
      <w:tblPr>
        <w:tblStyle w:val="5"/>
        <w:tblW w:w="0" w:type="auto"/>
        <w:jc w:val="center"/>
        <w:tblLayout w:type="fixed"/>
        <w:tblCellMar>
          <w:top w:w="0" w:type="dxa"/>
          <w:left w:w="108" w:type="dxa"/>
          <w:bottom w:w="0" w:type="dxa"/>
          <w:right w:w="108" w:type="dxa"/>
        </w:tblCellMar>
      </w:tblPr>
      <w:tblGrid>
        <w:gridCol w:w="3292"/>
        <w:gridCol w:w="3341"/>
        <w:gridCol w:w="1680"/>
      </w:tblGrid>
      <w:tr w14:paraId="173C8677">
        <w:tblPrEx>
          <w:tblCellMar>
            <w:top w:w="0" w:type="dxa"/>
            <w:left w:w="108" w:type="dxa"/>
            <w:bottom w:w="0" w:type="dxa"/>
            <w:right w:w="108" w:type="dxa"/>
          </w:tblCellMar>
        </w:tblPrEx>
        <w:trPr>
          <w:cantSplit/>
          <w:trHeight w:val="283" w:hRule="atLeast"/>
          <w:tblHeader/>
          <w:jc w:val="center"/>
        </w:trPr>
        <w:tc>
          <w:tcPr>
            <w:tcW w:w="3292"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6E61DC3">
            <w:pPr>
              <w:widowControl/>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Subgroup</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6F793">
            <w:pPr>
              <w:widowControl/>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AME, percentage points (95% CI)</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D12FF">
            <w:pPr>
              <w:widowControl/>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OR (95% CI)</w:t>
            </w:r>
          </w:p>
        </w:tc>
      </w:tr>
      <w:tr w14:paraId="43F11213">
        <w:tblPrEx>
          <w:tblCellMar>
            <w:top w:w="0" w:type="dxa"/>
            <w:left w:w="108" w:type="dxa"/>
            <w:bottom w:w="0" w:type="dxa"/>
            <w:right w:w="108" w:type="dxa"/>
          </w:tblCellMar>
        </w:tblPrEx>
        <w:trPr>
          <w:cantSplit/>
          <w:trHeight w:val="283" w:hRule="atLeast"/>
          <w:jc w:val="center"/>
        </w:trPr>
        <w:tc>
          <w:tcPr>
            <w:tcW w:w="831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AC198F9">
            <w:pPr>
              <w:spacing w:before="0" w:after="0" w:line="240" w:lineRule="auto"/>
              <w:jc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B1</w:t>
            </w:r>
            <w:r>
              <w:rPr>
                <w:rFonts w:hint="default" w:ascii="Times New Roman" w:hAnsi="Times New Roman" w:eastAsia="宋体" w:cs="Times New Roman"/>
                <w:b/>
                <w:kern w:val="0"/>
                <w:szCs w:val="21"/>
                <w:lang w:bidi="ar"/>
              </w:rPr>
              <w:t>. Gender</w:t>
            </w:r>
          </w:p>
        </w:tc>
      </w:tr>
      <w:tr w14:paraId="598B7721">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E2F44">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Male</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5B4E5">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0.25 (0.24–0.27)</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5839B">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1.12 (1.11–1.12)</w:t>
            </w:r>
          </w:p>
        </w:tc>
      </w:tr>
      <w:tr w14:paraId="6CE9871D">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05615">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Female</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8637E0">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0.17 (0.16–0.18)</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0BD88">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1.13 (1.12–1.13)</w:t>
            </w:r>
          </w:p>
        </w:tc>
      </w:tr>
      <w:tr w14:paraId="4044D249">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F977D">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Joint test of interaction</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9B9F0">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χ²(1) = 3.77, p = 0.052</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E87733">
            <w:pPr>
              <w:spacing w:before="0" w:after="0" w:line="240" w:lineRule="auto"/>
              <w:jc w:val="center"/>
              <w:rPr>
                <w:rFonts w:hint="default" w:ascii="Times New Roman" w:hAnsi="Times New Roman" w:eastAsia="宋体" w:cs="Times New Roman"/>
                <w:szCs w:val="21"/>
              </w:rPr>
            </w:pPr>
          </w:p>
        </w:tc>
      </w:tr>
      <w:tr w14:paraId="05EC31C3">
        <w:tblPrEx>
          <w:tblCellMar>
            <w:top w:w="0" w:type="dxa"/>
            <w:left w:w="108" w:type="dxa"/>
            <w:bottom w:w="0" w:type="dxa"/>
            <w:right w:w="108" w:type="dxa"/>
          </w:tblCellMar>
        </w:tblPrEx>
        <w:trPr>
          <w:cantSplit/>
          <w:trHeight w:val="283" w:hRule="atLeast"/>
          <w:jc w:val="center"/>
        </w:trPr>
        <w:tc>
          <w:tcPr>
            <w:tcW w:w="831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381234F">
            <w:pPr>
              <w:spacing w:before="0" w:after="0" w:line="240" w:lineRule="auto"/>
              <w:jc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Panel B</w:t>
            </w:r>
            <w:r>
              <w:rPr>
                <w:rFonts w:hint="default" w:ascii="Times New Roman" w:hAnsi="Times New Roman" w:eastAsia="宋体" w:cs="Times New Roman"/>
                <w:b/>
                <w:kern w:val="0"/>
                <w:szCs w:val="21"/>
                <w:lang w:val="en-US" w:eastAsia="zh-CN" w:bidi="ar"/>
              </w:rPr>
              <w:t>2</w:t>
            </w:r>
            <w:r>
              <w:rPr>
                <w:rFonts w:hint="default" w:ascii="Times New Roman" w:hAnsi="Times New Roman" w:eastAsia="宋体" w:cs="Times New Roman"/>
                <w:b/>
                <w:kern w:val="0"/>
                <w:szCs w:val="21"/>
                <w:lang w:bidi="ar"/>
              </w:rPr>
              <w:t>. Industry</w:t>
            </w:r>
          </w:p>
        </w:tc>
      </w:tr>
      <w:tr w14:paraId="36817C47">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A5C7A">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Agriculture</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B07A1">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0.28 (0.07–0.49)</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69A05">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1.15 (1.04–1.29)</w:t>
            </w:r>
          </w:p>
        </w:tc>
      </w:tr>
      <w:tr w14:paraId="34CCEA22">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021ED">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Manufacturing</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5A44F">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0.30 (0.28–0.33)</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A354A">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1.15 (1.13–1.16)</w:t>
            </w:r>
          </w:p>
        </w:tc>
      </w:tr>
      <w:tr w14:paraId="14791121">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31E3D">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Mining</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47261C">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0.45 (0.35–0.54)</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6427E">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1.26 (1.20–1.32)</w:t>
            </w:r>
          </w:p>
        </w:tc>
      </w:tr>
      <w:tr w14:paraId="6C0FFA3D">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CE18E">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Utilities</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A2622">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0.50 (0.39–0.60)</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4137D8">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1.25 (1.20–1.31)</w:t>
            </w:r>
          </w:p>
        </w:tc>
      </w:tr>
      <w:tr w14:paraId="372A5CE3">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6AF68">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Construction</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7D9DC">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0.28 (0.20–0.37)</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781FE">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1.17 (1.12–1.23)</w:t>
            </w:r>
          </w:p>
        </w:tc>
      </w:tr>
      <w:tr w14:paraId="4114D0B0">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78077">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Wholesale</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EF9798">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0.32 (0.24–0.40)</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C0B580">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1.18 (1.13–1.23)</w:t>
            </w:r>
          </w:p>
        </w:tc>
      </w:tr>
      <w:tr w14:paraId="69D35806">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9F93C">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Retail</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ECD98">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0.22 (0.19–0.26)</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88C66">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1.19 (1.15–1.22)</w:t>
            </w:r>
          </w:p>
        </w:tc>
      </w:tr>
      <w:tr w14:paraId="13CA624F">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F6594C">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Transportation</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AC79B">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0.29 (0.22–0.36)</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F367A">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1.19 (1.14–1.24)</w:t>
            </w:r>
          </w:p>
        </w:tc>
      </w:tr>
      <w:tr w14:paraId="1881A440">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02477">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Information</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452CCA">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0.31 (0.28–0.35)</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9B423">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1.12 (1.11–1.13)</w:t>
            </w:r>
          </w:p>
        </w:tc>
      </w:tr>
      <w:tr w14:paraId="3BD0FD62">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3C070">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Finance</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D6A0F">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0.45 (0.41–0.49)</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2B2D9">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1.16 (1.15–1.18)</w:t>
            </w:r>
          </w:p>
        </w:tc>
      </w:tr>
      <w:tr w14:paraId="6F4415AC">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9F246">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Real estate</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4464CB">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0.48 (0.38–0.58)</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619D43">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1.27 (1.21–1.33)</w:t>
            </w:r>
          </w:p>
        </w:tc>
      </w:tr>
      <w:tr w14:paraId="339A3DF7">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8889D">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Professional services</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A6E3C">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0.30 (0.28–0.33)</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9AD15">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1.15 (1.14–1.16)</w:t>
            </w:r>
          </w:p>
        </w:tc>
      </w:tr>
      <w:tr w14:paraId="527C4B22">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7E461">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Management</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584928">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0.14 (−0.29–0.56)</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CF923">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1.05 (0.90–1.23)</w:t>
            </w:r>
          </w:p>
        </w:tc>
      </w:tr>
      <w:tr w14:paraId="7685C502">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B43D5">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Administrative and support services</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150DD">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0.43 (0.37–0.49)</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9B0BB">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1.26 (1.22–1.30)</w:t>
            </w:r>
          </w:p>
        </w:tc>
      </w:tr>
      <w:tr w14:paraId="040448E5">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616AF">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Education</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344B2">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 (−0.01–0.02)</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E507E5">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1.01 (0.99–1.02)</w:t>
            </w:r>
          </w:p>
        </w:tc>
      </w:tr>
      <w:tr w14:paraId="48C83C93">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DF6617">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Health care</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98C92">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−0.06 (−0.09–−0.02)</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6CBCB">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0.97 (0.96–0.99)</w:t>
            </w:r>
          </w:p>
        </w:tc>
      </w:tr>
      <w:tr w14:paraId="18CCF999">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E9FEA">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Arts and entertainment</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3D230">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0.21 (0.16–0.26)</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AD2F0">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1.22 (1.16–1.28)</w:t>
            </w:r>
          </w:p>
        </w:tc>
      </w:tr>
      <w:tr w14:paraId="754759FD">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7AE46">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Accommodation and food services</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74382">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0.18 (0.12–0.24)</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85E6C">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1.19 (1.13–1.26)</w:t>
            </w:r>
          </w:p>
        </w:tc>
      </w:tr>
      <w:tr w14:paraId="22C9C197">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3C18ED">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Other services</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1AD846">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0.21 (0.17–0.26)</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5ADA6">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1.10 (1.08–1.12)</w:t>
            </w:r>
          </w:p>
        </w:tc>
      </w:tr>
      <w:tr w14:paraId="439A0B28">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AE235">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Joint test of interaction</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1131B">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χ²(18) = 757.23, p &lt; 0.001</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B2FBE">
            <w:pPr>
              <w:spacing w:before="0" w:after="0" w:line="240" w:lineRule="auto"/>
              <w:jc w:val="center"/>
              <w:rPr>
                <w:rFonts w:hint="default" w:ascii="Times New Roman" w:hAnsi="Times New Roman" w:eastAsia="宋体" w:cs="Times New Roman"/>
                <w:szCs w:val="21"/>
              </w:rPr>
            </w:pPr>
          </w:p>
        </w:tc>
      </w:tr>
      <w:tr w14:paraId="1D2FFF58">
        <w:tblPrEx>
          <w:tblCellMar>
            <w:top w:w="0" w:type="dxa"/>
            <w:left w:w="108" w:type="dxa"/>
            <w:bottom w:w="0" w:type="dxa"/>
            <w:right w:w="108" w:type="dxa"/>
          </w:tblCellMar>
        </w:tblPrEx>
        <w:trPr>
          <w:cantSplit/>
          <w:trHeight w:val="283" w:hRule="atLeast"/>
          <w:jc w:val="center"/>
        </w:trPr>
        <w:tc>
          <w:tcPr>
            <w:tcW w:w="831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02D1F9C">
            <w:pPr>
              <w:spacing w:before="0" w:after="0" w:line="240" w:lineRule="auto"/>
              <w:jc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B3</w:t>
            </w:r>
            <w:r>
              <w:rPr>
                <w:rFonts w:hint="default" w:ascii="Times New Roman" w:hAnsi="Times New Roman" w:eastAsia="宋体" w:cs="Times New Roman"/>
                <w:b/>
                <w:kern w:val="0"/>
                <w:szCs w:val="21"/>
                <w:lang w:bidi="ar"/>
              </w:rPr>
              <w:t>. Country</w:t>
            </w:r>
          </w:p>
        </w:tc>
      </w:tr>
      <w:tr w14:paraId="6FEE3737">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ADC6F">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United States</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A3815">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0.21 (0.20–0.23)</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9D8DB">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1.10 (1.09–1.10)</w:t>
            </w:r>
          </w:p>
        </w:tc>
      </w:tr>
      <w:tr w14:paraId="1D8D8F84">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79161">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United Kingdom</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A806B">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0.25 (0.22–0.27)</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F503B">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1.18 (1.16–1.20)</w:t>
            </w:r>
          </w:p>
        </w:tc>
      </w:tr>
      <w:tr w14:paraId="31938DD1">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D7DCA0">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France</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0020C0">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0.41 (0.35–0.46)</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430EE">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1.44 (1.37–1.50)</w:t>
            </w:r>
          </w:p>
        </w:tc>
      </w:tr>
      <w:tr w14:paraId="1EE0CDB4">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6DD7D">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Germany</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9AF03">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0.11 (0.07–0.14)</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6AAA4D">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1.11 (1.07–1.14)</w:t>
            </w:r>
          </w:p>
        </w:tc>
      </w:tr>
      <w:tr w14:paraId="3A348C61">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CC80D3">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Australia</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F659A">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0.59 (0.55–0.63)</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D8434">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1.40 (1.37–1.43)</w:t>
            </w:r>
          </w:p>
        </w:tc>
      </w:tr>
      <w:tr w14:paraId="1E516E1C">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250C4">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Canada</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7F712">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0.55 (0.52–0.59)</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69782">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1.46 (1.43–1.50)</w:t>
            </w:r>
          </w:p>
        </w:tc>
      </w:tr>
      <w:tr w14:paraId="46450040">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96D63">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Spain</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F7EA1">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−0.14 (−0.21–−0.07)</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D0EB3">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0.92 (0.88–0.96)</w:t>
            </w:r>
          </w:p>
        </w:tc>
      </w:tr>
      <w:tr w14:paraId="507CEB29">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C1739">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Italy</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2CCCE6">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 (−0.04–0.04)</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61F96">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1.00 (0.96–1.04)</w:t>
            </w:r>
          </w:p>
        </w:tc>
      </w:tr>
      <w:tr w14:paraId="1FA2F78B">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1B36ED">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Netherlands</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16CB1">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−0.49 (−0.53–−0.46)</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74B12">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0.65 (0.63–0.66)</w:t>
            </w:r>
          </w:p>
        </w:tc>
      </w:tr>
      <w:tr w14:paraId="27BC9BCE">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A29E0">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India</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765D2">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0.54 (0.47–0.61)</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DCD1D">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1.52 (1.45–1.59)</w:t>
            </w:r>
          </w:p>
        </w:tc>
      </w:tr>
      <w:tr w14:paraId="451CCC41">
        <w:tblPrEx>
          <w:tblCellMar>
            <w:top w:w="0" w:type="dxa"/>
            <w:left w:w="108" w:type="dxa"/>
            <w:bottom w:w="0" w:type="dxa"/>
            <w:right w:w="108" w:type="dxa"/>
          </w:tblCellMar>
        </w:tblPrEx>
        <w:trPr>
          <w:cantSplit/>
          <w:trHeight w:val="283" w:hRule="atLeast"/>
          <w:jc w:val="center"/>
        </w:trPr>
        <w:tc>
          <w:tcPr>
            <w:tcW w:w="32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4E66C">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Joint test of interaction</w:t>
            </w:r>
          </w:p>
        </w:tc>
        <w:tc>
          <w:tcPr>
            <w:tcW w:w="33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0EA2C1">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χ²(9) = 2,798.83, p &lt; 0.001</w:t>
            </w:r>
          </w:p>
        </w:tc>
        <w:tc>
          <w:tcPr>
            <w:tcW w:w="16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49C04">
            <w:pPr>
              <w:spacing w:before="0" w:after="0" w:line="240" w:lineRule="auto"/>
              <w:jc w:val="center"/>
              <w:rPr>
                <w:rFonts w:hint="default" w:ascii="Times New Roman" w:hAnsi="Times New Roman" w:eastAsia="宋体" w:cs="Times New Roman"/>
                <w:szCs w:val="21"/>
              </w:rPr>
            </w:pPr>
          </w:p>
        </w:tc>
      </w:tr>
    </w:tbl>
    <w:p w14:paraId="283EEB9E">
      <w:pPr>
        <w:pStyle w:val="19"/>
        <w:widowControl/>
        <w:snapToGrid w:val="0"/>
        <w:textAlignment w:val="center"/>
        <w:rPr>
          <w:rFonts w:hint="default" w:ascii="Times New Roman" w:hAnsi="Times New Roman" w:cs="Times New Roman"/>
          <w:b w:val="0"/>
          <w:i w:val="0"/>
          <w:sz w:val="20"/>
          <w:szCs w:val="28"/>
          <w:lang w:val="en-US" w:eastAsia="zh-CN"/>
        </w:rPr>
      </w:pPr>
      <w:r>
        <w:rPr>
          <w:rFonts w:hint="default" w:ascii="Times New Roman" w:hAnsi="Times New Roman" w:cs="Times New Roman"/>
          <w:b w:val="0"/>
          <w:i w:val="0"/>
          <w:sz w:val="20"/>
          <w:szCs w:val="28"/>
        </w:rPr>
        <w:t>Note. AMEs are reported in percentage points. Each panel is estimated from a separate logit model including an interaction between an elite bachelor’s degree and the corresponding subgroup variable, with the same controls as Panel A. Cell counts are used as frequency weights in both model estimation and the calculation of AMEs. Robust standard errors are reported (N = 44,101,513). N denotes the number of position records represented by the aggregated covariate cells.</w:t>
      </w:r>
    </w:p>
    <w:p w14:paraId="30E1AC0E">
      <w:pPr>
        <w:widowControl/>
        <w:rPr>
          <w:rFonts w:hint="default" w:ascii="Times New Roman" w:hAnsi="Times New Roman" w:cs="Times New Roman"/>
          <w:sz w:val="20"/>
          <w:szCs w:val="20"/>
        </w:rPr>
      </w:pPr>
    </w:p>
    <w:p w14:paraId="58771F31">
      <w:pPr>
        <w:rPr>
          <w:rFonts w:hint="default" w:ascii="Times New Roman" w:hAnsi="Times New Roman" w:eastAsia="宋体" w:cs="Times New Roman"/>
          <w:b/>
          <w:sz w:val="24"/>
        </w:rPr>
      </w:pPr>
      <w:r>
        <w:rPr>
          <w:rFonts w:hint="default" w:ascii="Times New Roman" w:hAnsi="Times New Roman" w:eastAsia="宋体" w:cs="Times New Roman"/>
          <w:b/>
          <w:sz w:val="24"/>
        </w:rPr>
        <w:br w:type="page"/>
      </w:r>
    </w:p>
    <w:p w14:paraId="67858E72">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7. Association between elite undergraduate education and ever holding a core executive position in the Chinese listed-company executive sample</w:t>
      </w:r>
    </w:p>
    <w:p w14:paraId="6D16D95C">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Main logit model</w:t>
      </w:r>
    </w:p>
    <w:p w14:paraId="036477C7">
      <w:pPr>
        <w:pStyle w:val="20"/>
        <w:widowControl/>
        <w:rPr>
          <w:rFonts w:hint="default" w:ascii="Times New Roman" w:hAnsi="Times New Roman" w:cs="Times New Roman"/>
          <w:sz w:val="22"/>
          <w:szCs w:val="28"/>
        </w:rPr>
      </w:pPr>
      <w:r>
        <w:rPr>
          <w:rFonts w:hint="default" w:ascii="Times New Roman" w:hAnsi="Times New Roman" w:cs="Times New Roman"/>
          <w:sz w:val="22"/>
          <w:szCs w:val="28"/>
        </w:rPr>
        <w:t>N = 54,316; Pseudo R² = 0.0219; AME of elite bachelor’s degree = 2</w:t>
      </w:r>
      <w:r>
        <w:rPr>
          <w:rFonts w:hint="default" w:ascii="Times New Roman" w:hAnsi="Times New Roman" w:cs="Times New Roman"/>
          <w:sz w:val="22"/>
          <w:szCs w:val="28"/>
          <w:lang w:val="en-US" w:eastAsia="zh-CN"/>
        </w:rPr>
        <w:t>.</w:t>
      </w:r>
      <w:r>
        <w:rPr>
          <w:rFonts w:hint="default" w:ascii="Times New Roman" w:hAnsi="Times New Roman" w:cs="Times New Roman"/>
          <w:sz w:val="22"/>
          <w:szCs w:val="28"/>
        </w:rPr>
        <w:t>03</w:t>
      </w:r>
      <w:r>
        <w:rPr>
          <w:rFonts w:hint="default" w:ascii="Times New Roman" w:hAnsi="Times New Roman" w:cs="Times New Roman"/>
          <w:sz w:val="22"/>
          <w:szCs w:val="28"/>
          <w:lang w:val="en-US" w:eastAsia="zh-CN"/>
        </w:rPr>
        <w:t xml:space="preserve"> pp</w:t>
      </w:r>
      <w:r>
        <w:rPr>
          <w:rFonts w:hint="default" w:ascii="Times New Roman" w:hAnsi="Times New Roman" w:cs="Times New Roman"/>
          <w:sz w:val="22"/>
          <w:szCs w:val="28"/>
        </w:rPr>
        <w:t xml:space="preserve"> (p &lt; 0.001); OR = 1.10</w:t>
      </w:r>
    </w:p>
    <w:tbl>
      <w:tblPr>
        <w:tblStyle w:val="5"/>
        <w:tblW w:w="0" w:type="auto"/>
        <w:jc w:val="center"/>
        <w:tblLayout w:type="fixed"/>
        <w:tblCellMar>
          <w:top w:w="0" w:type="dxa"/>
          <w:left w:w="108" w:type="dxa"/>
          <w:bottom w:w="0" w:type="dxa"/>
          <w:right w:w="108" w:type="dxa"/>
        </w:tblCellMar>
      </w:tblPr>
      <w:tblGrid>
        <w:gridCol w:w="3680"/>
        <w:gridCol w:w="1219"/>
        <w:gridCol w:w="960"/>
        <w:gridCol w:w="840"/>
        <w:gridCol w:w="944"/>
        <w:gridCol w:w="1700"/>
      </w:tblGrid>
      <w:tr w14:paraId="5E96BC29">
        <w:tblPrEx>
          <w:tblCellMar>
            <w:top w:w="0" w:type="dxa"/>
            <w:left w:w="108" w:type="dxa"/>
            <w:bottom w:w="0" w:type="dxa"/>
            <w:right w:w="108" w:type="dxa"/>
          </w:tblCellMar>
        </w:tblPrEx>
        <w:trPr>
          <w:cantSplit/>
          <w:trHeight w:val="283" w:hRule="atLeast"/>
          <w:tblHeader/>
          <w:jc w:val="center"/>
        </w:trPr>
        <w:tc>
          <w:tcPr>
            <w:tcW w:w="3680"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2BFD95B2">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Variable</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BFE0F1E">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Coefficient</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89E0454">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Robust SE</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4636914">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z</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BF1C235">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p-value</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A38B7EE">
            <w:pPr>
              <w:widowControl/>
              <w:snapToGrid w:val="0"/>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95% CI</w:t>
            </w:r>
          </w:p>
        </w:tc>
      </w:tr>
      <w:tr w14:paraId="44C713D7">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AF73ADA">
            <w:pPr>
              <w:widowControl/>
              <w:snapToGrid w:val="0"/>
              <w:spacing w:before="0" w:after="0" w:line="240" w:lineRule="auto"/>
              <w:jc w:val="left"/>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Elite bachelor’s degree</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890DD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0.094</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23F5E1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0.019</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9EF644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5.03</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CD1149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7060D0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[0.057, 0.130]</w:t>
            </w:r>
          </w:p>
        </w:tc>
      </w:tr>
      <w:tr w14:paraId="270E8317">
        <w:tblPrEx>
          <w:tblCellMar>
            <w:top w:w="0" w:type="dxa"/>
            <w:left w:w="108" w:type="dxa"/>
            <w:bottom w:w="0" w:type="dxa"/>
            <w:right w:w="108" w:type="dxa"/>
          </w:tblCellMar>
        </w:tblPrEx>
        <w:trPr>
          <w:cantSplit/>
          <w:trHeight w:val="283" w:hRule="atLeast"/>
          <w:jc w:val="center"/>
        </w:trPr>
        <w:tc>
          <w:tcPr>
            <w:tcW w:w="9343" w:type="dxa"/>
            <w:gridSpan w:val="6"/>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FB81856">
            <w:pPr>
              <w:widowControl/>
              <w:snapToGrid w:val="0"/>
              <w:spacing w:before="0" w:after="0" w:line="240" w:lineRule="auto"/>
              <w:jc w:val="left"/>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b/>
                <w:bCs/>
                <w:kern w:val="0"/>
                <w:szCs w:val="21"/>
                <w:lang w:bidi="ar"/>
              </w:rPr>
              <w:t>Gender (ref: Male)</w:t>
            </w:r>
          </w:p>
        </w:tc>
      </w:tr>
      <w:tr w14:paraId="0C0DCE0F">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E362893">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kern w:val="0"/>
                <w:szCs w:val="21"/>
                <w:lang w:bidi="ar"/>
              </w:rPr>
              <w:t>Female</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7E58B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−0.655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C5DF04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0.026</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2F9185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−25.16</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2D0D22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42BC51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[−0.706, −0.604]</w:t>
            </w:r>
          </w:p>
        </w:tc>
      </w:tr>
      <w:tr w14:paraId="66A41A71">
        <w:tblPrEx>
          <w:tblCellMar>
            <w:top w:w="0" w:type="dxa"/>
            <w:left w:w="108" w:type="dxa"/>
            <w:bottom w:w="0" w:type="dxa"/>
            <w:right w:w="108" w:type="dxa"/>
          </w:tblCellMar>
        </w:tblPrEx>
        <w:trPr>
          <w:cantSplit/>
          <w:trHeight w:val="283" w:hRule="atLeast"/>
          <w:jc w:val="center"/>
        </w:trPr>
        <w:tc>
          <w:tcPr>
            <w:tcW w:w="9343" w:type="dxa"/>
            <w:gridSpan w:val="6"/>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97B5A8C">
            <w:pPr>
              <w:snapToGrid w:val="0"/>
              <w:spacing w:before="0" w:after="0" w:line="240" w:lineRule="auto"/>
              <w:jc w:val="left"/>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Industry (ref: Manufacturing)</w:t>
            </w:r>
          </w:p>
        </w:tc>
      </w:tr>
      <w:tr w14:paraId="4E200F63">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367EF1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Agriculture, forestry, animal husbandry and fishery</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9F522B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−0.049</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6F2027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0.102</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23688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−0.48</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B2BAB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0.628</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820BAB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[−0.248, 0.150]</w:t>
            </w:r>
          </w:p>
        </w:tc>
      </w:tr>
      <w:tr w14:paraId="6073F0C3">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C7271F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Conglomerates</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19BEBC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0.051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CE21F9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0.116</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FA369C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0.44</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6A177A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0.661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451DC4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[−0.177, 0.279]</w:t>
            </w:r>
          </w:p>
        </w:tc>
      </w:tr>
      <w:tr w14:paraId="672D189F">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19134B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Construction</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80FB14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0.094</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47B510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0.059</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B14782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1.60</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C6DFE8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0.110</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1731C7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[−0.021, 0.210]</w:t>
            </w:r>
          </w:p>
        </w:tc>
      </w:tr>
      <w:tr w14:paraId="373944D7">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5F9E65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Culture, sports and entertainment</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6B17F4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0.162</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70C017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0.070</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B670FB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2.31</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EC62B5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A0CA5A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[0.025, 0.300]</w:t>
            </w:r>
          </w:p>
        </w:tc>
      </w:tr>
      <w:tr w14:paraId="73A4E599">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19581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Finance</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83421F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−1.153</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B92A6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0.059</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F866B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−19.66</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283762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D73458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[−1.268, −1.038]</w:t>
            </w:r>
          </w:p>
        </w:tc>
      </w:tr>
      <w:tr w14:paraId="2DD5D6ED">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94A02A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Information technology</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AB91D4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0.190</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1152B8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0.030</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964462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6.36</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F130AB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125470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[0.131, 0.248]</w:t>
            </w:r>
          </w:p>
        </w:tc>
      </w:tr>
      <w:tr w14:paraId="340B4397">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BE3C35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Leasing and business services</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60ADA8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0.050</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8C768A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0.085</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19C773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0.59</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BC5099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0.557</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BA01BA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[−0.117, 0.217]</w:t>
            </w:r>
          </w:p>
        </w:tc>
      </w:tr>
      <w:tr w14:paraId="105FB6A1">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0C72FE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Mining</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C163C1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0.019</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81CD98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0.071</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170D61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0.26</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171EB1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0.793</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EDE691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[−0.120, 0.158]</w:t>
            </w:r>
          </w:p>
        </w:tc>
      </w:tr>
      <w:tr w14:paraId="4E43AD0F">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3B73A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Other industries</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54118B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0.009</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E5F92C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0.132</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0947C0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0.07</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589ED4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0.944</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259AEA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[−0.249, 0.268]</w:t>
            </w:r>
          </w:p>
        </w:tc>
      </w:tr>
      <w:tr w14:paraId="766F1216">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352E1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RealEstate</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ECF78E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0.199</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C786B4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0.061</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408758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3.25</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E1D6EC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292AC3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[0.079, 0.319]</w:t>
            </w:r>
          </w:p>
        </w:tc>
      </w:tr>
      <w:tr w14:paraId="65E8741C">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BEB6BB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Scientific research and technical services</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07B33F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0.088</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DB8990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0.060</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82BEFD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1.47</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8A2A74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0.143</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73E02E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[−0.030, 0.205]</w:t>
            </w:r>
          </w:p>
        </w:tc>
      </w:tr>
      <w:tr w14:paraId="305A801B">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F4893B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Transportation and storage</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F5975E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0.003</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2ABB07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0.057</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7D9EC6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0.05</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2EAD1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0.962</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2BE576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[−0.109, 0.114]</w:t>
            </w:r>
          </w:p>
        </w:tc>
      </w:tr>
      <w:tr w14:paraId="6F745666">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36D4D1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Electricity, heat, gas and water</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ABA7BB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−0.205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DF4939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0.079</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13F4B6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−2.61</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EE8BCE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0.009</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C830E6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[−0.359, −0.051]</w:t>
            </w:r>
          </w:p>
        </w:tc>
      </w:tr>
      <w:tr w14:paraId="629EA414">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268DD0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Water conservancy and environmental services</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D6946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0.105</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44A4B8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0.071</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3514C9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1.47</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4156F0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0.141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1E1F2F3">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[−0.035, 0.245]</w:t>
            </w:r>
          </w:p>
        </w:tc>
      </w:tr>
      <w:tr w14:paraId="714ACB04">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599C3B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Wholesale and retail</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CBF301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85A5B3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0.057</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5113BB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0.37</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6F82EE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0.711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462A8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[−0.091, 0.133]</w:t>
            </w:r>
          </w:p>
        </w:tc>
      </w:tr>
      <w:tr w14:paraId="664AD46F">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F75AC56">
            <w:pPr>
              <w:widowControl/>
              <w:spacing w:before="0" w:after="0" w:line="240" w:lineRule="auto"/>
              <w:jc w:val="left"/>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val="en-US" w:eastAsia="zh-CN" w:bidi="ar"/>
              </w:rPr>
              <w:t>First observed y</w:t>
            </w:r>
            <w:r>
              <w:rPr>
                <w:rFonts w:hint="default" w:ascii="Times New Roman" w:hAnsi="Times New Roman" w:eastAsia="宋体" w:cs="Times New Roman"/>
                <w:b/>
                <w:bCs/>
                <w:kern w:val="0"/>
                <w:szCs w:val="21"/>
                <w:lang w:bidi="ar"/>
              </w:rPr>
              <w:t>ear (centered at</w:t>
            </w:r>
            <w:r>
              <w:rPr>
                <w:rFonts w:hint="default" w:ascii="Times New Roman" w:hAnsi="Times New Roman" w:eastAsia="宋体" w:cs="Times New Roman"/>
                <w:b/>
                <w:bCs/>
                <w:kern w:val="0"/>
                <w:szCs w:val="21"/>
                <w:lang w:val="en-US" w:eastAsia="zh-CN" w:bidi="ar"/>
              </w:rPr>
              <w:t xml:space="preserve"> </w:t>
            </w:r>
            <w:r>
              <w:rPr>
                <w:rFonts w:hint="default" w:ascii="Times New Roman" w:hAnsi="Times New Roman" w:eastAsia="宋体" w:cs="Times New Roman"/>
                <w:b/>
                <w:bCs/>
                <w:kern w:val="0"/>
                <w:szCs w:val="21"/>
                <w:lang w:bidi="ar"/>
              </w:rPr>
              <w:t>2015)</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93F314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w:t>
            </w:r>
            <w:r>
              <w:rPr>
                <w:rFonts w:hint="default" w:ascii="Times New Roman" w:hAnsi="Times New Roman" w:eastAsia="宋体" w:cs="Times New Roman"/>
                <w:kern w:val="0"/>
                <w:szCs w:val="21"/>
                <w:lang w:val="en-US" w:eastAsia="zh-CN" w:bidi="ar"/>
              </w:rPr>
              <w:t>0</w:t>
            </w:r>
            <w:r>
              <w:rPr>
                <w:rFonts w:hint="default" w:ascii="Times New Roman" w:hAnsi="Times New Roman" w:eastAsia="宋体" w:cs="Times New Roman"/>
                <w:kern w:val="0"/>
                <w:szCs w:val="21"/>
                <w:lang w:bidi="ar"/>
              </w:rPr>
              <w:t>29</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23205F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0.002</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8A81A6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−14.39</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DD303B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C06C9A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[−0.033, −0.025]</w:t>
            </w:r>
          </w:p>
        </w:tc>
      </w:tr>
      <w:tr w14:paraId="4110281A">
        <w:tblPrEx>
          <w:tblCellMar>
            <w:top w:w="0" w:type="dxa"/>
            <w:left w:w="108" w:type="dxa"/>
            <w:bottom w:w="0" w:type="dxa"/>
            <w:right w:w="108" w:type="dxa"/>
          </w:tblCellMar>
        </w:tblPrEx>
        <w:trPr>
          <w:cantSplit/>
          <w:trHeight w:val="283" w:hRule="atLeast"/>
          <w:jc w:val="center"/>
        </w:trPr>
        <w:tc>
          <w:tcPr>
            <w:tcW w:w="368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A495B37">
            <w:pPr>
              <w:widowControl/>
              <w:spacing w:before="0" w:after="0" w:line="240" w:lineRule="auto"/>
              <w:jc w:val="left"/>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Constant</w:t>
            </w:r>
          </w:p>
        </w:tc>
        <w:tc>
          <w:tcPr>
            <w:tcW w:w="121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A889E6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−0.578</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A0445C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0.015</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FEC79C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−37.86</w:t>
            </w:r>
          </w:p>
        </w:tc>
        <w:tc>
          <w:tcPr>
            <w:tcW w:w="94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99EDF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70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C344FB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[−0.608, −0.548]</w:t>
            </w:r>
          </w:p>
        </w:tc>
      </w:tr>
    </w:tbl>
    <w:p w14:paraId="768009CA">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The dependent variable equals one if an executive ever held a core executive position—chairperson, general manager, president, chief executive officer, or chief financial officer—at the focal company during the observation period. An elite bachelor’s degree indicates a bachelor’s degree obtained from a Top 500 university. The unit of analysis is the executive–company pair, with each executive contributing one observation per company. The sample comprises 54,316 executive–company records with identifiable bachelor’s institutions from 2008 onward. Male and Manufacturing are the reference categories. Year is centered at 2015. Robust standard errors are reported.</w:t>
      </w:r>
    </w:p>
    <w:p w14:paraId="13F76E92">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Heterogeneity estimates</w:t>
      </w:r>
    </w:p>
    <w:tbl>
      <w:tblPr>
        <w:tblStyle w:val="5"/>
        <w:tblW w:w="0" w:type="auto"/>
        <w:jc w:val="center"/>
        <w:tblLayout w:type="fixed"/>
        <w:tblCellMar>
          <w:top w:w="0" w:type="dxa"/>
          <w:left w:w="108" w:type="dxa"/>
          <w:bottom w:w="0" w:type="dxa"/>
          <w:right w:w="108" w:type="dxa"/>
        </w:tblCellMar>
      </w:tblPr>
      <w:tblGrid>
        <w:gridCol w:w="4577"/>
        <w:gridCol w:w="2419"/>
        <w:gridCol w:w="1773"/>
      </w:tblGrid>
      <w:tr w14:paraId="250E3A6E">
        <w:tblPrEx>
          <w:tblCellMar>
            <w:top w:w="0" w:type="dxa"/>
            <w:left w:w="108" w:type="dxa"/>
            <w:bottom w:w="0" w:type="dxa"/>
            <w:right w:w="108" w:type="dxa"/>
          </w:tblCellMar>
        </w:tblPrEx>
        <w:trPr>
          <w:cantSplit/>
          <w:trHeight w:val="283" w:hRule="atLeast"/>
          <w:tblHeader/>
          <w:jc w:val="center"/>
        </w:trPr>
        <w:tc>
          <w:tcPr>
            <w:tcW w:w="4577"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C12B54F">
            <w:pPr>
              <w:widowControl/>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Subgroup</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467D8">
            <w:pPr>
              <w:widowControl/>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AME, percentage points (95% CI)</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D21A27">
            <w:pPr>
              <w:widowControl/>
              <w:spacing w:before="0" w:after="0" w:line="240" w:lineRule="auto"/>
              <w:jc w:val="center"/>
              <w:textAlignment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OR (95% CI)</w:t>
            </w:r>
          </w:p>
        </w:tc>
      </w:tr>
      <w:tr w14:paraId="251C3F0C">
        <w:tblPrEx>
          <w:tblCellMar>
            <w:top w:w="0" w:type="dxa"/>
            <w:left w:w="108" w:type="dxa"/>
            <w:bottom w:w="0" w:type="dxa"/>
            <w:right w:w="108" w:type="dxa"/>
          </w:tblCellMar>
        </w:tblPrEx>
        <w:trPr>
          <w:cantSplit/>
          <w:trHeight w:val="283" w:hRule="atLeast"/>
          <w:jc w:val="center"/>
        </w:trPr>
        <w:tc>
          <w:tcPr>
            <w:tcW w:w="876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E409AAA">
            <w:pPr>
              <w:spacing w:before="0" w:after="0" w:line="240" w:lineRule="auto"/>
              <w:jc w:val="center"/>
              <w:rPr>
                <w:rFonts w:hint="default" w:ascii="Times New Roman" w:hAnsi="Times New Roman" w:eastAsia="宋体" w:cs="Times New Roman"/>
                <w:b/>
                <w:szCs w:val="21"/>
              </w:rPr>
            </w:pPr>
            <w:r>
              <w:rPr>
                <w:rFonts w:hint="default" w:ascii="Times New Roman" w:hAnsi="Times New Roman" w:eastAsia="宋体" w:cs="Times New Roman"/>
                <w:b/>
                <w:kern w:val="0"/>
                <w:szCs w:val="21"/>
                <w:lang w:bidi="ar"/>
              </w:rPr>
              <w:t xml:space="preserve">Panel </w:t>
            </w:r>
            <w:r>
              <w:rPr>
                <w:rFonts w:hint="default" w:ascii="Times New Roman" w:hAnsi="Times New Roman" w:eastAsia="宋体" w:cs="Times New Roman"/>
                <w:b/>
                <w:kern w:val="0"/>
                <w:szCs w:val="21"/>
                <w:lang w:val="en-US" w:eastAsia="zh-CN" w:bidi="ar"/>
              </w:rPr>
              <w:t>B1</w:t>
            </w:r>
            <w:r>
              <w:rPr>
                <w:rFonts w:hint="default" w:ascii="Times New Roman" w:hAnsi="Times New Roman" w:eastAsia="宋体" w:cs="Times New Roman"/>
                <w:b/>
                <w:kern w:val="0"/>
                <w:szCs w:val="21"/>
                <w:lang w:bidi="ar"/>
              </w:rPr>
              <w:t>. Gender</w:t>
            </w:r>
          </w:p>
        </w:tc>
      </w:tr>
      <w:tr w14:paraId="56A93CB1">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2C42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Male</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797C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1.60 (0.71–2.50)</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8760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1.07 (1.03–1.12)</w:t>
            </w:r>
          </w:p>
        </w:tc>
      </w:tr>
      <w:tr w14:paraId="0C85A66E">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06B8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Female</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ED4C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3.92 (2.26–5.58)</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2837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1.25 (1.14–1.38)</w:t>
            </w:r>
          </w:p>
        </w:tc>
      </w:tr>
      <w:tr w14:paraId="34A9B0DC">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5EC0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Joint test of interaction</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0DEF4">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χ²(1) = 8.83, p = 0.003</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B4CA2">
            <w:pPr>
              <w:spacing w:before="0" w:after="0" w:line="240" w:lineRule="auto"/>
              <w:jc w:val="center"/>
              <w:rPr>
                <w:rFonts w:hint="default" w:ascii="Times New Roman" w:hAnsi="Times New Roman" w:eastAsia="宋体" w:cs="Times New Roman"/>
                <w:szCs w:val="21"/>
              </w:rPr>
            </w:pPr>
          </w:p>
        </w:tc>
      </w:tr>
      <w:tr w14:paraId="0512131E">
        <w:tblPrEx>
          <w:tblCellMar>
            <w:top w:w="0" w:type="dxa"/>
            <w:left w:w="108" w:type="dxa"/>
            <w:bottom w:w="0" w:type="dxa"/>
            <w:right w:w="108" w:type="dxa"/>
          </w:tblCellMar>
        </w:tblPrEx>
        <w:trPr>
          <w:cantSplit/>
          <w:trHeight w:val="283" w:hRule="atLeast"/>
          <w:jc w:val="center"/>
        </w:trPr>
        <w:tc>
          <w:tcPr>
            <w:tcW w:w="876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6F4542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b/>
                <w:bCs/>
                <w:kern w:val="0"/>
                <w:szCs w:val="21"/>
                <w:lang w:bidi="ar"/>
              </w:rPr>
              <w:t>Panel B</w:t>
            </w:r>
            <w:r>
              <w:rPr>
                <w:rFonts w:hint="default" w:ascii="Times New Roman" w:hAnsi="Times New Roman" w:eastAsia="宋体" w:cs="Times New Roman"/>
                <w:b/>
                <w:bCs/>
                <w:kern w:val="0"/>
                <w:szCs w:val="21"/>
                <w:lang w:val="en-US" w:eastAsia="zh-CN" w:bidi="ar"/>
              </w:rPr>
              <w:t>2</w:t>
            </w:r>
            <w:r>
              <w:rPr>
                <w:rFonts w:hint="default" w:ascii="Times New Roman" w:hAnsi="Times New Roman" w:eastAsia="宋体" w:cs="Times New Roman"/>
                <w:b/>
                <w:bCs/>
                <w:kern w:val="0"/>
                <w:szCs w:val="21"/>
                <w:lang w:bidi="ar"/>
              </w:rPr>
              <w:t>. Industry</w:t>
            </w:r>
          </w:p>
        </w:tc>
      </w:tr>
      <w:tr w14:paraId="54354279">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9984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Manufacturing</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E635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2.16 (1.16–3.16)</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480F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1.10 (1.05–1.16)</w:t>
            </w:r>
          </w:p>
        </w:tc>
      </w:tr>
      <w:tr w14:paraId="722EFE4D">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98C4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Information technology</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0ED6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4.36 (1.88–6.83)</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7F9B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1.21 (1.09–1.35)</w:t>
            </w:r>
          </w:p>
        </w:tc>
      </w:tr>
      <w:tr w14:paraId="11954DDD">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9C36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Finance</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DD703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0.81 (-1.95–3.56)</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BDD3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1.07 (0.85–1.34)</w:t>
            </w:r>
          </w:p>
        </w:tc>
      </w:tr>
      <w:tr w14:paraId="6BD931CF">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65B0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Transportation and storage</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D164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−3.00 (−7.79–1.79)</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B8552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0.87 (0.70–1.09)</w:t>
            </w:r>
          </w:p>
        </w:tc>
      </w:tr>
      <w:tr w14:paraId="74E944BC">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12A2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Wholesale and retail</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39B5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1.61 (−3.42–6.63)</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79795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1.07 (0.86–1.34)</w:t>
            </w:r>
          </w:p>
        </w:tc>
      </w:tr>
      <w:tr w14:paraId="47B1F1D6">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446C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Real estate</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82AB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3.96 (−1.07–8.98)</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B2D19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1.20 (0.95–1.51)</w:t>
            </w:r>
          </w:p>
        </w:tc>
      </w:tr>
      <w:tr w14:paraId="535DDCFA">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7F0F1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Construction</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467FC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3.15 (−2.03–8.33)</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829C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1.15 (0.91–1.44)</w:t>
            </w:r>
          </w:p>
        </w:tc>
      </w:tr>
      <w:tr w14:paraId="0DC1BFF3">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7024E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Scientific research and technical services</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B940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4.41 (−1.05–9.86)</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720C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1.21 (0.96–1.53)</w:t>
            </w:r>
          </w:p>
        </w:tc>
      </w:tr>
      <w:tr w14:paraId="2A754E74">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78E40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Mining</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B848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−1.48 (−7.61–4.65)</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5A714">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0.94 (0.71–1.23)</w:t>
            </w:r>
          </w:p>
        </w:tc>
      </w:tr>
      <w:tr w14:paraId="0DAF4FC2">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8CE7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Culture, sports and entertainment</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271A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−3.78 (−9.97–2.41)</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0303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0.84 (0.63–1.12)</w:t>
            </w:r>
          </w:p>
        </w:tc>
      </w:tr>
      <w:tr w14:paraId="311D0BC3">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CF36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Water conservancy and environmental services</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7F01FB">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−4.08 (−10.71–2.54)</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E073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0.83 (0.62–1.12)</w:t>
            </w:r>
          </w:p>
        </w:tc>
      </w:tr>
      <w:tr w14:paraId="5D423B6E">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F4D7F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Electricity, heat, gas and water</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0DE0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2.08 (−4.25–8.40)</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B904E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1.11 (0.82–1.50)</w:t>
            </w:r>
          </w:p>
        </w:tc>
      </w:tr>
      <w:tr w14:paraId="52BBEB94">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003A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Leasing and business services</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E05210">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2.14 (−5.17–9.45)</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27477F">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1.10 (0.79–1.53)</w:t>
            </w:r>
          </w:p>
        </w:tc>
      </w:tr>
      <w:tr w14:paraId="6CDD05ED">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06A6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Agriculture, forestry, animal husbandry and fishery</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4849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−0.41 (−9.38–8.55)</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D87D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0.98 (0.65–1.48)</w:t>
            </w:r>
          </w:p>
        </w:tc>
      </w:tr>
      <w:tr w14:paraId="68F7CE79">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5D621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Conglomerates</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80FF9">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−0.07 (−10.02–9.88)</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4E60A6">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1.00 (0.63–1.57)</w:t>
            </w:r>
          </w:p>
        </w:tc>
      </w:tr>
      <w:tr w14:paraId="5C5711A0">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EE187">
            <w:pPr>
              <w:widowControl/>
              <w:spacing w:before="0" w:after="0" w:line="240" w:lineRule="auto"/>
              <w:jc w:val="center"/>
              <w:textAlignment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val="en-US" w:eastAsia="zh-CN" w:bidi="ar"/>
              </w:rPr>
              <w:t>Other industries</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6CC86C">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4.73 (−6.66–16.13)</w:t>
            </w:r>
          </w:p>
        </w:tc>
        <w:tc>
          <w:tcPr>
            <w:tcW w:w="1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BACD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1.25 (0.74–2.11)</w:t>
            </w:r>
          </w:p>
        </w:tc>
      </w:tr>
      <w:tr w14:paraId="5F9596D1">
        <w:tblPrEx>
          <w:tblCellMar>
            <w:top w:w="0" w:type="dxa"/>
            <w:left w:w="108" w:type="dxa"/>
            <w:bottom w:w="0" w:type="dxa"/>
            <w:right w:w="108" w:type="dxa"/>
          </w:tblCellMar>
        </w:tblPrEx>
        <w:trPr>
          <w:cantSplit/>
          <w:trHeight w:val="283" w:hRule="atLeast"/>
          <w:jc w:val="center"/>
        </w:trPr>
        <w:tc>
          <w:tcPr>
            <w:tcW w:w="45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A57A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Joint test of interaction</w:t>
            </w:r>
          </w:p>
        </w:tc>
        <w:tc>
          <w:tcPr>
            <w:tcW w:w="2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AB966">
            <w:pPr>
              <w:widowControl/>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χ²(15) = 17.41, p = 0.295</w:t>
            </w:r>
          </w:p>
        </w:tc>
        <w:tc>
          <w:tcPr>
            <w:tcW w:w="17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1D090">
            <w:pPr>
              <w:spacing w:before="0" w:after="0" w:line="240" w:lineRule="auto"/>
              <w:jc w:val="center"/>
              <w:rPr>
                <w:rFonts w:hint="default" w:ascii="Times New Roman" w:hAnsi="Times New Roman" w:eastAsia="宋体" w:cs="Times New Roman"/>
                <w:szCs w:val="21"/>
              </w:rPr>
            </w:pPr>
          </w:p>
        </w:tc>
      </w:tr>
    </w:tbl>
    <w:p w14:paraId="6884F268">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AMEs are reported in percentage points. Each subpanel is estimated from a separate logit model including an interaction between elite undergraduate background and the corresponding subgroup variable, with the same controls as Panel A. Other industries combine education, health, accommodation and food services, and resident services. Robust standard errors are reported (N = 54,316).</w:t>
      </w:r>
    </w:p>
    <w:p w14:paraId="3EA74C07">
      <w:pPr>
        <w:widowControl/>
        <w:rPr>
          <w:rFonts w:hint="default" w:ascii="Times New Roman" w:hAnsi="Times New Roman" w:cs="Times New Roman"/>
          <w:sz w:val="20"/>
          <w:szCs w:val="20"/>
        </w:rPr>
      </w:pPr>
    </w:p>
    <w:p w14:paraId="68F6C4C4">
      <w:pPr>
        <w:rPr>
          <w:rFonts w:hint="default" w:ascii="Times New Roman" w:hAnsi="Times New Roman" w:eastAsia="宋体" w:cs="Times New Roman"/>
          <w:sz w:val="24"/>
        </w:rPr>
      </w:pPr>
    </w:p>
    <w:p w14:paraId="2B13FA8A">
      <w:pPr>
        <w:rPr>
          <w:rFonts w:hint="default" w:ascii="Times New Roman" w:hAnsi="Times New Roman" w:eastAsia="宋体" w:cs="Times New Roman"/>
          <w:b/>
          <w:sz w:val="24"/>
        </w:rPr>
      </w:pPr>
      <w:r>
        <w:rPr>
          <w:rFonts w:hint="default" w:ascii="Times New Roman" w:hAnsi="Times New Roman" w:eastAsia="宋体" w:cs="Times New Roman"/>
          <w:b/>
          <w:sz w:val="24"/>
        </w:rPr>
        <w:br w:type="page"/>
      </w:r>
    </w:p>
    <w:p w14:paraId="4FDBDEF7">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8. Association between elite undergraduate education and attainment of a senior government position in the LinkedIn public-administration sample</w:t>
      </w:r>
    </w:p>
    <w:p w14:paraId="65FD67C2">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Main logit model</w:t>
      </w:r>
    </w:p>
    <w:p w14:paraId="5C5D0060">
      <w:pPr>
        <w:pStyle w:val="20"/>
        <w:widowControl/>
        <w:rPr>
          <w:rFonts w:hint="default" w:ascii="Times New Roman" w:hAnsi="Times New Roman" w:cs="Times New Roman"/>
          <w:sz w:val="22"/>
          <w:szCs w:val="28"/>
        </w:rPr>
      </w:pPr>
      <w:r>
        <w:rPr>
          <w:rFonts w:hint="default" w:ascii="Times New Roman" w:hAnsi="Times New Roman" w:cs="Times New Roman"/>
          <w:sz w:val="22"/>
          <w:szCs w:val="28"/>
        </w:rPr>
        <w:t xml:space="preserve">N = 4,522,784; Pseudo R² = 0.0164; AME of elite bachelor’s degree = 0.05 </w:t>
      </w:r>
      <w:r>
        <w:rPr>
          <w:rFonts w:hint="default" w:ascii="Times New Roman" w:hAnsi="Times New Roman" w:cs="Times New Roman"/>
          <w:sz w:val="22"/>
          <w:szCs w:val="28"/>
          <w:lang w:val="en-US" w:eastAsia="zh-CN"/>
        </w:rPr>
        <w:t xml:space="preserve">pp </w:t>
      </w:r>
      <w:r>
        <w:rPr>
          <w:rFonts w:hint="default" w:ascii="Times New Roman" w:hAnsi="Times New Roman" w:cs="Times New Roman"/>
          <w:sz w:val="22"/>
          <w:szCs w:val="28"/>
        </w:rPr>
        <w:t>(p &lt; 0.001); OR = 1.04</w:t>
      </w:r>
    </w:p>
    <w:tbl>
      <w:tblPr>
        <w:tblStyle w:val="5"/>
        <w:tblW w:w="0" w:type="auto"/>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94"/>
        <w:gridCol w:w="1218"/>
        <w:gridCol w:w="1200"/>
        <w:gridCol w:w="923"/>
        <w:gridCol w:w="942"/>
        <w:gridCol w:w="1686"/>
      </w:tblGrid>
      <w:tr w14:paraId="6AE346E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tblHeader/>
          <w:jc w:val="center"/>
        </w:trPr>
        <w:tc>
          <w:tcPr>
            <w:tcW w:w="2294"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9B13B07">
            <w:pPr>
              <w:spacing w:before="0" w:after="0" w:line="240" w:lineRule="auto"/>
              <w:jc w:val="center"/>
              <w:rPr>
                <w:rFonts w:hint="default" w:ascii="Times New Roman" w:hAnsi="Times New Roman" w:cs="Times New Roman"/>
                <w:b/>
                <w:bCs/>
                <w:szCs w:val="21"/>
              </w:rPr>
            </w:pPr>
            <w:r>
              <w:rPr>
                <w:rFonts w:hint="default" w:ascii="Times New Roman" w:hAnsi="Times New Roman" w:eastAsia="宋体" w:cs="Times New Roman"/>
                <w:b/>
                <w:bCs/>
                <w:szCs w:val="21"/>
              </w:rPr>
              <w:t>Variable</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F6C2A">
            <w:pPr>
              <w:spacing w:before="0" w:after="0" w:line="240" w:lineRule="auto"/>
              <w:jc w:val="center"/>
              <w:rPr>
                <w:rFonts w:hint="default" w:ascii="Times New Roman" w:hAnsi="Times New Roman" w:cs="Times New Roman"/>
                <w:b/>
                <w:bCs/>
                <w:szCs w:val="21"/>
              </w:rPr>
            </w:pPr>
            <w:r>
              <w:rPr>
                <w:rFonts w:hint="default" w:ascii="Times New Roman" w:hAnsi="Times New Roman" w:eastAsia="宋体" w:cs="Times New Roman"/>
                <w:b/>
                <w:bCs/>
                <w:szCs w:val="21"/>
              </w:rPr>
              <w:t>Coefficient</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75703">
            <w:pPr>
              <w:spacing w:before="0" w:after="0" w:line="240" w:lineRule="auto"/>
              <w:jc w:val="center"/>
              <w:rPr>
                <w:rFonts w:hint="default" w:ascii="Times New Roman" w:hAnsi="Times New Roman" w:cs="Times New Roman"/>
                <w:b/>
                <w:bCs/>
                <w:szCs w:val="21"/>
              </w:rPr>
            </w:pPr>
            <w:r>
              <w:rPr>
                <w:rFonts w:hint="default" w:ascii="Times New Roman" w:hAnsi="Times New Roman" w:eastAsia="宋体" w:cs="Times New Roman"/>
                <w:b/>
                <w:bCs/>
                <w:szCs w:val="21"/>
              </w:rPr>
              <w:t>Robust SE</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42BF2">
            <w:pPr>
              <w:spacing w:before="0" w:after="0" w:line="240" w:lineRule="auto"/>
              <w:jc w:val="center"/>
              <w:rPr>
                <w:rFonts w:hint="default" w:ascii="Times New Roman" w:hAnsi="Times New Roman" w:cs="Times New Roman"/>
                <w:b/>
                <w:bCs/>
                <w:szCs w:val="21"/>
              </w:rPr>
            </w:pPr>
            <w:r>
              <w:rPr>
                <w:rFonts w:hint="default" w:ascii="Times New Roman" w:hAnsi="Times New Roman" w:eastAsia="宋体" w:cs="Times New Roman"/>
                <w:b/>
                <w:bCs/>
                <w:szCs w:val="21"/>
              </w:rPr>
              <w:t>z</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55C0A">
            <w:pPr>
              <w:spacing w:before="0" w:after="0" w:line="240" w:lineRule="auto"/>
              <w:jc w:val="center"/>
              <w:rPr>
                <w:rFonts w:hint="default" w:ascii="Times New Roman" w:hAnsi="Times New Roman" w:cs="Times New Roman"/>
                <w:b/>
                <w:bCs/>
                <w:szCs w:val="21"/>
              </w:rPr>
            </w:pPr>
            <w:r>
              <w:rPr>
                <w:rFonts w:hint="default" w:ascii="Times New Roman" w:hAnsi="Times New Roman" w:eastAsia="宋体" w:cs="Times New Roman"/>
                <w:b/>
                <w:bCs/>
                <w:szCs w:val="21"/>
                <w:lang w:val="en-US" w:eastAsia="zh-CN"/>
              </w:rPr>
              <w:t>p</w:t>
            </w:r>
            <w:r>
              <w:rPr>
                <w:rFonts w:hint="default" w:ascii="Times New Roman" w:hAnsi="Times New Roman" w:eastAsia="宋体" w:cs="Times New Roman"/>
                <w:szCs w:val="21"/>
              </w:rPr>
              <w:t>-</w:t>
            </w:r>
            <w:r>
              <w:rPr>
                <w:rFonts w:hint="default" w:ascii="Times New Roman" w:hAnsi="Times New Roman" w:eastAsia="宋体" w:cs="Times New Roman"/>
                <w:b/>
                <w:bCs/>
                <w:szCs w:val="21"/>
              </w:rPr>
              <w:t>value</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142F9">
            <w:pPr>
              <w:spacing w:before="0" w:after="0" w:line="240" w:lineRule="auto"/>
              <w:jc w:val="center"/>
              <w:rPr>
                <w:rFonts w:hint="default" w:ascii="Times New Roman" w:hAnsi="Times New Roman" w:cs="Times New Roman"/>
                <w:b/>
                <w:bCs/>
                <w:szCs w:val="21"/>
              </w:rPr>
            </w:pPr>
            <w:r>
              <w:rPr>
                <w:rFonts w:hint="default" w:ascii="Times New Roman" w:hAnsi="Times New Roman" w:eastAsia="宋体" w:cs="Times New Roman"/>
                <w:b/>
                <w:bCs/>
                <w:szCs w:val="21"/>
              </w:rPr>
              <w:t>95% CI</w:t>
            </w:r>
          </w:p>
        </w:tc>
      </w:tr>
      <w:tr w14:paraId="6078D42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8F71B">
            <w:pPr>
              <w:spacing w:before="0" w:after="0" w:line="240" w:lineRule="auto"/>
              <w:jc w:val="left"/>
              <w:rPr>
                <w:rFonts w:hint="default" w:ascii="Times New Roman" w:hAnsi="Times New Roman" w:cs="Times New Roman"/>
                <w:b/>
                <w:bCs/>
                <w:szCs w:val="21"/>
              </w:rPr>
            </w:pPr>
            <w:r>
              <w:rPr>
                <w:rFonts w:hint="default" w:ascii="Times New Roman" w:hAnsi="Times New Roman" w:eastAsia="宋体" w:cs="Times New Roman"/>
                <w:b/>
                <w:bCs/>
                <w:szCs w:val="21"/>
              </w:rPr>
              <w:t>Elite bachelor’s degree</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0E3AA">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0.036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4CB22">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0.009</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9CCC6">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3.89</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DA09F">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&lt;0.001</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29DC0">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[0.018, 0.054]</w:t>
            </w:r>
          </w:p>
        </w:tc>
      </w:tr>
      <w:tr w14:paraId="04C5494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DC6CA">
            <w:pPr>
              <w:spacing w:before="0" w:after="0" w:line="240" w:lineRule="auto"/>
              <w:jc w:val="left"/>
              <w:rPr>
                <w:rFonts w:hint="default" w:ascii="Times New Roman" w:hAnsi="Times New Roman" w:cs="Times New Roman"/>
                <w:b/>
                <w:bCs/>
                <w:szCs w:val="21"/>
              </w:rPr>
            </w:pPr>
            <w:r>
              <w:rPr>
                <w:rFonts w:hint="default" w:ascii="Times New Roman" w:hAnsi="Times New Roman" w:eastAsia="宋体" w:cs="Times New Roman"/>
                <w:b/>
                <w:bCs/>
                <w:szCs w:val="21"/>
              </w:rPr>
              <w:t>Elite master’s degree</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E5F41">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0.001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94BBC">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0.009</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D1BEF">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0.10</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494C0">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0.920</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7199F">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[−0.017, 0.019]</w:t>
            </w:r>
          </w:p>
        </w:tc>
      </w:tr>
      <w:tr w14:paraId="564F1DA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8263"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5C19F9F8">
            <w:pPr>
              <w:spacing w:before="0" w:after="0" w:line="240" w:lineRule="auto"/>
              <w:jc w:val="left"/>
              <w:rPr>
                <w:rFonts w:hint="default" w:ascii="Times New Roman" w:hAnsi="Times New Roman" w:eastAsia="宋体" w:cs="Times New Roman"/>
                <w:szCs w:val="21"/>
              </w:rPr>
            </w:pPr>
            <w:r>
              <w:rPr>
                <w:rFonts w:hint="default" w:ascii="Times New Roman" w:hAnsi="Times New Roman" w:eastAsia="宋体" w:cs="Times New Roman"/>
                <w:b/>
                <w:bCs/>
                <w:kern w:val="0"/>
                <w:szCs w:val="21"/>
                <w:lang w:bidi="ar"/>
              </w:rPr>
              <w:t>Gender (ref: Male)</w:t>
            </w:r>
          </w:p>
        </w:tc>
      </w:tr>
      <w:tr w14:paraId="199DA75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F11A0">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Female</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50DC24">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−0.698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3DB76B">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0.008</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7DF0F9">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−85.84</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32461">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&lt;0.001</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EFCC3">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[−0.714, −0.682]</w:t>
            </w:r>
          </w:p>
        </w:tc>
      </w:tr>
      <w:tr w14:paraId="7A2CB7D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8263"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2BAD9E3E">
            <w:pPr>
              <w:spacing w:before="0" w:after="0" w:line="240" w:lineRule="auto"/>
              <w:jc w:val="left"/>
              <w:rPr>
                <w:rFonts w:hint="default" w:ascii="Times New Roman" w:hAnsi="Times New Roman" w:cs="Times New Roman"/>
                <w:szCs w:val="21"/>
              </w:rPr>
            </w:pPr>
            <w:r>
              <w:rPr>
                <w:rFonts w:hint="default" w:ascii="Times New Roman" w:hAnsi="Times New Roman" w:eastAsia="宋体" w:cs="Times New Roman"/>
                <w:b/>
                <w:bCs/>
                <w:szCs w:val="21"/>
              </w:rPr>
              <w:t>Country (ref: United States)</w:t>
            </w:r>
          </w:p>
        </w:tc>
      </w:tr>
      <w:tr w14:paraId="784D42D3">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8DB8A">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Australia</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CF02A">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0.306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415E9">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0.016</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543FF">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19.00</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F72E0">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&lt;0.001</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F0C99">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[0.275, 0.338]</w:t>
            </w:r>
          </w:p>
        </w:tc>
      </w:tr>
      <w:tr w14:paraId="6215989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6B693">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Canada</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858658">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−0.119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3BB2A">
            <w:pPr>
              <w:spacing w:before="0"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0.018</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820BB">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−6.79</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287C7">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&lt;0.001</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06C2D">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[−0.154, −0.085]</w:t>
            </w:r>
          </w:p>
        </w:tc>
      </w:tr>
      <w:tr w14:paraId="397F043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AD462">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France</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5EB53">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−1.078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008A3">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0.061</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B79D0">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−17.57</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0AFD3F">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&lt;0.001</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D7713">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[−1.199, −0.958]</w:t>
            </w:r>
          </w:p>
        </w:tc>
      </w:tr>
      <w:tr w14:paraId="73D0C21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36187">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Germany</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BAF83">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−0.171</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E3DCD">
            <w:pPr>
              <w:spacing w:before="0"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0.034</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926B3">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−5.11</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AF29DC">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&lt;0.001</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E1356">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[−0.237, −0.105]</w:t>
            </w:r>
          </w:p>
        </w:tc>
      </w:tr>
      <w:tr w14:paraId="4347238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21284">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India</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09588C">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−0.093</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8AD68">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0.031</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991FB">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−2.99</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1FB50">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0.003</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491994">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[−0.154, −0.032]</w:t>
            </w:r>
          </w:p>
        </w:tc>
      </w:tr>
      <w:tr w14:paraId="7EB850B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A90A9">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Italy</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4E835">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−0.719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A2292">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0.046</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8A4B8">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−15.49</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23B912">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&lt;0.001</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B7AE4">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[−0.810, −0.628]</w:t>
            </w:r>
          </w:p>
        </w:tc>
      </w:tr>
      <w:tr w14:paraId="3194E7D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54866">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Netherlands</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092F4">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−0.272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E2283">
            <w:pPr>
              <w:spacing w:before="0"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0.032</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F6AD6">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−8.62</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BC3EC">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&lt;0.001</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41C75">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[−0.334, −0.211]</w:t>
            </w:r>
          </w:p>
        </w:tc>
      </w:tr>
      <w:tr w14:paraId="0503E868">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3754E">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Spain</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48DDB">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−0.779</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72A5F">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0.081</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6ED29">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−9.62</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197DF1">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&lt;0.001</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6C64C">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[−0.938, −0.620]</w:t>
            </w:r>
          </w:p>
        </w:tc>
      </w:tr>
      <w:tr w14:paraId="48374EE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28D0E">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United Kingdom</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042E2">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−0.392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CD8E4">
            <w:pPr>
              <w:spacing w:before="0"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0.019</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D10D9">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−20.90</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2C577">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&lt;0.001</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8C137">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[−0.429, −0.355]</w:t>
            </w:r>
          </w:p>
        </w:tc>
      </w:tr>
      <w:tr w14:paraId="156C4A6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B49652">
            <w:pPr>
              <w:spacing w:before="0" w:after="0" w:line="240" w:lineRule="auto"/>
              <w:jc w:val="left"/>
              <w:rPr>
                <w:rFonts w:hint="default" w:ascii="Times New Roman" w:hAnsi="Times New Roman" w:cs="Times New Roman"/>
                <w:b/>
                <w:bCs/>
                <w:szCs w:val="21"/>
              </w:rPr>
            </w:pPr>
            <w:r>
              <w:rPr>
                <w:rFonts w:hint="default" w:ascii="Times New Roman" w:hAnsi="Times New Roman" w:eastAsia="宋体" w:cs="Times New Roman"/>
                <w:b/>
                <w:bCs/>
                <w:szCs w:val="21"/>
              </w:rPr>
              <w:t>Year (centered at 2000)</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5C3F51">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0.026</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A5835">
            <w:pPr>
              <w:spacing w:before="0"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0.001</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B4C55">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52.03</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58456">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&lt;0.001</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274824">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[0.025, 0.027]</w:t>
            </w:r>
          </w:p>
        </w:tc>
      </w:tr>
      <w:tr w14:paraId="4885280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FE004">
            <w:pPr>
              <w:spacing w:before="0" w:after="0" w:line="240" w:lineRule="auto"/>
              <w:jc w:val="left"/>
              <w:rPr>
                <w:rFonts w:hint="default" w:ascii="Times New Roman" w:hAnsi="Times New Roman" w:cs="Times New Roman"/>
                <w:b/>
                <w:bCs/>
                <w:szCs w:val="21"/>
              </w:rPr>
            </w:pPr>
            <w:r>
              <w:rPr>
                <w:rFonts w:hint="default" w:ascii="Times New Roman" w:hAnsi="Times New Roman" w:eastAsia="宋体" w:cs="Times New Roman"/>
                <w:b/>
                <w:bCs/>
                <w:szCs w:val="21"/>
              </w:rPr>
              <w:t>Constant</w:t>
            </w:r>
          </w:p>
        </w:tc>
        <w:tc>
          <w:tcPr>
            <w:tcW w:w="12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15ACE">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−4.188</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D32053">
            <w:pPr>
              <w:spacing w:before="0"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szCs w:val="21"/>
              </w:rPr>
              <w:t>0.009</w:t>
            </w:r>
          </w:p>
        </w:tc>
        <w:tc>
          <w:tcPr>
            <w:tcW w:w="9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3700E">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−491.67</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6AAD8">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&lt;0.001</w:t>
            </w:r>
          </w:p>
        </w:tc>
        <w:tc>
          <w:tcPr>
            <w:tcW w:w="16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B14221">
            <w:pPr>
              <w:spacing w:before="0" w:after="0" w:line="240" w:lineRule="auto"/>
              <w:jc w:val="center"/>
              <w:rPr>
                <w:rFonts w:hint="default" w:ascii="Times New Roman" w:hAnsi="Times New Roman" w:cs="Times New Roman"/>
                <w:szCs w:val="21"/>
              </w:rPr>
            </w:pPr>
            <w:r>
              <w:rPr>
                <w:rFonts w:hint="default" w:ascii="Times New Roman" w:hAnsi="Times New Roman" w:eastAsia="宋体" w:cs="Times New Roman"/>
                <w:szCs w:val="21"/>
              </w:rPr>
              <w:t>[−4.205, −4.171]</w:t>
            </w:r>
          </w:p>
        </w:tc>
      </w:tr>
    </w:tbl>
    <w:p w14:paraId="496A5AC7">
      <w:pPr>
        <w:pStyle w:val="19"/>
        <w:widowControl/>
        <w:snapToGrid w:val="0"/>
        <w:textAlignment w:val="center"/>
        <w:rPr>
          <w:rFonts w:hint="default" w:ascii="Times New Roman" w:hAnsi="Times New Roman" w:cs="Times New Roman"/>
          <w:b w:val="0"/>
          <w:i w:val="0"/>
          <w:sz w:val="20"/>
          <w:szCs w:val="28"/>
          <w:lang w:eastAsia="zh-CN"/>
        </w:rPr>
      </w:pPr>
      <w:r>
        <w:rPr>
          <w:rFonts w:hint="default" w:ascii="Times New Roman" w:hAnsi="Times New Roman" w:cs="Times New Roman"/>
          <w:b w:val="0"/>
          <w:i w:val="0"/>
          <w:sz w:val="20"/>
          <w:szCs w:val="28"/>
        </w:rPr>
        <w:t>Note. The unit of analysis is the public-administration position record. The dependent variable equals one for Revelio seniority levels 6–7 and zero for other records with valid seniority information. The sample is restricted to public administration (NAICS 92). The model is estimated from aggregated covariate cells using grouped binomial logit; cell counts serve as frequency weights for model estimation and the calculation of AMEs, and N denotes the number of position records represented by the cells. Male and the United States are the reference categories. Year is centered at 2000. Robust standard errors are reported.</w:t>
      </w:r>
    </w:p>
    <w:p w14:paraId="2CC7520D">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Heterogeneity estimates</w:t>
      </w:r>
    </w:p>
    <w:tbl>
      <w:tblPr>
        <w:tblStyle w:val="5"/>
        <w:tblW w:w="0" w:type="auto"/>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31"/>
        <w:gridCol w:w="3369"/>
        <w:gridCol w:w="2215"/>
      </w:tblGrid>
      <w:tr w14:paraId="0DFA17B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tblHeader/>
          <w:jc w:val="center"/>
        </w:trPr>
        <w:tc>
          <w:tcPr>
            <w:tcW w:w="2331"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F19D2C6">
            <w:pPr>
              <w:spacing w:before="0" w:after="0" w:line="240" w:lineRule="auto"/>
              <w:jc w:val="center"/>
              <w:rPr>
                <w:rFonts w:hint="default" w:ascii="Times New Roman" w:hAnsi="Times New Roman" w:cs="Times New Roman"/>
                <w:b/>
                <w:bCs/>
              </w:rPr>
            </w:pPr>
            <w:r>
              <w:rPr>
                <w:rFonts w:hint="default" w:ascii="Times New Roman" w:hAnsi="Times New Roman" w:eastAsia="宋体" w:cs="Times New Roman"/>
                <w:b/>
                <w:bCs/>
              </w:rPr>
              <w:t>Subgroup</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6DCF7">
            <w:pPr>
              <w:spacing w:before="0" w:after="0" w:line="240" w:lineRule="auto"/>
              <w:jc w:val="center"/>
              <w:rPr>
                <w:rFonts w:hint="default" w:ascii="Times New Roman" w:hAnsi="Times New Roman" w:cs="Times New Roman"/>
                <w:b/>
                <w:bCs/>
              </w:rPr>
            </w:pPr>
            <w:r>
              <w:rPr>
                <w:rFonts w:hint="default" w:ascii="Times New Roman" w:hAnsi="Times New Roman" w:eastAsia="宋体" w:cs="Times New Roman"/>
                <w:b/>
                <w:bCs/>
              </w:rPr>
              <w:t>AME, percentage points (95% CI)</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ADAA0">
            <w:pPr>
              <w:spacing w:before="0" w:after="0" w:line="240" w:lineRule="auto"/>
              <w:jc w:val="center"/>
              <w:rPr>
                <w:rFonts w:hint="default" w:ascii="Times New Roman" w:hAnsi="Times New Roman" w:cs="Times New Roman"/>
                <w:b/>
                <w:bCs/>
              </w:rPr>
            </w:pPr>
            <w:r>
              <w:rPr>
                <w:rFonts w:hint="default" w:ascii="Times New Roman" w:hAnsi="Times New Roman" w:eastAsia="宋体" w:cs="Times New Roman"/>
                <w:b/>
                <w:bCs/>
                <w:lang w:val="en-US" w:eastAsia="zh-CN"/>
              </w:rPr>
              <w:t>OR</w:t>
            </w:r>
            <w:r>
              <w:rPr>
                <w:rFonts w:hint="default" w:ascii="Times New Roman" w:hAnsi="Times New Roman" w:eastAsia="宋体" w:cs="Times New Roman"/>
                <w:b/>
                <w:bCs/>
              </w:rPr>
              <w:t xml:space="preserve"> (95% CI)</w:t>
            </w:r>
          </w:p>
        </w:tc>
      </w:tr>
      <w:tr w14:paraId="06255CF6">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791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45D1D7D">
            <w:pPr>
              <w:spacing w:before="0" w:after="0" w:line="240" w:lineRule="auto"/>
              <w:jc w:val="center"/>
              <w:rPr>
                <w:rFonts w:hint="default" w:ascii="Times New Roman" w:hAnsi="Times New Roman" w:cs="Times New Roman"/>
                <w:b/>
                <w:bCs/>
              </w:rPr>
            </w:pPr>
            <w:r>
              <w:rPr>
                <w:rFonts w:hint="default" w:ascii="Times New Roman" w:hAnsi="Times New Roman" w:eastAsia="宋体" w:cs="Times New Roman"/>
                <w:b/>
                <w:bCs/>
              </w:rPr>
              <w:t xml:space="preserve">Panel </w:t>
            </w:r>
            <w:r>
              <w:rPr>
                <w:rFonts w:hint="default" w:ascii="Times New Roman" w:hAnsi="Times New Roman" w:eastAsia="宋体" w:cs="Times New Roman"/>
                <w:b/>
                <w:bCs/>
                <w:lang w:val="en-US" w:eastAsia="zh-CN"/>
              </w:rPr>
              <w:t>B1</w:t>
            </w:r>
            <w:r>
              <w:rPr>
                <w:rFonts w:hint="default" w:ascii="Times New Roman" w:hAnsi="Times New Roman" w:eastAsia="宋体" w:cs="Times New Roman"/>
                <w:b/>
                <w:bCs/>
              </w:rPr>
              <w:t>. Gender</w:t>
            </w:r>
          </w:p>
        </w:tc>
      </w:tr>
      <w:tr w14:paraId="707002D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2C97A0">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Male</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438AE">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−0.07 (−0.11–−0.02)</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60BDF">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0.97 (0.94–0.99)</w:t>
            </w:r>
          </w:p>
        </w:tc>
      </w:tr>
      <w:tr w14:paraId="66266A27">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E166D">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Female</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3C156B">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0.15 (0.12–0.18)</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B306A">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1.16 (1.13–1.19)</w:t>
            </w:r>
          </w:p>
        </w:tc>
      </w:tr>
      <w:tr w14:paraId="58AB97C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D42C7">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Joint test of interaction</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96626">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χ²(1) = 110.49, p &lt;0.001</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AABF3">
            <w:pPr>
              <w:spacing w:before="0" w:after="0" w:line="240" w:lineRule="auto"/>
              <w:jc w:val="center"/>
              <w:rPr>
                <w:rFonts w:hint="default" w:ascii="Times New Roman" w:hAnsi="Times New Roman" w:cs="Times New Roman"/>
              </w:rPr>
            </w:pPr>
          </w:p>
        </w:tc>
      </w:tr>
      <w:tr w14:paraId="2BB3D91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791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AD4AE9F">
            <w:pPr>
              <w:spacing w:before="0" w:after="0" w:line="240" w:lineRule="auto"/>
              <w:jc w:val="center"/>
              <w:rPr>
                <w:rFonts w:hint="default" w:ascii="Times New Roman" w:hAnsi="Times New Roman" w:cs="Times New Roman"/>
                <w:b/>
                <w:bCs/>
              </w:rPr>
            </w:pPr>
            <w:r>
              <w:rPr>
                <w:rFonts w:hint="default" w:ascii="Times New Roman" w:hAnsi="Times New Roman" w:eastAsia="宋体" w:cs="Times New Roman"/>
                <w:b/>
                <w:bCs/>
              </w:rPr>
              <w:t>Panel B</w:t>
            </w:r>
            <w:r>
              <w:rPr>
                <w:rFonts w:hint="default" w:ascii="Times New Roman" w:hAnsi="Times New Roman" w:eastAsia="宋体" w:cs="Times New Roman"/>
                <w:b/>
                <w:bCs/>
                <w:lang w:val="en-US" w:eastAsia="zh-CN"/>
              </w:rPr>
              <w:t>2</w:t>
            </w:r>
            <w:r>
              <w:rPr>
                <w:rFonts w:hint="default" w:ascii="Times New Roman" w:hAnsi="Times New Roman" w:eastAsia="宋体" w:cs="Times New Roman"/>
                <w:b/>
                <w:bCs/>
              </w:rPr>
              <w:t>. Country</w:t>
            </w:r>
          </w:p>
        </w:tc>
      </w:tr>
      <w:tr w14:paraId="47ADB8F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9D7AA">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United States</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9A96D5">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0.01 (−0.02–0.04)</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9E158">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1.00 (0.98–1.03)</w:t>
            </w:r>
          </w:p>
        </w:tc>
      </w:tr>
      <w:tr w14:paraId="6F1EC7E5">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E6790">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United Kingdom</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753F9">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0.19 (0.12–0.27)</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D3FE4">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1.20 (1.12–1.29)</w:t>
            </w:r>
          </w:p>
        </w:tc>
      </w:tr>
      <w:tr w14:paraId="63B3664A">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8D474">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France</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A97062">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0.09 (−0.08–0.25)</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E6523">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1.16 (0.89–1.51)</w:t>
            </w:r>
          </w:p>
        </w:tc>
      </w:tr>
      <w:tr w14:paraId="41F5642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B26D0">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Germany</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3A499">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−0.09 (−0.30–0.13)</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D2E2C">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0.94 (0.80–1.10)</w:t>
            </w:r>
          </w:p>
        </w:tc>
      </w:tr>
      <w:tr w14:paraId="64842381">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D8385">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Australia</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A09D5">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0.44 (0.31–0.56)</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9FD64B">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1.25 (1.17–1.33)</w:t>
            </w:r>
          </w:p>
        </w:tc>
      </w:tr>
      <w:tr w14:paraId="788C318B">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0FABB">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Canada</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67A10">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0.15 (0.06–0.24)</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9BBBF">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1.12 (1.05–1.20)</w:t>
            </w:r>
          </w:p>
        </w:tc>
      </w:tr>
      <w:tr w14:paraId="0928C029">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74"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3CC3F">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Spain</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2A20D">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−0.28 (−0.51–−0.05)</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896FE">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0.64 (0.43–0.96)</w:t>
            </w:r>
          </w:p>
        </w:tc>
      </w:tr>
      <w:tr w14:paraId="1C67F17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DD16B0">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Italy</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71184">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−0.00 (−0.17–0.16)</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72F66">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0.99 (0.80–1.24)</w:t>
            </w:r>
          </w:p>
        </w:tc>
      </w:tr>
      <w:tr w14:paraId="553ACB6F">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4FA469">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Netherlands</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2DFE5">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−0.01 (−0.16–0.15)</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AAB2F1">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1.00 (0.88–1.12)</w:t>
            </w:r>
          </w:p>
        </w:tc>
      </w:tr>
      <w:tr w14:paraId="42F5AC2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D7C17">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India</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01403">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−0.04 (−0.51–0.42)</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5B52D">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0.97 (0.72–1.31)</w:t>
            </w:r>
          </w:p>
        </w:tc>
      </w:tr>
      <w:tr w14:paraId="7B52FF50">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3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937E4">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Joint test of interaction</w:t>
            </w:r>
          </w:p>
        </w:tc>
        <w:tc>
          <w:tcPr>
            <w:tcW w:w="33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4AC904">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χ²(9) = 69.75, p &lt;0.001</w:t>
            </w:r>
          </w:p>
        </w:tc>
        <w:tc>
          <w:tcPr>
            <w:tcW w:w="22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BD6A2">
            <w:pPr>
              <w:spacing w:before="0" w:after="0" w:line="240" w:lineRule="auto"/>
              <w:jc w:val="center"/>
              <w:rPr>
                <w:rFonts w:hint="default" w:ascii="Times New Roman" w:hAnsi="Times New Roman" w:cs="Times New Roman"/>
              </w:rPr>
            </w:pPr>
          </w:p>
        </w:tc>
      </w:tr>
    </w:tbl>
    <w:p w14:paraId="47138E7B">
      <w:pPr>
        <w:pStyle w:val="19"/>
        <w:widowControl/>
        <w:snapToGrid w:val="0"/>
        <w:textAlignment w:val="center"/>
        <w:rPr>
          <w:rFonts w:hint="default" w:ascii="Times New Roman" w:hAnsi="Times New Roman" w:cs="Times New Roman"/>
          <w:b w:val="0"/>
          <w:i w:val="0"/>
          <w:sz w:val="20"/>
          <w:szCs w:val="28"/>
          <w:lang w:val="en-US" w:eastAsia="zh-CN"/>
        </w:rPr>
      </w:pPr>
      <w:r>
        <w:rPr>
          <w:rFonts w:hint="default" w:ascii="Times New Roman" w:hAnsi="Times New Roman" w:cs="Times New Roman"/>
          <w:b w:val="0"/>
          <w:i w:val="0"/>
          <w:sz w:val="20"/>
          <w:szCs w:val="28"/>
        </w:rPr>
        <w:t>Note. AMEs are reported in percentage points. Each panel is estimated from a separate logit model including an interaction between an elite bachelor’s degree and the corresponding subgroup variable, with the same controls as Panel A. Cell counts are used as frequency weights in both model estimation and the calculation of AMEs. Robust standard errors are reported (N = 4,522,784). N denotes the number of position records represented by the aggregated covariate cells.</w:t>
      </w:r>
    </w:p>
    <w:p w14:paraId="2BDDA102">
      <w:pPr>
        <w:widowControl/>
        <w:rPr>
          <w:rFonts w:hint="default" w:ascii="Times New Roman" w:hAnsi="Times New Roman" w:cs="Times New Roman"/>
          <w:sz w:val="20"/>
          <w:szCs w:val="20"/>
        </w:rPr>
      </w:pPr>
    </w:p>
    <w:p w14:paraId="064D7060">
      <w:pPr>
        <w:rPr>
          <w:rFonts w:hint="default" w:ascii="Times New Roman" w:hAnsi="Times New Roman" w:eastAsia="宋体" w:cs="Times New Roman"/>
          <w:b/>
          <w:sz w:val="24"/>
        </w:rPr>
      </w:pPr>
      <w:r>
        <w:rPr>
          <w:rFonts w:hint="default" w:ascii="Times New Roman" w:hAnsi="Times New Roman" w:cs="Times New Roman"/>
          <w:sz w:val="20"/>
          <w:szCs w:val="20"/>
        </w:rPr>
        <w:br w:type="page"/>
      </w:r>
    </w:p>
    <w:p w14:paraId="1433B7F8">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9a. Ordered logit model of administrative-rank attainment by elite undergraduate background in the Chinese government-official sample</w:t>
      </w:r>
    </w:p>
    <w:p w14:paraId="631EB4D8">
      <w:pPr>
        <w:pStyle w:val="20"/>
        <w:rPr>
          <w:rFonts w:hint="default" w:ascii="Times New Roman" w:hAnsi="Times New Roman" w:cs="Times New Roman" w:eastAsiaTheme="minorEastAsia"/>
          <w:sz w:val="22"/>
          <w:szCs w:val="28"/>
          <w:lang w:val="en-US" w:eastAsia="zh-CN"/>
        </w:rPr>
      </w:pPr>
      <w:r>
        <w:rPr>
          <w:rFonts w:hint="default" w:ascii="Times New Roman" w:hAnsi="Times New Roman" w:cs="Times New Roman"/>
          <w:sz w:val="22"/>
          <w:szCs w:val="28"/>
        </w:rPr>
        <w:t>N = 2,187; Pseudo R² = 0.0917: OR = 1.74; AME of elite bachelor’s degree = 1</w:t>
      </w:r>
      <w:r>
        <w:rPr>
          <w:rFonts w:hint="default" w:ascii="Times New Roman" w:hAnsi="Times New Roman" w:cs="Times New Roman"/>
          <w:sz w:val="22"/>
          <w:szCs w:val="28"/>
          <w:lang w:val="en-US" w:eastAsia="zh-CN"/>
        </w:rPr>
        <w:t>.</w:t>
      </w:r>
      <w:r>
        <w:rPr>
          <w:rFonts w:hint="default" w:ascii="Times New Roman" w:hAnsi="Times New Roman" w:cs="Times New Roman"/>
          <w:sz w:val="22"/>
          <w:szCs w:val="28"/>
        </w:rPr>
        <w:t>27</w:t>
      </w:r>
      <w:r>
        <w:rPr>
          <w:rFonts w:hint="default" w:ascii="Times New Roman" w:hAnsi="Times New Roman" w:cs="Times New Roman"/>
          <w:sz w:val="22"/>
          <w:szCs w:val="28"/>
          <w:lang w:val="en-US" w:eastAsia="zh-CN"/>
        </w:rPr>
        <w:t xml:space="preserve"> pp</w:t>
      </w:r>
    </w:p>
    <w:p w14:paraId="399336D8">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Ordered logit estimates</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0"/>
        <w:gridCol w:w="1200"/>
        <w:gridCol w:w="1172"/>
        <w:gridCol w:w="776"/>
        <w:gridCol w:w="941"/>
        <w:gridCol w:w="1669"/>
      </w:tblGrid>
      <w:tr w14:paraId="35FA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blHeader/>
          <w:jc w:val="center"/>
        </w:trPr>
        <w:tc>
          <w:tcPr>
            <w:tcW w:w="2870" w:type="dxa"/>
            <w:vAlign w:val="center"/>
          </w:tcPr>
          <w:p w14:paraId="5A62A587">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Variable</w:t>
            </w:r>
          </w:p>
        </w:tc>
        <w:tc>
          <w:tcPr>
            <w:tcW w:w="1200" w:type="dxa"/>
            <w:vAlign w:val="center"/>
          </w:tcPr>
          <w:p w14:paraId="4CD0BD50">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Coefficient</w:t>
            </w:r>
          </w:p>
        </w:tc>
        <w:tc>
          <w:tcPr>
            <w:tcW w:w="1172" w:type="dxa"/>
            <w:vAlign w:val="center"/>
          </w:tcPr>
          <w:p w14:paraId="320A6D3A">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Robust SE</w:t>
            </w:r>
          </w:p>
        </w:tc>
        <w:tc>
          <w:tcPr>
            <w:tcW w:w="776" w:type="dxa"/>
            <w:vAlign w:val="center"/>
          </w:tcPr>
          <w:p w14:paraId="250BD812">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z</w:t>
            </w:r>
          </w:p>
        </w:tc>
        <w:tc>
          <w:tcPr>
            <w:tcW w:w="941" w:type="dxa"/>
            <w:vAlign w:val="center"/>
          </w:tcPr>
          <w:p w14:paraId="7759AAAD">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p-value</w:t>
            </w:r>
          </w:p>
        </w:tc>
        <w:tc>
          <w:tcPr>
            <w:tcW w:w="1669" w:type="dxa"/>
            <w:vAlign w:val="center"/>
          </w:tcPr>
          <w:p w14:paraId="7E3CAD2F">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95% CI</w:t>
            </w:r>
          </w:p>
        </w:tc>
      </w:tr>
      <w:tr w14:paraId="385E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8628" w:type="dxa"/>
            <w:gridSpan w:val="6"/>
            <w:vAlign w:val="center"/>
          </w:tcPr>
          <w:p w14:paraId="0DE16EE6">
            <w:pPr>
              <w:widowControl/>
              <w:spacing w:before="0" w:after="0" w:line="240" w:lineRule="auto"/>
              <w:jc w:val="left"/>
              <w:textAlignment w:val="center"/>
              <w:rPr>
                <w:rFonts w:hint="default" w:ascii="Times New Roman" w:hAnsi="Times New Roman" w:eastAsia="宋体" w:cs="Times New Roman"/>
                <w:b/>
                <w:bCs/>
                <w:kern w:val="0"/>
                <w:sz w:val="21"/>
                <w:szCs w:val="21"/>
                <w:lang w:bidi="ar"/>
              </w:rPr>
            </w:pPr>
            <w:r>
              <w:rPr>
                <w:rFonts w:hint="default" w:ascii="Times New Roman" w:hAnsi="Times New Roman" w:eastAsia="宋体" w:cs="Times New Roman"/>
                <w:b/>
                <w:bCs/>
                <w:kern w:val="0"/>
                <w:sz w:val="21"/>
                <w:szCs w:val="21"/>
                <w:lang w:bidi="ar"/>
              </w:rPr>
              <w:t>Education level (ref: bachelor’s degree)</w:t>
            </w:r>
          </w:p>
        </w:tc>
      </w:tr>
      <w:tr w14:paraId="668A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870" w:type="dxa"/>
            <w:vAlign w:val="center"/>
          </w:tcPr>
          <w:p w14:paraId="3D028D2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Master’s degree or above</w:t>
            </w:r>
          </w:p>
        </w:tc>
        <w:tc>
          <w:tcPr>
            <w:tcW w:w="1200" w:type="dxa"/>
            <w:vAlign w:val="center"/>
          </w:tcPr>
          <w:p w14:paraId="023C591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−0.080</w:t>
            </w:r>
          </w:p>
        </w:tc>
        <w:tc>
          <w:tcPr>
            <w:tcW w:w="1172" w:type="dxa"/>
            <w:vAlign w:val="center"/>
          </w:tcPr>
          <w:p w14:paraId="47948CD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0.160</w:t>
            </w:r>
          </w:p>
        </w:tc>
        <w:tc>
          <w:tcPr>
            <w:tcW w:w="776" w:type="dxa"/>
            <w:vAlign w:val="center"/>
          </w:tcPr>
          <w:p w14:paraId="7F3C0ADD">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−0.50</w:t>
            </w:r>
          </w:p>
        </w:tc>
        <w:tc>
          <w:tcPr>
            <w:tcW w:w="941" w:type="dxa"/>
            <w:vAlign w:val="center"/>
          </w:tcPr>
          <w:p w14:paraId="1B556282">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0.615</w:t>
            </w:r>
          </w:p>
        </w:tc>
        <w:tc>
          <w:tcPr>
            <w:tcW w:w="1669" w:type="dxa"/>
            <w:vAlign w:val="center"/>
          </w:tcPr>
          <w:p w14:paraId="4AE60DB7">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[−0.394, 0.233]</w:t>
            </w:r>
          </w:p>
        </w:tc>
      </w:tr>
      <w:tr w14:paraId="738B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8628" w:type="dxa"/>
            <w:gridSpan w:val="6"/>
            <w:vAlign w:val="center"/>
          </w:tcPr>
          <w:p w14:paraId="44CC8A17">
            <w:pPr>
              <w:widowControl/>
              <w:spacing w:before="0" w:after="0" w:line="240" w:lineRule="auto"/>
              <w:jc w:val="left"/>
              <w:textAlignment w:val="center"/>
              <w:rPr>
                <w:rFonts w:hint="default" w:ascii="Times New Roman" w:hAnsi="Times New Roman" w:eastAsia="宋体" w:cs="Times New Roman"/>
                <w:b/>
                <w:bCs/>
                <w:kern w:val="0"/>
                <w:sz w:val="21"/>
                <w:szCs w:val="21"/>
                <w:lang w:bidi="ar"/>
              </w:rPr>
            </w:pPr>
            <w:r>
              <w:rPr>
                <w:rFonts w:hint="default" w:ascii="Times New Roman" w:hAnsi="Times New Roman" w:eastAsia="宋体" w:cs="Times New Roman"/>
                <w:b/>
                <w:bCs/>
                <w:kern w:val="0"/>
                <w:sz w:val="21"/>
                <w:szCs w:val="21"/>
                <w:lang w:bidi="ar"/>
              </w:rPr>
              <w:t>Undergraduate institution (ref: non-elite institution)</w:t>
            </w:r>
          </w:p>
        </w:tc>
      </w:tr>
      <w:tr w14:paraId="152B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870" w:type="dxa"/>
            <w:vAlign w:val="center"/>
          </w:tcPr>
          <w:p w14:paraId="7A8CDAA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Elite undergraduate institution</w:t>
            </w:r>
          </w:p>
        </w:tc>
        <w:tc>
          <w:tcPr>
            <w:tcW w:w="1200" w:type="dxa"/>
            <w:vAlign w:val="center"/>
          </w:tcPr>
          <w:p w14:paraId="38A8E14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0.553</w:t>
            </w:r>
          </w:p>
        </w:tc>
        <w:tc>
          <w:tcPr>
            <w:tcW w:w="1172" w:type="dxa"/>
            <w:vAlign w:val="center"/>
          </w:tcPr>
          <w:p w14:paraId="77DB705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0.131</w:t>
            </w:r>
          </w:p>
        </w:tc>
        <w:tc>
          <w:tcPr>
            <w:tcW w:w="776" w:type="dxa"/>
            <w:vAlign w:val="center"/>
          </w:tcPr>
          <w:p w14:paraId="45B32919">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4.23</w:t>
            </w:r>
          </w:p>
        </w:tc>
        <w:tc>
          <w:tcPr>
            <w:tcW w:w="941" w:type="dxa"/>
            <w:vAlign w:val="center"/>
          </w:tcPr>
          <w:p w14:paraId="587E411B">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c>
          <w:tcPr>
            <w:tcW w:w="1669" w:type="dxa"/>
            <w:vAlign w:val="center"/>
          </w:tcPr>
          <w:p w14:paraId="2FE3CD8C">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[0.297, 0.809]</w:t>
            </w:r>
          </w:p>
        </w:tc>
      </w:tr>
      <w:tr w14:paraId="768C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8628" w:type="dxa"/>
            <w:gridSpan w:val="6"/>
            <w:vAlign w:val="center"/>
          </w:tcPr>
          <w:p w14:paraId="0F1A51F8">
            <w:pPr>
              <w:widowControl/>
              <w:spacing w:before="0" w:after="0" w:line="240" w:lineRule="auto"/>
              <w:jc w:val="left"/>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b/>
                <w:bCs/>
                <w:kern w:val="0"/>
                <w:sz w:val="21"/>
                <w:szCs w:val="21"/>
                <w:lang w:bidi="ar"/>
              </w:rPr>
              <w:t>Gender (ref: Male)</w:t>
            </w:r>
          </w:p>
        </w:tc>
      </w:tr>
      <w:tr w14:paraId="3B6E1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870" w:type="dxa"/>
            <w:vAlign w:val="center"/>
          </w:tcPr>
          <w:p w14:paraId="415BA6B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Female</w:t>
            </w:r>
          </w:p>
        </w:tc>
        <w:tc>
          <w:tcPr>
            <w:tcW w:w="1200" w:type="dxa"/>
            <w:vAlign w:val="center"/>
          </w:tcPr>
          <w:p w14:paraId="1B8C2D5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−0.162</w:t>
            </w:r>
          </w:p>
        </w:tc>
        <w:tc>
          <w:tcPr>
            <w:tcW w:w="1172" w:type="dxa"/>
            <w:vAlign w:val="center"/>
          </w:tcPr>
          <w:p w14:paraId="270141E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0.334</w:t>
            </w:r>
          </w:p>
        </w:tc>
        <w:tc>
          <w:tcPr>
            <w:tcW w:w="776" w:type="dxa"/>
            <w:vAlign w:val="center"/>
          </w:tcPr>
          <w:p w14:paraId="535EDF9E">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−0.49</w:t>
            </w:r>
          </w:p>
        </w:tc>
        <w:tc>
          <w:tcPr>
            <w:tcW w:w="941" w:type="dxa"/>
            <w:vAlign w:val="center"/>
          </w:tcPr>
          <w:p w14:paraId="5DE3402F">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0.626</w:t>
            </w:r>
          </w:p>
        </w:tc>
        <w:tc>
          <w:tcPr>
            <w:tcW w:w="1669" w:type="dxa"/>
            <w:vAlign w:val="center"/>
          </w:tcPr>
          <w:p w14:paraId="4DCB26F4">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[−0.816, 0.491]</w:t>
            </w:r>
          </w:p>
        </w:tc>
      </w:tr>
      <w:tr w14:paraId="4D0C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8628" w:type="dxa"/>
            <w:gridSpan w:val="6"/>
            <w:vAlign w:val="center"/>
          </w:tcPr>
          <w:p w14:paraId="7DECF60B">
            <w:pPr>
              <w:widowControl/>
              <w:spacing w:before="0" w:after="0" w:line="240" w:lineRule="auto"/>
              <w:jc w:val="left"/>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b/>
                <w:bCs/>
                <w:kern w:val="0"/>
                <w:sz w:val="21"/>
                <w:szCs w:val="21"/>
                <w:lang w:bidi="ar"/>
              </w:rPr>
              <w:t>Discipline (ref: Non-STEM)</w:t>
            </w:r>
          </w:p>
        </w:tc>
      </w:tr>
      <w:tr w14:paraId="1F90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870" w:type="dxa"/>
            <w:vAlign w:val="center"/>
          </w:tcPr>
          <w:p w14:paraId="5E25940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STEM</w:t>
            </w:r>
          </w:p>
        </w:tc>
        <w:tc>
          <w:tcPr>
            <w:tcW w:w="1200" w:type="dxa"/>
            <w:vAlign w:val="center"/>
          </w:tcPr>
          <w:p w14:paraId="32C7A66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0.652</w:t>
            </w:r>
          </w:p>
        </w:tc>
        <w:tc>
          <w:tcPr>
            <w:tcW w:w="1172" w:type="dxa"/>
            <w:vAlign w:val="center"/>
          </w:tcPr>
          <w:p w14:paraId="5506DF4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0.137</w:t>
            </w:r>
          </w:p>
        </w:tc>
        <w:tc>
          <w:tcPr>
            <w:tcW w:w="776" w:type="dxa"/>
            <w:vAlign w:val="center"/>
          </w:tcPr>
          <w:p w14:paraId="0BFD1585">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4.75</w:t>
            </w:r>
          </w:p>
        </w:tc>
        <w:tc>
          <w:tcPr>
            <w:tcW w:w="941" w:type="dxa"/>
            <w:vAlign w:val="center"/>
          </w:tcPr>
          <w:p w14:paraId="3023B0AA">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c>
          <w:tcPr>
            <w:tcW w:w="1669" w:type="dxa"/>
            <w:vAlign w:val="center"/>
          </w:tcPr>
          <w:p w14:paraId="0F33D97F">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[0.383, 0.922]</w:t>
            </w:r>
          </w:p>
        </w:tc>
      </w:tr>
      <w:tr w14:paraId="3721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870" w:type="dxa"/>
            <w:vAlign w:val="center"/>
          </w:tcPr>
          <w:p w14:paraId="7A55E71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Entry year (centered)</w:t>
            </w:r>
          </w:p>
        </w:tc>
        <w:tc>
          <w:tcPr>
            <w:tcW w:w="1200" w:type="dxa"/>
            <w:vAlign w:val="center"/>
          </w:tcPr>
          <w:p w14:paraId="191744F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−0.065</w:t>
            </w:r>
          </w:p>
        </w:tc>
        <w:tc>
          <w:tcPr>
            <w:tcW w:w="1172" w:type="dxa"/>
            <w:vAlign w:val="center"/>
          </w:tcPr>
          <w:p w14:paraId="7B56989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0.008</w:t>
            </w:r>
          </w:p>
        </w:tc>
        <w:tc>
          <w:tcPr>
            <w:tcW w:w="776" w:type="dxa"/>
            <w:vAlign w:val="center"/>
          </w:tcPr>
          <w:p w14:paraId="6C5925DB">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−7.88</w:t>
            </w:r>
          </w:p>
        </w:tc>
        <w:tc>
          <w:tcPr>
            <w:tcW w:w="941" w:type="dxa"/>
            <w:vAlign w:val="center"/>
          </w:tcPr>
          <w:p w14:paraId="488C81ED">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c>
          <w:tcPr>
            <w:tcW w:w="1669" w:type="dxa"/>
            <w:vAlign w:val="center"/>
          </w:tcPr>
          <w:p w14:paraId="77AAC551">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[−0.082, −0.049]</w:t>
            </w:r>
          </w:p>
        </w:tc>
      </w:tr>
      <w:tr w14:paraId="6EA0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8628" w:type="dxa"/>
            <w:gridSpan w:val="6"/>
            <w:vAlign w:val="center"/>
          </w:tcPr>
          <w:p w14:paraId="706A0D51">
            <w:pPr>
              <w:widowControl/>
              <w:spacing w:before="0" w:after="0" w:line="240" w:lineRule="auto"/>
              <w:jc w:val="left"/>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b/>
                <w:bCs/>
                <w:kern w:val="0"/>
                <w:sz w:val="21"/>
                <w:szCs w:val="21"/>
                <w:lang w:bidi="ar"/>
              </w:rPr>
              <w:t>Region (ref: East)</w:t>
            </w:r>
          </w:p>
        </w:tc>
      </w:tr>
      <w:tr w14:paraId="24D7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870" w:type="dxa"/>
            <w:vAlign w:val="center"/>
          </w:tcPr>
          <w:p w14:paraId="7D956EF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Central region</w:t>
            </w:r>
          </w:p>
        </w:tc>
        <w:tc>
          <w:tcPr>
            <w:tcW w:w="1200" w:type="dxa"/>
            <w:vAlign w:val="center"/>
          </w:tcPr>
          <w:p w14:paraId="655AB30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−0.469</w:t>
            </w:r>
          </w:p>
        </w:tc>
        <w:tc>
          <w:tcPr>
            <w:tcW w:w="1172" w:type="dxa"/>
            <w:vAlign w:val="center"/>
          </w:tcPr>
          <w:p w14:paraId="6DC5C6A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0.158</w:t>
            </w:r>
          </w:p>
        </w:tc>
        <w:tc>
          <w:tcPr>
            <w:tcW w:w="776" w:type="dxa"/>
            <w:vAlign w:val="center"/>
          </w:tcPr>
          <w:p w14:paraId="116FF8CF">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−2.97</w:t>
            </w:r>
          </w:p>
        </w:tc>
        <w:tc>
          <w:tcPr>
            <w:tcW w:w="941" w:type="dxa"/>
            <w:vAlign w:val="center"/>
          </w:tcPr>
          <w:p w14:paraId="6C4E297B">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0.003</w:t>
            </w:r>
          </w:p>
        </w:tc>
        <w:tc>
          <w:tcPr>
            <w:tcW w:w="1669" w:type="dxa"/>
            <w:vAlign w:val="center"/>
          </w:tcPr>
          <w:p w14:paraId="480AA743">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[−0.778, −0.160]</w:t>
            </w:r>
          </w:p>
        </w:tc>
      </w:tr>
      <w:tr w14:paraId="6DCD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870" w:type="dxa"/>
            <w:vAlign w:val="center"/>
          </w:tcPr>
          <w:p w14:paraId="630474C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Western region</w:t>
            </w:r>
          </w:p>
        </w:tc>
        <w:tc>
          <w:tcPr>
            <w:tcW w:w="1200" w:type="dxa"/>
            <w:vAlign w:val="center"/>
          </w:tcPr>
          <w:p w14:paraId="73B0614C">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−0.553</w:t>
            </w:r>
          </w:p>
        </w:tc>
        <w:tc>
          <w:tcPr>
            <w:tcW w:w="1172" w:type="dxa"/>
            <w:vAlign w:val="center"/>
          </w:tcPr>
          <w:p w14:paraId="65B5BC3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0.175</w:t>
            </w:r>
          </w:p>
        </w:tc>
        <w:tc>
          <w:tcPr>
            <w:tcW w:w="776" w:type="dxa"/>
            <w:vAlign w:val="center"/>
          </w:tcPr>
          <w:p w14:paraId="74E010E7">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−3.15</w:t>
            </w:r>
          </w:p>
        </w:tc>
        <w:tc>
          <w:tcPr>
            <w:tcW w:w="941" w:type="dxa"/>
            <w:vAlign w:val="center"/>
          </w:tcPr>
          <w:p w14:paraId="09E7942F">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0.002</w:t>
            </w:r>
          </w:p>
        </w:tc>
        <w:tc>
          <w:tcPr>
            <w:tcW w:w="1669" w:type="dxa"/>
            <w:vAlign w:val="center"/>
          </w:tcPr>
          <w:p w14:paraId="268AA8A2">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[−0.896, −0.209]</w:t>
            </w:r>
          </w:p>
        </w:tc>
      </w:tr>
      <w:tr w14:paraId="642D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870" w:type="dxa"/>
            <w:vAlign w:val="center"/>
          </w:tcPr>
          <w:p w14:paraId="35BFFF4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Northeastern region</w:t>
            </w:r>
          </w:p>
        </w:tc>
        <w:tc>
          <w:tcPr>
            <w:tcW w:w="1200" w:type="dxa"/>
            <w:vAlign w:val="center"/>
          </w:tcPr>
          <w:p w14:paraId="0C1C78E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−0.123</w:t>
            </w:r>
          </w:p>
        </w:tc>
        <w:tc>
          <w:tcPr>
            <w:tcW w:w="1172" w:type="dxa"/>
            <w:vAlign w:val="center"/>
          </w:tcPr>
          <w:p w14:paraId="65E6EF9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0.218</w:t>
            </w:r>
          </w:p>
        </w:tc>
        <w:tc>
          <w:tcPr>
            <w:tcW w:w="776" w:type="dxa"/>
            <w:vAlign w:val="center"/>
          </w:tcPr>
          <w:p w14:paraId="001B6406">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−0.57</w:t>
            </w:r>
          </w:p>
        </w:tc>
        <w:tc>
          <w:tcPr>
            <w:tcW w:w="941" w:type="dxa"/>
            <w:vAlign w:val="center"/>
          </w:tcPr>
          <w:p w14:paraId="1D9AEEBC">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0.572</w:t>
            </w:r>
          </w:p>
        </w:tc>
        <w:tc>
          <w:tcPr>
            <w:tcW w:w="1669" w:type="dxa"/>
            <w:vAlign w:val="center"/>
          </w:tcPr>
          <w:p w14:paraId="70A65EBB">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[−0.550, 0.304]</w:t>
            </w:r>
          </w:p>
        </w:tc>
      </w:tr>
      <w:tr w14:paraId="4A24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870" w:type="dxa"/>
            <w:vAlign w:val="center"/>
          </w:tcPr>
          <w:p w14:paraId="6BE56A8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Cut 1</w:t>
            </w:r>
          </w:p>
        </w:tc>
        <w:tc>
          <w:tcPr>
            <w:tcW w:w="1200" w:type="dxa"/>
            <w:vAlign w:val="center"/>
          </w:tcPr>
          <w:p w14:paraId="13D46CB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1.463</w:t>
            </w:r>
          </w:p>
        </w:tc>
        <w:tc>
          <w:tcPr>
            <w:tcW w:w="1172" w:type="dxa"/>
            <w:vAlign w:val="center"/>
          </w:tcPr>
          <w:p w14:paraId="786F17DC">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0.150</w:t>
            </w:r>
          </w:p>
        </w:tc>
        <w:tc>
          <w:tcPr>
            <w:tcW w:w="776" w:type="dxa"/>
            <w:vAlign w:val="center"/>
          </w:tcPr>
          <w:p w14:paraId="4DBCC76E">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w:t>
            </w:r>
          </w:p>
        </w:tc>
        <w:tc>
          <w:tcPr>
            <w:tcW w:w="941" w:type="dxa"/>
            <w:vAlign w:val="center"/>
          </w:tcPr>
          <w:p w14:paraId="5B597BC1">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w:t>
            </w:r>
          </w:p>
        </w:tc>
        <w:tc>
          <w:tcPr>
            <w:tcW w:w="1669" w:type="dxa"/>
            <w:vAlign w:val="center"/>
          </w:tcPr>
          <w:p w14:paraId="16CF3FFE">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[1.169, 1.758]</w:t>
            </w:r>
          </w:p>
        </w:tc>
      </w:tr>
      <w:tr w14:paraId="714B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870" w:type="dxa"/>
            <w:vAlign w:val="center"/>
          </w:tcPr>
          <w:p w14:paraId="66B7C37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Cut 2</w:t>
            </w:r>
          </w:p>
        </w:tc>
        <w:tc>
          <w:tcPr>
            <w:tcW w:w="1200" w:type="dxa"/>
            <w:vAlign w:val="center"/>
          </w:tcPr>
          <w:p w14:paraId="7DB514D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3.614</w:t>
            </w:r>
          </w:p>
        </w:tc>
        <w:tc>
          <w:tcPr>
            <w:tcW w:w="1172" w:type="dxa"/>
            <w:vAlign w:val="center"/>
          </w:tcPr>
          <w:p w14:paraId="29C2AFB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0.193</w:t>
            </w:r>
          </w:p>
        </w:tc>
        <w:tc>
          <w:tcPr>
            <w:tcW w:w="776" w:type="dxa"/>
            <w:vAlign w:val="center"/>
          </w:tcPr>
          <w:p w14:paraId="000BA81B">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w:t>
            </w:r>
          </w:p>
        </w:tc>
        <w:tc>
          <w:tcPr>
            <w:tcW w:w="941" w:type="dxa"/>
            <w:vAlign w:val="center"/>
          </w:tcPr>
          <w:p w14:paraId="55BE951B">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w:t>
            </w:r>
          </w:p>
        </w:tc>
        <w:tc>
          <w:tcPr>
            <w:tcW w:w="1669" w:type="dxa"/>
            <w:vAlign w:val="center"/>
          </w:tcPr>
          <w:p w14:paraId="67FF9379">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[3.236, 3.993]</w:t>
            </w:r>
          </w:p>
        </w:tc>
      </w:tr>
    </w:tbl>
    <w:p w14:paraId="101E6990">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Adjusted predicted probability of attaining national-level rank</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5"/>
        <w:gridCol w:w="1791"/>
        <w:gridCol w:w="1224"/>
        <w:gridCol w:w="890"/>
        <w:gridCol w:w="970"/>
        <w:gridCol w:w="1470"/>
      </w:tblGrid>
      <w:tr w14:paraId="22A9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blHeader/>
          <w:jc w:val="center"/>
        </w:trPr>
        <w:tc>
          <w:tcPr>
            <w:tcW w:w="1925" w:type="dxa"/>
            <w:vAlign w:val="center"/>
          </w:tcPr>
          <w:p w14:paraId="19548797">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Undergraduate background</w:t>
            </w:r>
          </w:p>
        </w:tc>
        <w:tc>
          <w:tcPr>
            <w:tcW w:w="1791" w:type="dxa"/>
            <w:vAlign w:val="center"/>
          </w:tcPr>
          <w:p w14:paraId="2F9FB0FE">
            <w:pPr>
              <w:widowControl/>
              <w:snapToGrid w:val="0"/>
              <w:spacing w:before="0" w:after="0" w:line="240" w:lineRule="auto"/>
              <w:jc w:val="center"/>
              <w:textAlignment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kern w:val="0"/>
                <w:sz w:val="21"/>
                <w:szCs w:val="21"/>
                <w:lang w:val="en-US" w:eastAsia="zh-CN" w:bidi="ar"/>
              </w:rPr>
              <w:t>Predicted probability (%)</w:t>
            </w:r>
          </w:p>
        </w:tc>
        <w:tc>
          <w:tcPr>
            <w:tcW w:w="1224" w:type="dxa"/>
            <w:vAlign w:val="center"/>
          </w:tcPr>
          <w:p w14:paraId="541AB384">
            <w:pPr>
              <w:widowControl/>
              <w:snapToGrid w:val="0"/>
              <w:spacing w:before="0" w:after="0" w:line="240" w:lineRule="auto"/>
              <w:jc w:val="center"/>
              <w:textAlignment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kern w:val="0"/>
                <w:sz w:val="21"/>
                <w:szCs w:val="21"/>
                <w:lang w:bidi="ar"/>
              </w:rPr>
              <w:t>SE</w:t>
            </w:r>
            <w:r>
              <w:rPr>
                <w:rFonts w:hint="default" w:ascii="Times New Roman" w:hAnsi="Times New Roman" w:eastAsia="宋体" w:cs="Times New Roman"/>
                <w:b/>
                <w:bCs/>
                <w:kern w:val="0"/>
                <w:sz w:val="21"/>
                <w:szCs w:val="21"/>
                <w:lang w:val="en-US" w:eastAsia="zh-CN" w:bidi="ar"/>
              </w:rPr>
              <w:t xml:space="preserve"> (pp)</w:t>
            </w:r>
          </w:p>
        </w:tc>
        <w:tc>
          <w:tcPr>
            <w:tcW w:w="890" w:type="dxa"/>
            <w:vAlign w:val="center"/>
          </w:tcPr>
          <w:p w14:paraId="79B2596A">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z</w:t>
            </w:r>
          </w:p>
        </w:tc>
        <w:tc>
          <w:tcPr>
            <w:tcW w:w="970" w:type="dxa"/>
            <w:vAlign w:val="center"/>
          </w:tcPr>
          <w:p w14:paraId="792FE800">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p−value</w:t>
            </w:r>
          </w:p>
        </w:tc>
        <w:tc>
          <w:tcPr>
            <w:tcW w:w="1470" w:type="dxa"/>
            <w:vAlign w:val="center"/>
          </w:tcPr>
          <w:p w14:paraId="542B9AA2">
            <w:pPr>
              <w:widowControl/>
              <w:snapToGrid w:val="0"/>
              <w:spacing w:before="0" w:after="0" w:line="240" w:lineRule="auto"/>
              <w:jc w:val="center"/>
              <w:textAlignment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kern w:val="0"/>
                <w:sz w:val="21"/>
                <w:szCs w:val="21"/>
                <w:lang w:bidi="ar"/>
              </w:rPr>
              <w:t>95% CI</w:t>
            </w:r>
            <w:r>
              <w:rPr>
                <w:rFonts w:hint="default" w:ascii="Times New Roman" w:hAnsi="Times New Roman" w:eastAsia="宋体" w:cs="Times New Roman"/>
                <w:b/>
                <w:bCs/>
                <w:kern w:val="0"/>
                <w:sz w:val="21"/>
                <w:szCs w:val="21"/>
                <w:lang w:val="en-US" w:eastAsia="zh-CN" w:bidi="ar"/>
              </w:rPr>
              <w:t xml:space="preserve"> (%)</w:t>
            </w:r>
          </w:p>
        </w:tc>
      </w:tr>
      <w:tr w14:paraId="026B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925" w:type="dxa"/>
            <w:vAlign w:val="center"/>
          </w:tcPr>
          <w:p w14:paraId="56FBB18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Non−elite</w:t>
            </w:r>
          </w:p>
        </w:tc>
        <w:tc>
          <w:tcPr>
            <w:tcW w:w="1791" w:type="dxa"/>
            <w:vAlign w:val="center"/>
          </w:tcPr>
          <w:p w14:paraId="2E1DFAAE">
            <w:pPr>
              <w:widowControl/>
              <w:snapToGrid w:val="0"/>
              <w:spacing w:before="0" w:after="0" w:line="240" w:lineRule="auto"/>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val="en-US" w:eastAsia="zh-CN" w:bidi="ar"/>
              </w:rPr>
              <w:t>1.84</w:t>
            </w:r>
          </w:p>
        </w:tc>
        <w:tc>
          <w:tcPr>
            <w:tcW w:w="1224" w:type="dxa"/>
            <w:vAlign w:val="center"/>
          </w:tcPr>
          <w:p w14:paraId="467FCDF8">
            <w:pPr>
              <w:widowControl/>
              <w:snapToGrid w:val="0"/>
              <w:spacing w:before="0" w:after="0" w:line="240" w:lineRule="auto"/>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val="en-US" w:eastAsia="zh-CN" w:bidi="ar"/>
              </w:rPr>
              <w:t>0.27</w:t>
            </w:r>
          </w:p>
        </w:tc>
        <w:tc>
          <w:tcPr>
            <w:tcW w:w="890" w:type="dxa"/>
            <w:vAlign w:val="center"/>
          </w:tcPr>
          <w:p w14:paraId="2A1F2D2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6.76</w:t>
            </w:r>
          </w:p>
        </w:tc>
        <w:tc>
          <w:tcPr>
            <w:tcW w:w="970" w:type="dxa"/>
            <w:vAlign w:val="center"/>
          </w:tcPr>
          <w:p w14:paraId="14FC6DA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&lt;0.001</w:t>
            </w:r>
          </w:p>
        </w:tc>
        <w:tc>
          <w:tcPr>
            <w:tcW w:w="1470" w:type="dxa"/>
            <w:vAlign w:val="center"/>
          </w:tcPr>
          <w:p w14:paraId="4B51407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3</w:t>
            </w:r>
            <w:r>
              <w:rPr>
                <w:rFonts w:hint="default" w:ascii="Times New Roman" w:hAnsi="Times New Roman" w:eastAsia="宋体" w:cs="Times New Roman"/>
                <w:kern w:val="0"/>
                <w:sz w:val="21"/>
                <w:szCs w:val="21"/>
                <w:lang w:val="en-US" w:eastAsia="zh-CN" w:bidi="ar"/>
              </w:rPr>
              <w:t>1</w:t>
            </w:r>
            <w:r>
              <w:rPr>
                <w:rFonts w:hint="default" w:ascii="Times New Roman" w:hAnsi="Times New Roman" w:eastAsia="宋体" w:cs="Times New Roman"/>
                <w:kern w:val="0"/>
                <w:sz w:val="21"/>
                <w:szCs w:val="21"/>
                <w:lang w:bidi="ar"/>
              </w:rPr>
              <w:t>, 2</w:t>
            </w:r>
            <w:r>
              <w:rPr>
                <w:rFonts w:hint="default" w:ascii="Times New Roman" w:hAnsi="Times New Roman" w:eastAsia="宋体" w:cs="Times New Roman"/>
                <w:kern w:val="0"/>
                <w:sz w:val="21"/>
                <w:szCs w:val="21"/>
                <w:lang w:val="en-US" w:eastAsia="zh-CN" w:bidi="ar"/>
              </w:rPr>
              <w:t>.38</w:t>
            </w:r>
            <w:r>
              <w:rPr>
                <w:rFonts w:hint="default" w:ascii="Times New Roman" w:hAnsi="Times New Roman" w:eastAsia="宋体" w:cs="Times New Roman"/>
                <w:kern w:val="0"/>
                <w:sz w:val="21"/>
                <w:szCs w:val="21"/>
                <w:lang w:bidi="ar"/>
              </w:rPr>
              <w:t>]</w:t>
            </w:r>
          </w:p>
        </w:tc>
      </w:tr>
      <w:tr w14:paraId="31EA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925" w:type="dxa"/>
            <w:vAlign w:val="center"/>
          </w:tcPr>
          <w:p w14:paraId="2224ECD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Elite</w:t>
            </w:r>
          </w:p>
        </w:tc>
        <w:tc>
          <w:tcPr>
            <w:tcW w:w="1791" w:type="dxa"/>
            <w:vAlign w:val="center"/>
          </w:tcPr>
          <w:p w14:paraId="09ABD0C5">
            <w:pPr>
              <w:widowControl/>
              <w:snapToGrid w:val="0"/>
              <w:spacing w:before="0" w:after="0" w:line="240" w:lineRule="auto"/>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3.11</w:t>
            </w:r>
          </w:p>
        </w:tc>
        <w:tc>
          <w:tcPr>
            <w:tcW w:w="1224" w:type="dxa"/>
            <w:vAlign w:val="center"/>
          </w:tcPr>
          <w:p w14:paraId="2312F1D7">
            <w:pPr>
              <w:widowControl/>
              <w:snapToGrid w:val="0"/>
              <w:spacing w:before="0" w:after="0" w:line="240" w:lineRule="auto"/>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val="en-US" w:eastAsia="zh-CN" w:bidi="ar"/>
              </w:rPr>
              <w:t>0.48</w:t>
            </w:r>
          </w:p>
        </w:tc>
        <w:tc>
          <w:tcPr>
            <w:tcW w:w="890" w:type="dxa"/>
            <w:vAlign w:val="center"/>
          </w:tcPr>
          <w:p w14:paraId="3CEA9D0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6.45</w:t>
            </w:r>
          </w:p>
        </w:tc>
        <w:tc>
          <w:tcPr>
            <w:tcW w:w="970" w:type="dxa"/>
            <w:vAlign w:val="center"/>
          </w:tcPr>
          <w:p w14:paraId="2473569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&lt;0.001</w:t>
            </w:r>
          </w:p>
        </w:tc>
        <w:tc>
          <w:tcPr>
            <w:tcW w:w="1470" w:type="dxa"/>
            <w:vAlign w:val="center"/>
          </w:tcPr>
          <w:p w14:paraId="7A062CB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w:t>
            </w:r>
            <w:r>
              <w:rPr>
                <w:rFonts w:hint="default" w:ascii="Times New Roman" w:hAnsi="Times New Roman" w:eastAsia="宋体" w:cs="Times New Roman"/>
                <w:kern w:val="0"/>
                <w:sz w:val="21"/>
                <w:szCs w:val="21"/>
                <w:lang w:val="en-US" w:eastAsia="zh-CN" w:bidi="ar"/>
              </w:rPr>
              <w:t>2.17</w:t>
            </w:r>
            <w:r>
              <w:rPr>
                <w:rFonts w:hint="default" w:ascii="Times New Roman" w:hAnsi="Times New Roman" w:eastAsia="宋体" w:cs="Times New Roman"/>
                <w:kern w:val="0"/>
                <w:sz w:val="21"/>
                <w:szCs w:val="21"/>
                <w:lang w:bidi="ar"/>
              </w:rPr>
              <w:t xml:space="preserve">, </w:t>
            </w:r>
            <w:r>
              <w:rPr>
                <w:rFonts w:hint="default" w:ascii="Times New Roman" w:hAnsi="Times New Roman" w:eastAsia="宋体" w:cs="Times New Roman"/>
                <w:kern w:val="0"/>
                <w:sz w:val="21"/>
                <w:szCs w:val="21"/>
                <w:lang w:val="en-US" w:eastAsia="zh-CN" w:bidi="ar"/>
              </w:rPr>
              <w:t>4.06</w:t>
            </w:r>
            <w:r>
              <w:rPr>
                <w:rFonts w:hint="default" w:ascii="Times New Roman" w:hAnsi="Times New Roman" w:eastAsia="宋体" w:cs="Times New Roman"/>
                <w:kern w:val="0"/>
                <w:sz w:val="21"/>
                <w:szCs w:val="21"/>
                <w:lang w:bidi="ar"/>
              </w:rPr>
              <w:t>]</w:t>
            </w:r>
          </w:p>
        </w:tc>
      </w:tr>
    </w:tbl>
    <w:p w14:paraId="65A69089">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C. Average marginal effects on the probability of attaining national-level rank</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3"/>
        <w:gridCol w:w="1199"/>
        <w:gridCol w:w="1225"/>
        <w:gridCol w:w="793"/>
        <w:gridCol w:w="944"/>
        <w:gridCol w:w="1618"/>
      </w:tblGrid>
      <w:tr w14:paraId="5B95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blHeader/>
          <w:jc w:val="center"/>
        </w:trPr>
        <w:tc>
          <w:tcPr>
            <w:tcW w:w="2743" w:type="dxa"/>
            <w:vAlign w:val="center"/>
          </w:tcPr>
          <w:p w14:paraId="266A2BBB">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Undergraduate background</w:t>
            </w:r>
          </w:p>
        </w:tc>
        <w:tc>
          <w:tcPr>
            <w:tcW w:w="1199" w:type="dxa"/>
            <w:vAlign w:val="center"/>
          </w:tcPr>
          <w:p w14:paraId="243D9920">
            <w:pPr>
              <w:widowControl/>
              <w:snapToGrid w:val="0"/>
              <w:spacing w:before="0" w:after="0" w:line="240" w:lineRule="auto"/>
              <w:jc w:val="center"/>
              <w:textAlignment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kern w:val="0"/>
                <w:sz w:val="21"/>
                <w:szCs w:val="21"/>
                <w:lang w:val="en-US" w:eastAsia="zh-CN" w:bidi="ar"/>
              </w:rPr>
              <w:t>AME (pp)</w:t>
            </w:r>
          </w:p>
        </w:tc>
        <w:tc>
          <w:tcPr>
            <w:tcW w:w="1225" w:type="dxa"/>
            <w:vAlign w:val="center"/>
          </w:tcPr>
          <w:p w14:paraId="22530427">
            <w:pPr>
              <w:widowControl/>
              <w:snapToGrid w:val="0"/>
              <w:spacing w:before="0" w:after="0" w:line="240" w:lineRule="auto"/>
              <w:jc w:val="center"/>
              <w:textAlignment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kern w:val="0"/>
                <w:sz w:val="21"/>
                <w:szCs w:val="21"/>
                <w:lang w:val="en-US" w:eastAsia="zh-CN" w:bidi="ar"/>
              </w:rPr>
              <w:t>SE (pp)</w:t>
            </w:r>
          </w:p>
        </w:tc>
        <w:tc>
          <w:tcPr>
            <w:tcW w:w="793" w:type="dxa"/>
            <w:vAlign w:val="center"/>
          </w:tcPr>
          <w:p w14:paraId="048705D1">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z</w:t>
            </w:r>
          </w:p>
        </w:tc>
        <w:tc>
          <w:tcPr>
            <w:tcW w:w="944" w:type="dxa"/>
            <w:vAlign w:val="center"/>
          </w:tcPr>
          <w:p w14:paraId="782FDAC5">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p−value</w:t>
            </w:r>
          </w:p>
        </w:tc>
        <w:tc>
          <w:tcPr>
            <w:tcW w:w="1618" w:type="dxa"/>
            <w:vAlign w:val="center"/>
          </w:tcPr>
          <w:p w14:paraId="3ACA1832">
            <w:pPr>
              <w:widowControl/>
              <w:snapToGrid w:val="0"/>
              <w:spacing w:before="0" w:after="0" w:line="240" w:lineRule="auto"/>
              <w:jc w:val="center"/>
              <w:textAlignment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kern w:val="0"/>
                <w:sz w:val="21"/>
                <w:szCs w:val="21"/>
                <w:lang w:bidi="ar"/>
              </w:rPr>
              <w:t>95% CI</w:t>
            </w:r>
            <w:r>
              <w:rPr>
                <w:rFonts w:hint="default" w:ascii="Times New Roman" w:hAnsi="Times New Roman" w:eastAsia="宋体" w:cs="Times New Roman"/>
                <w:b/>
                <w:bCs/>
                <w:kern w:val="0"/>
                <w:sz w:val="21"/>
                <w:szCs w:val="21"/>
                <w:lang w:val="en-US" w:eastAsia="zh-CN" w:bidi="ar"/>
              </w:rPr>
              <w:t xml:space="preserve"> (pp)</w:t>
            </w:r>
          </w:p>
        </w:tc>
      </w:tr>
      <w:tr w14:paraId="5A3D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743" w:type="dxa"/>
            <w:vAlign w:val="center"/>
          </w:tcPr>
          <w:p w14:paraId="3E8A055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Elite</w:t>
            </w:r>
          </w:p>
        </w:tc>
        <w:tc>
          <w:tcPr>
            <w:tcW w:w="1199" w:type="dxa"/>
            <w:vAlign w:val="center"/>
          </w:tcPr>
          <w:p w14:paraId="7FBD7FF2">
            <w:pPr>
              <w:widowControl/>
              <w:snapToGrid w:val="0"/>
              <w:spacing w:before="0" w:after="0" w:line="240" w:lineRule="auto"/>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val="en-US" w:eastAsia="zh-CN" w:bidi="ar"/>
              </w:rPr>
              <w:t>1.27</w:t>
            </w:r>
          </w:p>
        </w:tc>
        <w:tc>
          <w:tcPr>
            <w:tcW w:w="1225" w:type="dxa"/>
            <w:vAlign w:val="center"/>
          </w:tcPr>
          <w:p w14:paraId="509E87D2">
            <w:pPr>
              <w:widowControl/>
              <w:snapToGrid w:val="0"/>
              <w:spacing w:before="0" w:after="0" w:line="240" w:lineRule="auto"/>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bidi="ar"/>
              </w:rPr>
              <w:t>0.</w:t>
            </w:r>
            <w:r>
              <w:rPr>
                <w:rFonts w:hint="default" w:ascii="Times New Roman" w:hAnsi="Times New Roman" w:eastAsia="宋体" w:cs="Times New Roman"/>
                <w:kern w:val="0"/>
                <w:sz w:val="21"/>
                <w:szCs w:val="21"/>
                <w:lang w:val="en-US" w:eastAsia="zh-CN" w:bidi="ar"/>
              </w:rPr>
              <w:t>36</w:t>
            </w:r>
          </w:p>
        </w:tc>
        <w:tc>
          <w:tcPr>
            <w:tcW w:w="793" w:type="dxa"/>
            <w:vAlign w:val="center"/>
          </w:tcPr>
          <w:p w14:paraId="102F2D0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3.50</w:t>
            </w:r>
          </w:p>
        </w:tc>
        <w:tc>
          <w:tcPr>
            <w:tcW w:w="944" w:type="dxa"/>
            <w:vAlign w:val="center"/>
          </w:tcPr>
          <w:p w14:paraId="4116E0D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&lt;0.001</w:t>
            </w:r>
          </w:p>
        </w:tc>
        <w:tc>
          <w:tcPr>
            <w:tcW w:w="1618" w:type="dxa"/>
            <w:vAlign w:val="center"/>
          </w:tcPr>
          <w:p w14:paraId="57F6274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w:t>
            </w:r>
            <w:r>
              <w:rPr>
                <w:rFonts w:hint="default" w:ascii="Times New Roman" w:hAnsi="Times New Roman" w:eastAsia="宋体" w:cs="Times New Roman"/>
                <w:kern w:val="0"/>
                <w:sz w:val="21"/>
                <w:szCs w:val="21"/>
                <w:lang w:val="en-US" w:eastAsia="zh-CN" w:bidi="ar"/>
              </w:rPr>
              <w:t>.5</w:t>
            </w:r>
            <w:r>
              <w:rPr>
                <w:rFonts w:hint="default" w:ascii="Times New Roman" w:hAnsi="Times New Roman" w:eastAsia="宋体" w:cs="Times New Roman"/>
                <w:kern w:val="0"/>
                <w:sz w:val="21"/>
                <w:szCs w:val="21"/>
                <w:lang w:bidi="ar"/>
              </w:rPr>
              <w:t xml:space="preserve">6, </w:t>
            </w:r>
            <w:r>
              <w:rPr>
                <w:rFonts w:hint="default" w:ascii="Times New Roman" w:hAnsi="Times New Roman" w:eastAsia="宋体" w:cs="Times New Roman"/>
                <w:kern w:val="0"/>
                <w:sz w:val="21"/>
                <w:szCs w:val="21"/>
                <w:lang w:val="en-US" w:eastAsia="zh-CN" w:bidi="ar"/>
              </w:rPr>
              <w:t>1.98</w:t>
            </w:r>
            <w:r>
              <w:rPr>
                <w:rFonts w:hint="default" w:ascii="Times New Roman" w:hAnsi="Times New Roman" w:eastAsia="宋体" w:cs="Times New Roman"/>
                <w:kern w:val="0"/>
                <w:sz w:val="21"/>
                <w:szCs w:val="21"/>
                <w:lang w:bidi="ar"/>
              </w:rPr>
              <w:t>]</w:t>
            </w:r>
          </w:p>
        </w:tc>
      </w:tr>
    </w:tbl>
    <w:p w14:paraId="6A1AEA7C">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Administrative rank is coded as municipal, provincial, and national level. The sample is restricted to officials with a bachelor’s degree or above. The reference categories are bachelor’s degree, non-elite undergraduate background, male, non-STEM, and the eastern region. The coefficient for elite undergraduate background corresponds to a cumulative odds ratio of 1.738. Panels B and C report adjusted probabilities and the discrete AME for attaining national-level rank. AMEs are reported in percentage points. Robust standard errors are reported.</w:t>
      </w:r>
    </w:p>
    <w:p w14:paraId="0A7AD461">
      <w:pPr>
        <w:widowControl/>
        <w:rPr>
          <w:rFonts w:hint="default" w:ascii="Times New Roman" w:hAnsi="Times New Roman" w:cs="Times New Roman"/>
          <w:sz w:val="20"/>
          <w:szCs w:val="22"/>
        </w:rPr>
      </w:pPr>
    </w:p>
    <w:p w14:paraId="314B8FA1">
      <w:pPr>
        <w:rPr>
          <w:rFonts w:hint="default" w:ascii="Times New Roman" w:hAnsi="Times New Roman" w:cs="Times New Roman"/>
          <w:sz w:val="20"/>
          <w:szCs w:val="22"/>
        </w:rPr>
      </w:pPr>
      <w:r>
        <w:rPr>
          <w:rFonts w:hint="default" w:ascii="Times New Roman" w:hAnsi="Times New Roman" w:cs="Times New Roman"/>
          <w:sz w:val="20"/>
          <w:szCs w:val="22"/>
        </w:rPr>
        <w:br w:type="page"/>
      </w:r>
    </w:p>
    <w:p w14:paraId="00E57673">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9b. Logit model of higher-office attainment by elite undergraduate background in the U.S. political-leader sample</w:t>
      </w:r>
    </w:p>
    <w:p w14:paraId="47DCFCCC">
      <w:pPr>
        <w:pStyle w:val="20"/>
        <w:rPr>
          <w:rFonts w:hint="default" w:ascii="Times New Roman" w:hAnsi="Times New Roman" w:cs="Times New Roman" w:eastAsiaTheme="minorEastAsia"/>
          <w:sz w:val="22"/>
          <w:szCs w:val="28"/>
          <w:lang w:val="en-US" w:eastAsia="zh-CN"/>
        </w:rPr>
      </w:pPr>
      <w:r>
        <w:rPr>
          <w:rFonts w:hint="default" w:ascii="Times New Roman" w:hAnsi="Times New Roman" w:cs="Times New Roman"/>
          <w:sz w:val="22"/>
          <w:szCs w:val="28"/>
        </w:rPr>
        <w:t>N = 6,025; Pseudo R² = 0.0090; Elite undergraduate background: OR = 1.41, AME = 5</w:t>
      </w:r>
      <w:r>
        <w:rPr>
          <w:rFonts w:hint="default" w:ascii="Times New Roman" w:hAnsi="Times New Roman" w:cs="Times New Roman"/>
          <w:sz w:val="22"/>
          <w:szCs w:val="28"/>
          <w:lang w:val="en-US" w:eastAsia="zh-CN"/>
        </w:rPr>
        <w:t>.</w:t>
      </w:r>
      <w:r>
        <w:rPr>
          <w:rFonts w:hint="default" w:ascii="Times New Roman" w:hAnsi="Times New Roman" w:cs="Times New Roman"/>
          <w:sz w:val="22"/>
          <w:szCs w:val="28"/>
        </w:rPr>
        <w:t>29</w:t>
      </w:r>
      <w:r>
        <w:rPr>
          <w:rFonts w:hint="default" w:ascii="Times New Roman" w:hAnsi="Times New Roman" w:cs="Times New Roman"/>
          <w:sz w:val="22"/>
          <w:szCs w:val="28"/>
          <w:lang w:val="en-US" w:eastAsia="zh-CN"/>
        </w:rPr>
        <w:t xml:space="preserve"> pp</w:t>
      </w:r>
    </w:p>
    <w:p w14:paraId="6E221EAD">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Logit estimates</w:t>
      </w:r>
    </w:p>
    <w:tbl>
      <w:tblPr>
        <w:tblStyle w:val="5"/>
        <w:tblW w:w="8682" w:type="dxa"/>
        <w:jc w:val="center"/>
        <w:tblLayout w:type="fixed"/>
        <w:tblCellMar>
          <w:top w:w="0" w:type="dxa"/>
          <w:left w:w="108" w:type="dxa"/>
          <w:bottom w:w="0" w:type="dxa"/>
          <w:right w:w="108" w:type="dxa"/>
        </w:tblCellMar>
      </w:tblPr>
      <w:tblGrid>
        <w:gridCol w:w="2459"/>
        <w:gridCol w:w="1283"/>
        <w:gridCol w:w="1237"/>
        <w:gridCol w:w="960"/>
        <w:gridCol w:w="1052"/>
        <w:gridCol w:w="1691"/>
      </w:tblGrid>
      <w:tr w14:paraId="09F11886">
        <w:tblPrEx>
          <w:tblCellMar>
            <w:top w:w="0" w:type="dxa"/>
            <w:left w:w="108" w:type="dxa"/>
            <w:bottom w:w="0" w:type="dxa"/>
            <w:right w:w="108" w:type="dxa"/>
          </w:tblCellMar>
        </w:tblPrEx>
        <w:trPr>
          <w:cantSplit/>
          <w:trHeight w:val="283" w:hRule="atLeast"/>
          <w:tblHeader/>
          <w:jc w:val="center"/>
        </w:trPr>
        <w:tc>
          <w:tcPr>
            <w:tcW w:w="2459" w:type="dxa"/>
            <w:tcBorders>
              <w:top w:val="single" w:color="auto" w:sz="4" w:space="0"/>
              <w:left w:val="single" w:color="auto" w:sz="4" w:space="0"/>
              <w:bottom w:val="nil"/>
              <w:right w:val="nil"/>
            </w:tcBorders>
            <w:tcMar>
              <w:top w:w="-1" w:type="dxa"/>
              <w:left w:w="-1" w:type="dxa"/>
              <w:bottom w:w="-1" w:type="dxa"/>
              <w:right w:w="-1" w:type="dxa"/>
            </w:tcMar>
            <w:vAlign w:val="center"/>
          </w:tcPr>
          <w:p w14:paraId="28C3CC8C">
            <w:pPr>
              <w:widowControl/>
              <w:snapToGrid w:val="0"/>
              <w:spacing w:before="0" w:after="0" w:line="240" w:lineRule="auto"/>
              <w:jc w:val="center"/>
              <w:textAlignment w:val="center"/>
              <w:rPr>
                <w:rFonts w:hint="default" w:ascii="Times New Roman" w:hAnsi="Times New Roman" w:eastAsia="宋体" w:cs="Times New Roman"/>
                <w:b/>
                <w:kern w:val="0"/>
                <w:sz w:val="21"/>
                <w:szCs w:val="21"/>
                <w:lang w:bidi="ar"/>
              </w:rPr>
            </w:pPr>
            <w:r>
              <w:rPr>
                <w:rFonts w:hint="default" w:ascii="Times New Roman" w:hAnsi="Times New Roman" w:eastAsia="宋体" w:cs="Times New Roman"/>
                <w:b/>
                <w:kern w:val="0"/>
                <w:sz w:val="21"/>
                <w:szCs w:val="21"/>
                <w:lang w:bidi="ar"/>
              </w:rPr>
              <w:t>Variable</w:t>
            </w:r>
          </w:p>
        </w:tc>
        <w:tc>
          <w:tcPr>
            <w:tcW w:w="1283" w:type="dxa"/>
            <w:tcBorders>
              <w:top w:val="single" w:color="auto" w:sz="4" w:space="0"/>
              <w:left w:val="single" w:color="auto" w:sz="4" w:space="0"/>
              <w:bottom w:val="nil"/>
              <w:right w:val="nil"/>
            </w:tcBorders>
            <w:tcMar>
              <w:top w:w="-1" w:type="dxa"/>
              <w:left w:w="-1" w:type="dxa"/>
              <w:bottom w:w="-1" w:type="dxa"/>
              <w:right w:w="-1" w:type="dxa"/>
            </w:tcMar>
            <w:vAlign w:val="center"/>
          </w:tcPr>
          <w:p w14:paraId="40E8F56C">
            <w:pPr>
              <w:widowControl/>
              <w:snapToGrid w:val="0"/>
              <w:spacing w:before="0" w:after="0" w:line="240" w:lineRule="auto"/>
              <w:jc w:val="center"/>
              <w:textAlignment w:val="center"/>
              <w:rPr>
                <w:rFonts w:hint="default" w:ascii="Times New Roman" w:hAnsi="Times New Roman" w:eastAsia="宋体" w:cs="Times New Roman"/>
                <w:b/>
                <w:kern w:val="0"/>
                <w:sz w:val="21"/>
                <w:szCs w:val="21"/>
                <w:lang w:bidi="ar"/>
              </w:rPr>
            </w:pPr>
            <w:r>
              <w:rPr>
                <w:rFonts w:hint="default" w:ascii="Times New Roman" w:hAnsi="Times New Roman" w:eastAsia="宋体" w:cs="Times New Roman"/>
                <w:b/>
                <w:kern w:val="0"/>
                <w:sz w:val="21"/>
                <w:szCs w:val="21"/>
                <w:lang w:bidi="ar"/>
              </w:rPr>
              <w:t>Coefficient</w:t>
            </w:r>
          </w:p>
        </w:tc>
        <w:tc>
          <w:tcPr>
            <w:tcW w:w="1237" w:type="dxa"/>
            <w:tcBorders>
              <w:top w:val="single" w:color="auto" w:sz="4" w:space="0"/>
              <w:left w:val="single" w:color="auto" w:sz="4" w:space="0"/>
              <w:bottom w:val="nil"/>
              <w:right w:val="nil"/>
            </w:tcBorders>
            <w:tcMar>
              <w:top w:w="-1" w:type="dxa"/>
              <w:left w:w="-1" w:type="dxa"/>
              <w:bottom w:w="-1" w:type="dxa"/>
              <w:right w:w="-1" w:type="dxa"/>
            </w:tcMar>
            <w:vAlign w:val="center"/>
          </w:tcPr>
          <w:p w14:paraId="6165B0B9">
            <w:pPr>
              <w:widowControl/>
              <w:snapToGrid w:val="0"/>
              <w:spacing w:before="0" w:after="0" w:line="240" w:lineRule="auto"/>
              <w:jc w:val="center"/>
              <w:textAlignment w:val="center"/>
              <w:rPr>
                <w:rFonts w:hint="default" w:ascii="Times New Roman" w:hAnsi="Times New Roman" w:eastAsia="宋体" w:cs="Times New Roman"/>
                <w:b/>
                <w:kern w:val="0"/>
                <w:sz w:val="21"/>
                <w:szCs w:val="21"/>
                <w:lang w:bidi="ar"/>
              </w:rPr>
            </w:pPr>
            <w:r>
              <w:rPr>
                <w:rFonts w:hint="default" w:ascii="Times New Roman" w:hAnsi="Times New Roman" w:eastAsia="宋体" w:cs="Times New Roman"/>
                <w:b/>
                <w:kern w:val="0"/>
                <w:sz w:val="21"/>
                <w:szCs w:val="21"/>
                <w:lang w:bidi="ar"/>
              </w:rPr>
              <w:t>Robust SE</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46E036CB">
            <w:pPr>
              <w:widowControl/>
              <w:snapToGrid w:val="0"/>
              <w:spacing w:before="0" w:after="0" w:line="240" w:lineRule="auto"/>
              <w:jc w:val="center"/>
              <w:textAlignment w:val="center"/>
              <w:rPr>
                <w:rFonts w:hint="default" w:ascii="Times New Roman" w:hAnsi="Times New Roman" w:eastAsia="宋体" w:cs="Times New Roman"/>
                <w:b/>
                <w:kern w:val="0"/>
                <w:sz w:val="21"/>
                <w:szCs w:val="21"/>
                <w:lang w:bidi="ar"/>
              </w:rPr>
            </w:pPr>
            <w:r>
              <w:rPr>
                <w:rFonts w:hint="default" w:ascii="Times New Roman" w:hAnsi="Times New Roman" w:eastAsia="宋体" w:cs="Times New Roman"/>
                <w:b/>
                <w:kern w:val="0"/>
                <w:sz w:val="21"/>
                <w:szCs w:val="21"/>
                <w:lang w:bidi="ar"/>
              </w:rPr>
              <w:t>z</w:t>
            </w:r>
          </w:p>
        </w:tc>
        <w:tc>
          <w:tcPr>
            <w:tcW w:w="1052" w:type="dxa"/>
            <w:tcBorders>
              <w:top w:val="single" w:color="auto" w:sz="4" w:space="0"/>
              <w:left w:val="single" w:color="auto" w:sz="4" w:space="0"/>
              <w:bottom w:val="nil"/>
              <w:right w:val="nil"/>
            </w:tcBorders>
            <w:tcMar>
              <w:top w:w="-1" w:type="dxa"/>
              <w:left w:w="-1" w:type="dxa"/>
              <w:bottom w:w="-1" w:type="dxa"/>
              <w:right w:w="-1" w:type="dxa"/>
            </w:tcMar>
            <w:vAlign w:val="center"/>
          </w:tcPr>
          <w:p w14:paraId="75916DC5">
            <w:pPr>
              <w:widowControl/>
              <w:snapToGrid w:val="0"/>
              <w:spacing w:before="0" w:after="0" w:line="240" w:lineRule="auto"/>
              <w:jc w:val="center"/>
              <w:textAlignment w:val="center"/>
              <w:rPr>
                <w:rFonts w:hint="default" w:ascii="Times New Roman" w:hAnsi="Times New Roman" w:eastAsia="宋体" w:cs="Times New Roman"/>
                <w:b/>
                <w:kern w:val="0"/>
                <w:sz w:val="21"/>
                <w:szCs w:val="21"/>
                <w:lang w:bidi="ar"/>
              </w:rPr>
            </w:pPr>
            <w:r>
              <w:rPr>
                <w:rFonts w:hint="default" w:ascii="Times New Roman" w:hAnsi="Times New Roman" w:eastAsia="宋体" w:cs="Times New Roman"/>
                <w:b/>
                <w:kern w:val="0"/>
                <w:sz w:val="21"/>
                <w:szCs w:val="21"/>
                <w:lang w:bidi="ar"/>
              </w:rPr>
              <w:t>p-value</w:t>
            </w:r>
          </w:p>
        </w:tc>
        <w:tc>
          <w:tcPr>
            <w:tcW w:w="169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A147D5F">
            <w:pPr>
              <w:widowControl/>
              <w:snapToGrid w:val="0"/>
              <w:spacing w:before="0" w:after="0" w:line="240" w:lineRule="auto"/>
              <w:jc w:val="center"/>
              <w:textAlignment w:val="center"/>
              <w:rPr>
                <w:rFonts w:hint="default" w:ascii="Times New Roman" w:hAnsi="Times New Roman" w:eastAsia="宋体" w:cs="Times New Roman"/>
                <w:b/>
                <w:kern w:val="0"/>
                <w:sz w:val="21"/>
                <w:szCs w:val="21"/>
                <w:lang w:bidi="ar"/>
              </w:rPr>
            </w:pPr>
            <w:r>
              <w:rPr>
                <w:rFonts w:hint="default" w:ascii="Times New Roman" w:hAnsi="Times New Roman" w:eastAsia="宋体" w:cs="Times New Roman"/>
                <w:b/>
                <w:kern w:val="0"/>
                <w:sz w:val="21"/>
                <w:szCs w:val="21"/>
                <w:lang w:bidi="ar"/>
              </w:rPr>
              <w:t>95% CI</w:t>
            </w:r>
          </w:p>
        </w:tc>
      </w:tr>
      <w:tr w14:paraId="1AFBF410">
        <w:tblPrEx>
          <w:tblCellMar>
            <w:top w:w="0" w:type="dxa"/>
            <w:left w:w="108" w:type="dxa"/>
            <w:bottom w:w="0" w:type="dxa"/>
            <w:right w:w="108" w:type="dxa"/>
          </w:tblCellMar>
        </w:tblPrEx>
        <w:trPr>
          <w:cantSplit/>
          <w:trHeight w:val="283" w:hRule="atLeast"/>
          <w:jc w:val="center"/>
        </w:trPr>
        <w:tc>
          <w:tcPr>
            <w:tcW w:w="8682"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2A8F5F2">
            <w:pPr>
              <w:widowControl/>
              <w:snapToGrid w:val="0"/>
              <w:spacing w:before="0" w:after="0" w:line="240" w:lineRule="auto"/>
              <w:jc w:val="left"/>
              <w:textAlignment w:val="center"/>
              <w:rPr>
                <w:rFonts w:hint="default" w:ascii="Times New Roman" w:hAnsi="Times New Roman" w:eastAsia="宋体" w:cs="Times New Roman"/>
                <w:b/>
                <w:bCs/>
                <w:kern w:val="0"/>
                <w:sz w:val="21"/>
                <w:szCs w:val="21"/>
                <w:lang w:bidi="ar"/>
              </w:rPr>
            </w:pPr>
            <w:r>
              <w:rPr>
                <w:rFonts w:hint="default" w:ascii="Times New Roman" w:hAnsi="Times New Roman" w:eastAsia="宋体" w:cs="Times New Roman"/>
                <w:b/>
                <w:bCs/>
                <w:kern w:val="0"/>
                <w:sz w:val="21"/>
                <w:szCs w:val="21"/>
                <w:lang w:bidi="ar"/>
              </w:rPr>
              <w:t>Undergraduate background (ref: non-elite institution)</w:t>
            </w:r>
          </w:p>
        </w:tc>
      </w:tr>
      <w:tr w14:paraId="5ABF1B8F">
        <w:tblPrEx>
          <w:tblCellMar>
            <w:top w:w="0" w:type="dxa"/>
            <w:left w:w="108" w:type="dxa"/>
            <w:bottom w:w="0" w:type="dxa"/>
            <w:right w:w="108" w:type="dxa"/>
          </w:tblCellMar>
        </w:tblPrEx>
        <w:trPr>
          <w:cantSplit/>
          <w:trHeight w:val="283" w:hRule="atLeast"/>
          <w:jc w:val="center"/>
        </w:trPr>
        <w:tc>
          <w:tcPr>
            <w:tcW w:w="2459" w:type="dxa"/>
            <w:tcBorders>
              <w:top w:val="single" w:color="auto" w:sz="4" w:space="0"/>
              <w:left w:val="single" w:color="auto" w:sz="4" w:space="0"/>
              <w:bottom w:val="nil"/>
              <w:right w:val="nil"/>
            </w:tcBorders>
            <w:tcMar>
              <w:top w:w="-1" w:type="dxa"/>
              <w:left w:w="-1" w:type="dxa"/>
              <w:bottom w:w="-1" w:type="dxa"/>
              <w:right w:w="-1" w:type="dxa"/>
            </w:tcMar>
            <w:vAlign w:val="center"/>
          </w:tcPr>
          <w:p w14:paraId="0BA68C91">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Elite undergraduate institution</w:t>
            </w:r>
          </w:p>
        </w:tc>
        <w:tc>
          <w:tcPr>
            <w:tcW w:w="1283" w:type="dxa"/>
            <w:tcBorders>
              <w:top w:val="single" w:color="auto" w:sz="4" w:space="0"/>
              <w:left w:val="single" w:color="auto" w:sz="4" w:space="0"/>
              <w:bottom w:val="nil"/>
              <w:right w:val="nil"/>
            </w:tcBorders>
            <w:tcMar>
              <w:top w:w="-1" w:type="dxa"/>
              <w:left w:w="-1" w:type="dxa"/>
              <w:bottom w:w="-1" w:type="dxa"/>
              <w:right w:w="-1" w:type="dxa"/>
            </w:tcMar>
            <w:vAlign w:val="center"/>
          </w:tcPr>
          <w:p w14:paraId="28E0F26D">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0.347</w:t>
            </w:r>
          </w:p>
        </w:tc>
        <w:tc>
          <w:tcPr>
            <w:tcW w:w="1237" w:type="dxa"/>
            <w:tcBorders>
              <w:top w:val="single" w:color="auto" w:sz="4" w:space="0"/>
              <w:left w:val="single" w:color="auto" w:sz="4" w:space="0"/>
              <w:bottom w:val="nil"/>
              <w:right w:val="nil"/>
            </w:tcBorders>
            <w:tcMar>
              <w:top w:w="-1" w:type="dxa"/>
              <w:left w:w="-1" w:type="dxa"/>
              <w:bottom w:w="-1" w:type="dxa"/>
              <w:right w:w="-1" w:type="dxa"/>
            </w:tcMar>
            <w:vAlign w:val="center"/>
          </w:tcPr>
          <w:p w14:paraId="298169D0">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0.067</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70930ABF">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5.17</w:t>
            </w:r>
          </w:p>
        </w:tc>
        <w:tc>
          <w:tcPr>
            <w:tcW w:w="1052" w:type="dxa"/>
            <w:tcBorders>
              <w:top w:val="single" w:color="auto" w:sz="4" w:space="0"/>
              <w:left w:val="single" w:color="auto" w:sz="4" w:space="0"/>
              <w:bottom w:val="nil"/>
              <w:right w:val="nil"/>
            </w:tcBorders>
            <w:tcMar>
              <w:top w:w="-1" w:type="dxa"/>
              <w:left w:w="-1" w:type="dxa"/>
              <w:bottom w:w="-1" w:type="dxa"/>
              <w:right w:w="-1" w:type="dxa"/>
            </w:tcMar>
            <w:vAlign w:val="center"/>
          </w:tcPr>
          <w:p w14:paraId="404325BB">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&lt;0.001</w:t>
            </w:r>
          </w:p>
        </w:tc>
        <w:tc>
          <w:tcPr>
            <w:tcW w:w="169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4CEA825">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[0.215, 0.478]</w:t>
            </w:r>
          </w:p>
        </w:tc>
      </w:tr>
      <w:tr w14:paraId="4F11C765">
        <w:tblPrEx>
          <w:tblCellMar>
            <w:top w:w="0" w:type="dxa"/>
            <w:left w:w="108" w:type="dxa"/>
            <w:bottom w:w="0" w:type="dxa"/>
            <w:right w:w="108" w:type="dxa"/>
          </w:tblCellMar>
        </w:tblPrEx>
        <w:trPr>
          <w:cantSplit/>
          <w:trHeight w:val="283" w:hRule="atLeast"/>
          <w:jc w:val="center"/>
        </w:trPr>
        <w:tc>
          <w:tcPr>
            <w:tcW w:w="8682"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F2C29A9">
            <w:pPr>
              <w:widowControl/>
              <w:snapToGrid w:val="0"/>
              <w:spacing w:before="0" w:after="0" w:line="240" w:lineRule="auto"/>
              <w:jc w:val="left"/>
              <w:textAlignment w:val="center"/>
              <w:rPr>
                <w:rFonts w:hint="default" w:ascii="Times New Roman" w:hAnsi="Times New Roman" w:eastAsia="宋体" w:cs="Times New Roman"/>
                <w:b/>
                <w:bCs/>
                <w:kern w:val="0"/>
                <w:sz w:val="21"/>
                <w:szCs w:val="21"/>
                <w:lang w:bidi="ar"/>
              </w:rPr>
            </w:pPr>
            <w:r>
              <w:rPr>
                <w:rFonts w:hint="default" w:ascii="Times New Roman" w:hAnsi="Times New Roman" w:eastAsia="宋体" w:cs="Times New Roman"/>
                <w:b/>
                <w:bCs/>
                <w:kern w:val="0"/>
                <w:sz w:val="21"/>
                <w:szCs w:val="21"/>
                <w:lang w:bidi="ar"/>
              </w:rPr>
              <w:t>Education level (ref: bachelor’s education only)</w:t>
            </w:r>
          </w:p>
        </w:tc>
      </w:tr>
      <w:tr w14:paraId="0095C504">
        <w:tblPrEx>
          <w:tblCellMar>
            <w:top w:w="0" w:type="dxa"/>
            <w:left w:w="108" w:type="dxa"/>
            <w:bottom w:w="0" w:type="dxa"/>
            <w:right w:w="108" w:type="dxa"/>
          </w:tblCellMar>
        </w:tblPrEx>
        <w:trPr>
          <w:cantSplit/>
          <w:trHeight w:val="283" w:hRule="atLeast"/>
          <w:jc w:val="center"/>
        </w:trPr>
        <w:tc>
          <w:tcPr>
            <w:tcW w:w="2459" w:type="dxa"/>
            <w:tcBorders>
              <w:top w:val="single" w:color="auto" w:sz="4" w:space="0"/>
              <w:left w:val="single" w:color="auto" w:sz="4" w:space="0"/>
              <w:bottom w:val="nil"/>
              <w:right w:val="nil"/>
            </w:tcBorders>
            <w:tcMar>
              <w:top w:w="-1" w:type="dxa"/>
              <w:left w:w="-1" w:type="dxa"/>
              <w:bottom w:w="-1" w:type="dxa"/>
              <w:right w:w="-1" w:type="dxa"/>
            </w:tcMar>
            <w:vAlign w:val="center"/>
          </w:tcPr>
          <w:p w14:paraId="2E6B1916">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Graduate or professional education and above</w:t>
            </w:r>
          </w:p>
        </w:tc>
        <w:tc>
          <w:tcPr>
            <w:tcW w:w="1283" w:type="dxa"/>
            <w:tcBorders>
              <w:top w:val="single" w:color="auto" w:sz="4" w:space="0"/>
              <w:left w:val="single" w:color="auto" w:sz="4" w:space="0"/>
              <w:bottom w:val="nil"/>
              <w:right w:val="nil"/>
            </w:tcBorders>
            <w:tcMar>
              <w:top w:w="-1" w:type="dxa"/>
              <w:left w:w="-1" w:type="dxa"/>
              <w:bottom w:w="-1" w:type="dxa"/>
              <w:right w:w="-1" w:type="dxa"/>
            </w:tcMar>
            <w:vAlign w:val="center"/>
          </w:tcPr>
          <w:p w14:paraId="0C2E5D05">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−0.047</w:t>
            </w:r>
          </w:p>
        </w:tc>
        <w:tc>
          <w:tcPr>
            <w:tcW w:w="1237" w:type="dxa"/>
            <w:tcBorders>
              <w:top w:val="single" w:color="auto" w:sz="4" w:space="0"/>
              <w:left w:val="single" w:color="auto" w:sz="4" w:space="0"/>
              <w:bottom w:val="nil"/>
              <w:right w:val="nil"/>
            </w:tcBorders>
            <w:tcMar>
              <w:top w:w="-1" w:type="dxa"/>
              <w:left w:w="-1" w:type="dxa"/>
              <w:bottom w:w="-1" w:type="dxa"/>
              <w:right w:w="-1" w:type="dxa"/>
            </w:tcMar>
            <w:vAlign w:val="center"/>
          </w:tcPr>
          <w:p w14:paraId="7CAAE563">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0.079</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54440CE2">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−0.60</w:t>
            </w:r>
          </w:p>
        </w:tc>
        <w:tc>
          <w:tcPr>
            <w:tcW w:w="1052" w:type="dxa"/>
            <w:tcBorders>
              <w:top w:val="single" w:color="auto" w:sz="4" w:space="0"/>
              <w:left w:val="single" w:color="auto" w:sz="4" w:space="0"/>
              <w:bottom w:val="nil"/>
              <w:right w:val="nil"/>
            </w:tcBorders>
            <w:tcMar>
              <w:top w:w="-1" w:type="dxa"/>
              <w:left w:w="-1" w:type="dxa"/>
              <w:bottom w:w="-1" w:type="dxa"/>
              <w:right w:w="-1" w:type="dxa"/>
            </w:tcMar>
            <w:vAlign w:val="center"/>
          </w:tcPr>
          <w:p w14:paraId="6C15A612">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0.551</w:t>
            </w:r>
          </w:p>
        </w:tc>
        <w:tc>
          <w:tcPr>
            <w:tcW w:w="169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0840C20">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[−0.201, 0.107]</w:t>
            </w:r>
          </w:p>
        </w:tc>
      </w:tr>
      <w:tr w14:paraId="6182F45C">
        <w:tblPrEx>
          <w:tblCellMar>
            <w:top w:w="0" w:type="dxa"/>
            <w:left w:w="108" w:type="dxa"/>
            <w:bottom w:w="0" w:type="dxa"/>
            <w:right w:w="108" w:type="dxa"/>
          </w:tblCellMar>
        </w:tblPrEx>
        <w:trPr>
          <w:cantSplit/>
          <w:trHeight w:val="283" w:hRule="atLeast"/>
          <w:jc w:val="center"/>
        </w:trPr>
        <w:tc>
          <w:tcPr>
            <w:tcW w:w="8682"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12B3FC3">
            <w:pPr>
              <w:widowControl/>
              <w:snapToGrid w:val="0"/>
              <w:spacing w:before="0" w:after="0" w:line="240" w:lineRule="auto"/>
              <w:jc w:val="left"/>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b/>
                <w:bCs/>
                <w:kern w:val="0"/>
                <w:sz w:val="21"/>
                <w:szCs w:val="21"/>
                <w:lang w:bidi="ar"/>
              </w:rPr>
              <w:t>Gender (ref: Male)</w:t>
            </w:r>
          </w:p>
        </w:tc>
      </w:tr>
      <w:tr w14:paraId="656516A4">
        <w:tblPrEx>
          <w:tblCellMar>
            <w:top w:w="0" w:type="dxa"/>
            <w:left w:w="108" w:type="dxa"/>
            <w:bottom w:w="0" w:type="dxa"/>
            <w:right w:w="108" w:type="dxa"/>
          </w:tblCellMar>
        </w:tblPrEx>
        <w:trPr>
          <w:cantSplit/>
          <w:trHeight w:val="283" w:hRule="atLeast"/>
          <w:jc w:val="center"/>
        </w:trPr>
        <w:tc>
          <w:tcPr>
            <w:tcW w:w="2459" w:type="dxa"/>
            <w:tcBorders>
              <w:top w:val="single" w:color="auto" w:sz="4" w:space="0"/>
              <w:left w:val="single" w:color="auto" w:sz="4" w:space="0"/>
              <w:bottom w:val="nil"/>
              <w:right w:val="nil"/>
            </w:tcBorders>
            <w:tcMar>
              <w:top w:w="-1" w:type="dxa"/>
              <w:left w:w="-1" w:type="dxa"/>
              <w:bottom w:w="-1" w:type="dxa"/>
              <w:right w:w="-1" w:type="dxa"/>
            </w:tcMar>
            <w:vAlign w:val="center"/>
          </w:tcPr>
          <w:p w14:paraId="29CDB6A8">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Female</w:t>
            </w:r>
          </w:p>
        </w:tc>
        <w:tc>
          <w:tcPr>
            <w:tcW w:w="1283" w:type="dxa"/>
            <w:tcBorders>
              <w:top w:val="single" w:color="auto" w:sz="4" w:space="0"/>
              <w:left w:val="single" w:color="auto" w:sz="4" w:space="0"/>
              <w:bottom w:val="nil"/>
              <w:right w:val="nil"/>
            </w:tcBorders>
            <w:tcMar>
              <w:top w:w="-1" w:type="dxa"/>
              <w:left w:w="-1" w:type="dxa"/>
              <w:bottom w:w="-1" w:type="dxa"/>
              <w:right w:w="-1" w:type="dxa"/>
            </w:tcMar>
            <w:vAlign w:val="center"/>
          </w:tcPr>
          <w:p w14:paraId="4FFC08CC">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−0.122</w:t>
            </w:r>
          </w:p>
        </w:tc>
        <w:tc>
          <w:tcPr>
            <w:tcW w:w="1237" w:type="dxa"/>
            <w:tcBorders>
              <w:top w:val="single" w:color="auto" w:sz="4" w:space="0"/>
              <w:left w:val="single" w:color="auto" w:sz="4" w:space="0"/>
              <w:bottom w:val="nil"/>
              <w:right w:val="nil"/>
            </w:tcBorders>
            <w:tcMar>
              <w:top w:w="-1" w:type="dxa"/>
              <w:left w:w="-1" w:type="dxa"/>
              <w:bottom w:w="-1" w:type="dxa"/>
              <w:right w:w="-1" w:type="dxa"/>
            </w:tcMar>
            <w:vAlign w:val="center"/>
          </w:tcPr>
          <w:p w14:paraId="4C9958A1">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0.166</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03D34FB3">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−0.74</w:t>
            </w:r>
          </w:p>
        </w:tc>
        <w:tc>
          <w:tcPr>
            <w:tcW w:w="1052" w:type="dxa"/>
            <w:tcBorders>
              <w:top w:val="single" w:color="auto" w:sz="4" w:space="0"/>
              <w:left w:val="single" w:color="auto" w:sz="4" w:space="0"/>
              <w:bottom w:val="nil"/>
              <w:right w:val="nil"/>
            </w:tcBorders>
            <w:tcMar>
              <w:top w:w="-1" w:type="dxa"/>
              <w:left w:w="-1" w:type="dxa"/>
              <w:bottom w:w="-1" w:type="dxa"/>
              <w:right w:w="-1" w:type="dxa"/>
            </w:tcMar>
            <w:vAlign w:val="center"/>
          </w:tcPr>
          <w:p w14:paraId="4C5A97FB">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0.462</w:t>
            </w:r>
          </w:p>
        </w:tc>
        <w:tc>
          <w:tcPr>
            <w:tcW w:w="169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DEBEBB4">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[−0.447, 0.203]</w:t>
            </w:r>
          </w:p>
        </w:tc>
      </w:tr>
      <w:tr w14:paraId="754FC6AC">
        <w:tblPrEx>
          <w:tblCellMar>
            <w:top w:w="0" w:type="dxa"/>
            <w:left w:w="108" w:type="dxa"/>
            <w:bottom w:w="0" w:type="dxa"/>
            <w:right w:w="108" w:type="dxa"/>
          </w:tblCellMar>
        </w:tblPrEx>
        <w:trPr>
          <w:cantSplit/>
          <w:trHeight w:val="283" w:hRule="atLeast"/>
          <w:jc w:val="center"/>
        </w:trPr>
        <w:tc>
          <w:tcPr>
            <w:tcW w:w="8682"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0993A9F">
            <w:pPr>
              <w:widowControl/>
              <w:snapToGrid w:val="0"/>
              <w:spacing w:before="0" w:after="0" w:line="240" w:lineRule="auto"/>
              <w:jc w:val="left"/>
              <w:textAlignment w:val="center"/>
              <w:rPr>
                <w:rFonts w:hint="default" w:ascii="Times New Roman" w:hAnsi="Times New Roman" w:eastAsia="宋体" w:cs="Times New Roman"/>
                <w:b/>
                <w:bCs/>
                <w:kern w:val="0"/>
                <w:sz w:val="21"/>
                <w:szCs w:val="21"/>
                <w:lang w:bidi="ar"/>
              </w:rPr>
            </w:pPr>
            <w:r>
              <w:rPr>
                <w:rFonts w:hint="default" w:ascii="Times New Roman" w:hAnsi="Times New Roman" w:eastAsia="宋体" w:cs="Times New Roman"/>
                <w:b/>
                <w:bCs/>
                <w:kern w:val="0"/>
                <w:sz w:val="21"/>
                <w:szCs w:val="21"/>
                <w:lang w:bidi="ar"/>
              </w:rPr>
              <w:t>First-service period (ref: before 1900)</w:t>
            </w:r>
          </w:p>
        </w:tc>
      </w:tr>
      <w:tr w14:paraId="02AEEAA5">
        <w:tblPrEx>
          <w:tblCellMar>
            <w:top w:w="0" w:type="dxa"/>
            <w:left w:w="108" w:type="dxa"/>
            <w:bottom w:w="0" w:type="dxa"/>
            <w:right w:w="108" w:type="dxa"/>
          </w:tblCellMar>
        </w:tblPrEx>
        <w:trPr>
          <w:cantSplit/>
          <w:trHeight w:val="283" w:hRule="atLeast"/>
          <w:jc w:val="center"/>
        </w:trPr>
        <w:tc>
          <w:tcPr>
            <w:tcW w:w="2459" w:type="dxa"/>
            <w:tcBorders>
              <w:top w:val="single" w:color="auto" w:sz="4" w:space="0"/>
              <w:left w:val="single" w:color="auto" w:sz="4" w:space="0"/>
              <w:bottom w:val="nil"/>
              <w:right w:val="nil"/>
            </w:tcBorders>
            <w:tcMar>
              <w:top w:w="-1" w:type="dxa"/>
              <w:left w:w="-1" w:type="dxa"/>
              <w:bottom w:w="-1" w:type="dxa"/>
              <w:right w:w="-1" w:type="dxa"/>
            </w:tcMar>
            <w:vAlign w:val="center"/>
          </w:tcPr>
          <w:p w14:paraId="3FA980AA">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1900–1945</w:t>
            </w:r>
          </w:p>
        </w:tc>
        <w:tc>
          <w:tcPr>
            <w:tcW w:w="1283" w:type="dxa"/>
            <w:tcBorders>
              <w:top w:val="single" w:color="auto" w:sz="4" w:space="0"/>
              <w:left w:val="single" w:color="auto" w:sz="4" w:space="0"/>
              <w:bottom w:val="nil"/>
              <w:right w:val="nil"/>
            </w:tcBorders>
            <w:tcMar>
              <w:top w:w="-1" w:type="dxa"/>
              <w:left w:w="-1" w:type="dxa"/>
              <w:bottom w:w="-1" w:type="dxa"/>
              <w:right w:w="-1" w:type="dxa"/>
            </w:tcMar>
            <w:vAlign w:val="center"/>
          </w:tcPr>
          <w:p w14:paraId="511E7850">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0.062</w:t>
            </w:r>
          </w:p>
        </w:tc>
        <w:tc>
          <w:tcPr>
            <w:tcW w:w="1237" w:type="dxa"/>
            <w:tcBorders>
              <w:top w:val="single" w:color="auto" w:sz="4" w:space="0"/>
              <w:left w:val="single" w:color="auto" w:sz="4" w:space="0"/>
              <w:bottom w:val="nil"/>
              <w:right w:val="nil"/>
            </w:tcBorders>
            <w:tcMar>
              <w:top w:w="-1" w:type="dxa"/>
              <w:left w:w="-1" w:type="dxa"/>
              <w:bottom w:w="-1" w:type="dxa"/>
              <w:right w:w="-1" w:type="dxa"/>
            </w:tcMar>
            <w:vAlign w:val="center"/>
          </w:tcPr>
          <w:p w14:paraId="2EEDD0F6">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0.094</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465F9D04">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0.65</w:t>
            </w:r>
          </w:p>
        </w:tc>
        <w:tc>
          <w:tcPr>
            <w:tcW w:w="1052" w:type="dxa"/>
            <w:tcBorders>
              <w:top w:val="single" w:color="auto" w:sz="4" w:space="0"/>
              <w:left w:val="single" w:color="auto" w:sz="4" w:space="0"/>
              <w:bottom w:val="nil"/>
              <w:right w:val="nil"/>
            </w:tcBorders>
            <w:tcMar>
              <w:top w:w="-1" w:type="dxa"/>
              <w:left w:w="-1" w:type="dxa"/>
              <w:bottom w:w="-1" w:type="dxa"/>
              <w:right w:w="-1" w:type="dxa"/>
            </w:tcMar>
            <w:vAlign w:val="center"/>
          </w:tcPr>
          <w:p w14:paraId="21A75A48">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0.513</w:t>
            </w:r>
          </w:p>
        </w:tc>
        <w:tc>
          <w:tcPr>
            <w:tcW w:w="169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62D2398">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[−0.123, 0.246]</w:t>
            </w:r>
          </w:p>
        </w:tc>
      </w:tr>
      <w:tr w14:paraId="0B6ECBCC">
        <w:tblPrEx>
          <w:tblCellMar>
            <w:top w:w="0" w:type="dxa"/>
            <w:left w:w="108" w:type="dxa"/>
            <w:bottom w:w="0" w:type="dxa"/>
            <w:right w:w="108" w:type="dxa"/>
          </w:tblCellMar>
        </w:tblPrEx>
        <w:trPr>
          <w:cantSplit/>
          <w:trHeight w:val="283" w:hRule="atLeast"/>
          <w:jc w:val="center"/>
        </w:trPr>
        <w:tc>
          <w:tcPr>
            <w:tcW w:w="2459" w:type="dxa"/>
            <w:tcBorders>
              <w:top w:val="single" w:color="auto" w:sz="4" w:space="0"/>
              <w:left w:val="single" w:color="auto" w:sz="4" w:space="0"/>
              <w:bottom w:val="nil"/>
              <w:right w:val="nil"/>
            </w:tcBorders>
            <w:tcMar>
              <w:top w:w="-1" w:type="dxa"/>
              <w:left w:w="-1" w:type="dxa"/>
              <w:bottom w:w="-1" w:type="dxa"/>
              <w:right w:w="-1" w:type="dxa"/>
            </w:tcMar>
            <w:vAlign w:val="center"/>
          </w:tcPr>
          <w:p w14:paraId="39C93897">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1946–1979</w:t>
            </w:r>
          </w:p>
        </w:tc>
        <w:tc>
          <w:tcPr>
            <w:tcW w:w="1283" w:type="dxa"/>
            <w:tcBorders>
              <w:top w:val="single" w:color="auto" w:sz="4" w:space="0"/>
              <w:left w:val="single" w:color="auto" w:sz="4" w:space="0"/>
              <w:bottom w:val="nil"/>
              <w:right w:val="nil"/>
            </w:tcBorders>
            <w:tcMar>
              <w:top w:w="-1" w:type="dxa"/>
              <w:left w:w="-1" w:type="dxa"/>
              <w:bottom w:w="-1" w:type="dxa"/>
              <w:right w:w="-1" w:type="dxa"/>
            </w:tcMar>
            <w:vAlign w:val="center"/>
          </w:tcPr>
          <w:p w14:paraId="6A90C47C">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0.068</w:t>
            </w:r>
          </w:p>
        </w:tc>
        <w:tc>
          <w:tcPr>
            <w:tcW w:w="1237" w:type="dxa"/>
            <w:tcBorders>
              <w:top w:val="single" w:color="auto" w:sz="4" w:space="0"/>
              <w:left w:val="single" w:color="auto" w:sz="4" w:space="0"/>
              <w:bottom w:val="nil"/>
              <w:right w:val="nil"/>
            </w:tcBorders>
            <w:tcMar>
              <w:top w:w="-1" w:type="dxa"/>
              <w:left w:w="-1" w:type="dxa"/>
              <w:bottom w:w="-1" w:type="dxa"/>
              <w:right w:w="-1" w:type="dxa"/>
            </w:tcMar>
            <w:vAlign w:val="center"/>
          </w:tcPr>
          <w:p w14:paraId="444EDAD5">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0.104</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4ACDB618">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0.65</w:t>
            </w:r>
          </w:p>
        </w:tc>
        <w:tc>
          <w:tcPr>
            <w:tcW w:w="1052" w:type="dxa"/>
            <w:tcBorders>
              <w:top w:val="single" w:color="auto" w:sz="4" w:space="0"/>
              <w:left w:val="single" w:color="auto" w:sz="4" w:space="0"/>
              <w:bottom w:val="nil"/>
              <w:right w:val="nil"/>
            </w:tcBorders>
            <w:tcMar>
              <w:top w:w="-1" w:type="dxa"/>
              <w:left w:w="-1" w:type="dxa"/>
              <w:bottom w:w="-1" w:type="dxa"/>
              <w:right w:w="-1" w:type="dxa"/>
            </w:tcMar>
            <w:vAlign w:val="center"/>
          </w:tcPr>
          <w:p w14:paraId="2EF99989">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0.514</w:t>
            </w:r>
          </w:p>
        </w:tc>
        <w:tc>
          <w:tcPr>
            <w:tcW w:w="169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EC868D9">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[−0.136, 0.272]</w:t>
            </w:r>
          </w:p>
        </w:tc>
      </w:tr>
      <w:tr w14:paraId="01EE8705">
        <w:tblPrEx>
          <w:tblCellMar>
            <w:top w:w="0" w:type="dxa"/>
            <w:left w:w="108" w:type="dxa"/>
            <w:bottom w:w="0" w:type="dxa"/>
            <w:right w:w="108" w:type="dxa"/>
          </w:tblCellMar>
        </w:tblPrEx>
        <w:trPr>
          <w:cantSplit/>
          <w:trHeight w:val="283" w:hRule="atLeast"/>
          <w:jc w:val="center"/>
        </w:trPr>
        <w:tc>
          <w:tcPr>
            <w:tcW w:w="2459" w:type="dxa"/>
            <w:tcBorders>
              <w:top w:val="single" w:color="auto" w:sz="4" w:space="0"/>
              <w:left w:val="single" w:color="auto" w:sz="4" w:space="0"/>
              <w:bottom w:val="nil"/>
              <w:right w:val="nil"/>
            </w:tcBorders>
            <w:tcMar>
              <w:top w:w="-1" w:type="dxa"/>
              <w:left w:w="-1" w:type="dxa"/>
              <w:bottom w:w="-1" w:type="dxa"/>
              <w:right w:w="-1" w:type="dxa"/>
            </w:tcMar>
            <w:vAlign w:val="center"/>
          </w:tcPr>
          <w:p w14:paraId="502CFD9B">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1980–1999</w:t>
            </w:r>
          </w:p>
        </w:tc>
        <w:tc>
          <w:tcPr>
            <w:tcW w:w="1283" w:type="dxa"/>
            <w:tcBorders>
              <w:top w:val="single" w:color="auto" w:sz="4" w:space="0"/>
              <w:left w:val="single" w:color="auto" w:sz="4" w:space="0"/>
              <w:bottom w:val="nil"/>
              <w:right w:val="nil"/>
            </w:tcBorders>
            <w:tcMar>
              <w:top w:w="-1" w:type="dxa"/>
              <w:left w:w="-1" w:type="dxa"/>
              <w:bottom w:w="-1" w:type="dxa"/>
              <w:right w:w="-1" w:type="dxa"/>
            </w:tcMar>
            <w:vAlign w:val="center"/>
          </w:tcPr>
          <w:p w14:paraId="34583292">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−0.121</w:t>
            </w:r>
          </w:p>
        </w:tc>
        <w:tc>
          <w:tcPr>
            <w:tcW w:w="1237" w:type="dxa"/>
            <w:tcBorders>
              <w:top w:val="single" w:color="auto" w:sz="4" w:space="0"/>
              <w:left w:val="single" w:color="auto" w:sz="4" w:space="0"/>
              <w:bottom w:val="nil"/>
              <w:right w:val="nil"/>
            </w:tcBorders>
            <w:tcMar>
              <w:top w:w="-1" w:type="dxa"/>
              <w:left w:w="-1" w:type="dxa"/>
              <w:bottom w:w="-1" w:type="dxa"/>
              <w:right w:w="-1" w:type="dxa"/>
            </w:tcMar>
            <w:vAlign w:val="center"/>
          </w:tcPr>
          <w:p w14:paraId="7DCA7C05">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0.127</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2ED413DC">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−0.95</w:t>
            </w:r>
          </w:p>
        </w:tc>
        <w:tc>
          <w:tcPr>
            <w:tcW w:w="1052" w:type="dxa"/>
            <w:tcBorders>
              <w:top w:val="single" w:color="auto" w:sz="4" w:space="0"/>
              <w:left w:val="single" w:color="auto" w:sz="4" w:space="0"/>
              <w:bottom w:val="nil"/>
              <w:right w:val="nil"/>
            </w:tcBorders>
            <w:tcMar>
              <w:top w:w="-1" w:type="dxa"/>
              <w:left w:w="-1" w:type="dxa"/>
              <w:bottom w:w="-1" w:type="dxa"/>
              <w:right w:w="-1" w:type="dxa"/>
            </w:tcMar>
            <w:vAlign w:val="center"/>
          </w:tcPr>
          <w:p w14:paraId="64269220">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0.34</w:t>
            </w:r>
          </w:p>
        </w:tc>
        <w:tc>
          <w:tcPr>
            <w:tcW w:w="169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A3D5D77">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[−0.369, 0.127]</w:t>
            </w:r>
          </w:p>
        </w:tc>
      </w:tr>
      <w:tr w14:paraId="1E7F9D4F">
        <w:tblPrEx>
          <w:tblCellMar>
            <w:top w:w="0" w:type="dxa"/>
            <w:left w:w="108" w:type="dxa"/>
            <w:bottom w:w="0" w:type="dxa"/>
            <w:right w:w="108" w:type="dxa"/>
          </w:tblCellMar>
        </w:tblPrEx>
        <w:trPr>
          <w:cantSplit/>
          <w:trHeight w:val="283" w:hRule="atLeast"/>
          <w:jc w:val="center"/>
        </w:trPr>
        <w:tc>
          <w:tcPr>
            <w:tcW w:w="2459" w:type="dxa"/>
            <w:tcBorders>
              <w:top w:val="single" w:color="auto" w:sz="4" w:space="0"/>
              <w:left w:val="single" w:color="auto" w:sz="4" w:space="0"/>
              <w:bottom w:val="nil"/>
              <w:right w:val="nil"/>
            </w:tcBorders>
            <w:tcMar>
              <w:top w:w="-1" w:type="dxa"/>
              <w:left w:w="-1" w:type="dxa"/>
              <w:bottom w:w="-1" w:type="dxa"/>
              <w:right w:w="-1" w:type="dxa"/>
            </w:tcMar>
            <w:vAlign w:val="center"/>
          </w:tcPr>
          <w:p w14:paraId="46896F8F">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2000–2009</w:t>
            </w:r>
          </w:p>
        </w:tc>
        <w:tc>
          <w:tcPr>
            <w:tcW w:w="1283" w:type="dxa"/>
            <w:tcBorders>
              <w:top w:val="single" w:color="auto" w:sz="4" w:space="0"/>
              <w:left w:val="single" w:color="auto" w:sz="4" w:space="0"/>
              <w:bottom w:val="nil"/>
              <w:right w:val="nil"/>
            </w:tcBorders>
            <w:tcMar>
              <w:top w:w="-1" w:type="dxa"/>
              <w:left w:w="-1" w:type="dxa"/>
              <w:bottom w:w="-1" w:type="dxa"/>
              <w:right w:w="-1" w:type="dxa"/>
            </w:tcMar>
            <w:vAlign w:val="center"/>
          </w:tcPr>
          <w:p w14:paraId="6D949E0D">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0.029</w:t>
            </w:r>
          </w:p>
        </w:tc>
        <w:tc>
          <w:tcPr>
            <w:tcW w:w="1237" w:type="dxa"/>
            <w:tcBorders>
              <w:top w:val="single" w:color="auto" w:sz="4" w:space="0"/>
              <w:left w:val="single" w:color="auto" w:sz="4" w:space="0"/>
              <w:bottom w:val="nil"/>
              <w:right w:val="nil"/>
            </w:tcBorders>
            <w:tcMar>
              <w:top w:w="-1" w:type="dxa"/>
              <w:left w:w="-1" w:type="dxa"/>
              <w:bottom w:w="-1" w:type="dxa"/>
              <w:right w:w="-1" w:type="dxa"/>
            </w:tcMar>
            <w:vAlign w:val="center"/>
          </w:tcPr>
          <w:p w14:paraId="414BC819">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0.167</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01F66482">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0.18</w:t>
            </w:r>
          </w:p>
        </w:tc>
        <w:tc>
          <w:tcPr>
            <w:tcW w:w="1052" w:type="dxa"/>
            <w:tcBorders>
              <w:top w:val="single" w:color="auto" w:sz="4" w:space="0"/>
              <w:left w:val="single" w:color="auto" w:sz="4" w:space="0"/>
              <w:bottom w:val="nil"/>
              <w:right w:val="nil"/>
            </w:tcBorders>
            <w:tcMar>
              <w:top w:w="-1" w:type="dxa"/>
              <w:left w:w="-1" w:type="dxa"/>
              <w:bottom w:w="-1" w:type="dxa"/>
              <w:right w:w="-1" w:type="dxa"/>
            </w:tcMar>
            <w:vAlign w:val="center"/>
          </w:tcPr>
          <w:p w14:paraId="7F8D879A">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0.861</w:t>
            </w:r>
          </w:p>
        </w:tc>
        <w:tc>
          <w:tcPr>
            <w:tcW w:w="169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3218F83">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[−0.299, 0.358]</w:t>
            </w:r>
          </w:p>
        </w:tc>
      </w:tr>
      <w:tr w14:paraId="77CE3AA5">
        <w:tblPrEx>
          <w:tblCellMar>
            <w:top w:w="0" w:type="dxa"/>
            <w:left w:w="108" w:type="dxa"/>
            <w:bottom w:w="0" w:type="dxa"/>
            <w:right w:w="108" w:type="dxa"/>
          </w:tblCellMar>
        </w:tblPrEx>
        <w:trPr>
          <w:cantSplit/>
          <w:trHeight w:val="283" w:hRule="atLeast"/>
          <w:jc w:val="center"/>
        </w:trPr>
        <w:tc>
          <w:tcPr>
            <w:tcW w:w="2459" w:type="dxa"/>
            <w:tcBorders>
              <w:top w:val="single" w:color="auto" w:sz="4" w:space="0"/>
              <w:left w:val="single" w:color="auto" w:sz="4" w:space="0"/>
              <w:bottom w:val="nil"/>
              <w:right w:val="nil"/>
            </w:tcBorders>
            <w:tcMar>
              <w:top w:w="-1" w:type="dxa"/>
              <w:left w:w="-1" w:type="dxa"/>
              <w:bottom w:w="-1" w:type="dxa"/>
              <w:right w:w="-1" w:type="dxa"/>
            </w:tcMar>
            <w:vAlign w:val="center"/>
          </w:tcPr>
          <w:p w14:paraId="05AC2D41">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2010–2019</w:t>
            </w:r>
          </w:p>
        </w:tc>
        <w:tc>
          <w:tcPr>
            <w:tcW w:w="1283" w:type="dxa"/>
            <w:tcBorders>
              <w:top w:val="single" w:color="auto" w:sz="4" w:space="0"/>
              <w:left w:val="single" w:color="auto" w:sz="4" w:space="0"/>
              <w:bottom w:val="nil"/>
              <w:right w:val="nil"/>
            </w:tcBorders>
            <w:tcMar>
              <w:top w:w="-1" w:type="dxa"/>
              <w:left w:w="-1" w:type="dxa"/>
              <w:bottom w:w="-1" w:type="dxa"/>
              <w:right w:w="-1" w:type="dxa"/>
            </w:tcMar>
            <w:vAlign w:val="center"/>
          </w:tcPr>
          <w:p w14:paraId="2C2879C9">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−0.313</w:t>
            </w:r>
          </w:p>
        </w:tc>
        <w:tc>
          <w:tcPr>
            <w:tcW w:w="1237" w:type="dxa"/>
            <w:tcBorders>
              <w:top w:val="single" w:color="auto" w:sz="4" w:space="0"/>
              <w:left w:val="single" w:color="auto" w:sz="4" w:space="0"/>
              <w:bottom w:val="nil"/>
              <w:right w:val="nil"/>
            </w:tcBorders>
            <w:tcMar>
              <w:top w:w="-1" w:type="dxa"/>
              <w:left w:w="-1" w:type="dxa"/>
              <w:bottom w:w="-1" w:type="dxa"/>
              <w:right w:w="-1" w:type="dxa"/>
            </w:tcMar>
            <w:vAlign w:val="center"/>
          </w:tcPr>
          <w:p w14:paraId="13191D3A">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0.16</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62AB401A">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−1.96</w:t>
            </w:r>
          </w:p>
        </w:tc>
        <w:tc>
          <w:tcPr>
            <w:tcW w:w="1052" w:type="dxa"/>
            <w:tcBorders>
              <w:top w:val="single" w:color="auto" w:sz="4" w:space="0"/>
              <w:left w:val="single" w:color="auto" w:sz="4" w:space="0"/>
              <w:bottom w:val="nil"/>
              <w:right w:val="nil"/>
            </w:tcBorders>
            <w:tcMar>
              <w:top w:w="-1" w:type="dxa"/>
              <w:left w:w="-1" w:type="dxa"/>
              <w:bottom w:w="-1" w:type="dxa"/>
              <w:right w:w="-1" w:type="dxa"/>
            </w:tcMar>
            <w:vAlign w:val="center"/>
          </w:tcPr>
          <w:p w14:paraId="6860B650">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0.05</w:t>
            </w:r>
          </w:p>
        </w:tc>
        <w:tc>
          <w:tcPr>
            <w:tcW w:w="169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1C1A095">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[−0.627, 0.000]</w:t>
            </w:r>
          </w:p>
        </w:tc>
      </w:tr>
      <w:tr w14:paraId="2D84355C">
        <w:tblPrEx>
          <w:tblCellMar>
            <w:top w:w="0" w:type="dxa"/>
            <w:left w:w="108" w:type="dxa"/>
            <w:bottom w:w="0" w:type="dxa"/>
            <w:right w:w="108" w:type="dxa"/>
          </w:tblCellMar>
        </w:tblPrEx>
        <w:trPr>
          <w:cantSplit/>
          <w:trHeight w:val="283" w:hRule="atLeast"/>
          <w:jc w:val="center"/>
        </w:trPr>
        <w:tc>
          <w:tcPr>
            <w:tcW w:w="2459" w:type="dxa"/>
            <w:tcBorders>
              <w:top w:val="single" w:color="auto" w:sz="4" w:space="0"/>
              <w:left w:val="single" w:color="auto" w:sz="4" w:space="0"/>
              <w:bottom w:val="nil"/>
              <w:right w:val="nil"/>
            </w:tcBorders>
            <w:tcMar>
              <w:top w:w="-1" w:type="dxa"/>
              <w:left w:w="-1" w:type="dxa"/>
              <w:bottom w:w="-1" w:type="dxa"/>
              <w:right w:w="-1" w:type="dxa"/>
            </w:tcMar>
            <w:vAlign w:val="center"/>
          </w:tcPr>
          <w:p w14:paraId="4E824964">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2020 and later</w:t>
            </w:r>
          </w:p>
        </w:tc>
        <w:tc>
          <w:tcPr>
            <w:tcW w:w="1283" w:type="dxa"/>
            <w:tcBorders>
              <w:top w:val="single" w:color="auto" w:sz="4" w:space="0"/>
              <w:left w:val="single" w:color="auto" w:sz="4" w:space="0"/>
              <w:bottom w:val="nil"/>
              <w:right w:val="nil"/>
            </w:tcBorders>
            <w:tcMar>
              <w:top w:w="-1" w:type="dxa"/>
              <w:left w:w="-1" w:type="dxa"/>
              <w:bottom w:w="-1" w:type="dxa"/>
              <w:right w:w="-1" w:type="dxa"/>
            </w:tcMar>
            <w:vAlign w:val="center"/>
          </w:tcPr>
          <w:p w14:paraId="1F9B6EEB">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−0.707</w:t>
            </w:r>
          </w:p>
        </w:tc>
        <w:tc>
          <w:tcPr>
            <w:tcW w:w="1237" w:type="dxa"/>
            <w:tcBorders>
              <w:top w:val="single" w:color="auto" w:sz="4" w:space="0"/>
              <w:left w:val="single" w:color="auto" w:sz="4" w:space="0"/>
              <w:bottom w:val="nil"/>
              <w:right w:val="nil"/>
            </w:tcBorders>
            <w:tcMar>
              <w:top w:w="-1" w:type="dxa"/>
              <w:left w:w="-1" w:type="dxa"/>
              <w:bottom w:w="-1" w:type="dxa"/>
              <w:right w:w="-1" w:type="dxa"/>
            </w:tcMar>
            <w:vAlign w:val="center"/>
          </w:tcPr>
          <w:p w14:paraId="4CD9BAD7">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0.24</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68C875A7">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−2.95</w:t>
            </w:r>
          </w:p>
        </w:tc>
        <w:tc>
          <w:tcPr>
            <w:tcW w:w="1052" w:type="dxa"/>
            <w:tcBorders>
              <w:top w:val="single" w:color="auto" w:sz="4" w:space="0"/>
              <w:left w:val="single" w:color="auto" w:sz="4" w:space="0"/>
              <w:bottom w:val="nil"/>
              <w:right w:val="nil"/>
            </w:tcBorders>
            <w:tcMar>
              <w:top w:w="-1" w:type="dxa"/>
              <w:left w:w="-1" w:type="dxa"/>
              <w:bottom w:w="-1" w:type="dxa"/>
              <w:right w:w="-1" w:type="dxa"/>
            </w:tcMar>
            <w:vAlign w:val="center"/>
          </w:tcPr>
          <w:p w14:paraId="375DB5F2">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0.003</w:t>
            </w:r>
          </w:p>
        </w:tc>
        <w:tc>
          <w:tcPr>
            <w:tcW w:w="169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6A4C98E">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[−1.177, −0.237]</w:t>
            </w:r>
          </w:p>
        </w:tc>
      </w:tr>
      <w:tr w14:paraId="5D8679BC">
        <w:tblPrEx>
          <w:tblCellMar>
            <w:top w:w="0" w:type="dxa"/>
            <w:left w:w="108" w:type="dxa"/>
            <w:bottom w:w="0" w:type="dxa"/>
            <w:right w:w="108" w:type="dxa"/>
          </w:tblCellMar>
        </w:tblPrEx>
        <w:trPr>
          <w:cantSplit/>
          <w:trHeight w:val="283" w:hRule="atLeast"/>
          <w:jc w:val="center"/>
        </w:trPr>
        <w:tc>
          <w:tcPr>
            <w:tcW w:w="245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AB67A39">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Constant</w:t>
            </w:r>
          </w:p>
        </w:tc>
        <w:tc>
          <w:tcPr>
            <w:tcW w:w="128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2A5E776">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−1.577</w:t>
            </w:r>
          </w:p>
        </w:tc>
        <w:tc>
          <w:tcPr>
            <w:tcW w:w="123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87B22D7">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0.064</w:t>
            </w:r>
          </w:p>
        </w:tc>
        <w:tc>
          <w:tcPr>
            <w:tcW w:w="96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6B991E4">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−24.67</w:t>
            </w:r>
          </w:p>
        </w:tc>
        <w:tc>
          <w:tcPr>
            <w:tcW w:w="105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1F02E9B">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&lt;0.001</w:t>
            </w:r>
          </w:p>
        </w:tc>
        <w:tc>
          <w:tcPr>
            <w:tcW w:w="169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45C9D548">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[−1.702, −1.452]</w:t>
            </w:r>
          </w:p>
        </w:tc>
      </w:tr>
    </w:tbl>
    <w:p w14:paraId="010125A3">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Adjusted predicted probability of attaining senator-or-higher office, by undergraduate background</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880"/>
        <w:gridCol w:w="1224"/>
        <w:gridCol w:w="890"/>
        <w:gridCol w:w="970"/>
        <w:gridCol w:w="1470"/>
      </w:tblGrid>
      <w:tr w14:paraId="52C1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blHeader/>
          <w:jc w:val="center"/>
        </w:trPr>
        <w:tc>
          <w:tcPr>
            <w:tcW w:w="2088" w:type="dxa"/>
            <w:vAlign w:val="center"/>
          </w:tcPr>
          <w:p w14:paraId="20A60E5B">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Undergraduate background</w:t>
            </w:r>
          </w:p>
        </w:tc>
        <w:tc>
          <w:tcPr>
            <w:tcW w:w="1880" w:type="dxa"/>
            <w:vAlign w:val="center"/>
          </w:tcPr>
          <w:p w14:paraId="3AE21EBF">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val="en-US" w:eastAsia="zh-CN" w:bidi="ar"/>
              </w:rPr>
              <w:t>Predicted probability (%)</w:t>
            </w:r>
          </w:p>
        </w:tc>
        <w:tc>
          <w:tcPr>
            <w:tcW w:w="1224" w:type="dxa"/>
            <w:vAlign w:val="center"/>
          </w:tcPr>
          <w:p w14:paraId="4DC52287">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Std. Error</w:t>
            </w:r>
          </w:p>
        </w:tc>
        <w:tc>
          <w:tcPr>
            <w:tcW w:w="890" w:type="dxa"/>
            <w:vAlign w:val="center"/>
          </w:tcPr>
          <w:p w14:paraId="6BD0E8C1">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z</w:t>
            </w:r>
          </w:p>
        </w:tc>
        <w:tc>
          <w:tcPr>
            <w:tcW w:w="970" w:type="dxa"/>
            <w:vAlign w:val="center"/>
          </w:tcPr>
          <w:p w14:paraId="7B348E53">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p−value</w:t>
            </w:r>
          </w:p>
        </w:tc>
        <w:tc>
          <w:tcPr>
            <w:tcW w:w="1470" w:type="dxa"/>
            <w:vAlign w:val="center"/>
          </w:tcPr>
          <w:p w14:paraId="24BF78F9">
            <w:pPr>
              <w:widowControl/>
              <w:snapToGrid w:val="0"/>
              <w:spacing w:before="0" w:after="0" w:line="240" w:lineRule="auto"/>
              <w:jc w:val="center"/>
              <w:textAlignment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kern w:val="0"/>
                <w:sz w:val="21"/>
                <w:szCs w:val="21"/>
                <w:lang w:bidi="ar"/>
              </w:rPr>
              <w:t>95% CI</w:t>
            </w:r>
            <w:r>
              <w:rPr>
                <w:rFonts w:hint="default" w:ascii="Times New Roman" w:hAnsi="Times New Roman" w:eastAsia="宋体" w:cs="Times New Roman"/>
                <w:b/>
                <w:bCs/>
                <w:kern w:val="0"/>
                <w:sz w:val="21"/>
                <w:szCs w:val="21"/>
                <w:lang w:val="en-US" w:eastAsia="zh-CN" w:bidi="ar"/>
              </w:rPr>
              <w:t xml:space="preserve"> (%)</w:t>
            </w:r>
          </w:p>
        </w:tc>
      </w:tr>
      <w:tr w14:paraId="1E73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088" w:type="dxa"/>
            <w:vAlign w:val="center"/>
          </w:tcPr>
          <w:p w14:paraId="2A1D9DA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Non-elite</w:t>
            </w:r>
          </w:p>
        </w:tc>
        <w:tc>
          <w:tcPr>
            <w:tcW w:w="1880" w:type="dxa"/>
            <w:vAlign w:val="center"/>
          </w:tcPr>
          <w:p w14:paraId="0A04AE5D">
            <w:pPr>
              <w:widowControl/>
              <w:snapToGrid w:val="0"/>
              <w:spacing w:before="0" w:after="0" w:line="240" w:lineRule="auto"/>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bidi="ar"/>
              </w:rPr>
              <w:t>16</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4</w:t>
            </w:r>
            <w:r>
              <w:rPr>
                <w:rFonts w:hint="default" w:ascii="Times New Roman" w:hAnsi="Times New Roman" w:eastAsia="宋体" w:cs="Times New Roman"/>
                <w:kern w:val="0"/>
                <w:sz w:val="21"/>
                <w:szCs w:val="21"/>
                <w:lang w:val="en-US" w:eastAsia="zh-CN" w:bidi="ar"/>
              </w:rPr>
              <w:t>0</w:t>
            </w:r>
          </w:p>
        </w:tc>
        <w:tc>
          <w:tcPr>
            <w:tcW w:w="1224" w:type="dxa"/>
            <w:vAlign w:val="center"/>
          </w:tcPr>
          <w:p w14:paraId="1E034341">
            <w:pPr>
              <w:widowControl/>
              <w:snapToGrid w:val="0"/>
              <w:spacing w:before="0" w:after="0" w:line="240" w:lineRule="auto"/>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bidi="ar"/>
              </w:rPr>
              <w:t>0.6</w:t>
            </w:r>
            <w:r>
              <w:rPr>
                <w:rFonts w:hint="default" w:ascii="Times New Roman" w:hAnsi="Times New Roman" w:eastAsia="宋体" w:cs="Times New Roman"/>
                <w:kern w:val="0"/>
                <w:sz w:val="21"/>
                <w:szCs w:val="21"/>
                <w:lang w:val="en-US" w:eastAsia="zh-CN" w:bidi="ar"/>
              </w:rPr>
              <w:t>2</w:t>
            </w:r>
          </w:p>
        </w:tc>
        <w:tc>
          <w:tcPr>
            <w:tcW w:w="890" w:type="dxa"/>
            <w:vAlign w:val="center"/>
          </w:tcPr>
          <w:p w14:paraId="3C96E17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26.49</w:t>
            </w:r>
          </w:p>
        </w:tc>
        <w:tc>
          <w:tcPr>
            <w:tcW w:w="970" w:type="dxa"/>
            <w:vAlign w:val="center"/>
          </w:tcPr>
          <w:p w14:paraId="1864C357">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&lt;0.001</w:t>
            </w:r>
          </w:p>
        </w:tc>
        <w:tc>
          <w:tcPr>
            <w:tcW w:w="1470" w:type="dxa"/>
            <w:vAlign w:val="center"/>
          </w:tcPr>
          <w:p w14:paraId="39A1DB62">
            <w:pPr>
              <w:widowControl/>
              <w:snapToGrid w:val="0"/>
              <w:spacing w:before="0" w:after="0" w:line="240" w:lineRule="auto"/>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bidi="ar"/>
              </w:rPr>
              <w:t>[15</w:t>
            </w:r>
            <w:r>
              <w:rPr>
                <w:rFonts w:hint="default" w:ascii="Times New Roman" w:hAnsi="Times New Roman" w:eastAsia="宋体" w:cs="Times New Roman"/>
                <w:kern w:val="0"/>
                <w:sz w:val="21"/>
                <w:szCs w:val="21"/>
                <w:lang w:val="en-US" w:eastAsia="zh-CN" w:bidi="ar"/>
              </w:rPr>
              <w:t>.18</w:t>
            </w:r>
            <w:r>
              <w:rPr>
                <w:rFonts w:hint="default" w:ascii="Times New Roman" w:hAnsi="Times New Roman" w:eastAsia="宋体" w:cs="Times New Roman"/>
                <w:kern w:val="0"/>
                <w:sz w:val="21"/>
                <w:szCs w:val="21"/>
                <w:lang w:bidi="ar"/>
              </w:rPr>
              <w:t>, 17</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6</w:t>
            </w:r>
            <w:r>
              <w:rPr>
                <w:rFonts w:hint="default" w:ascii="Times New Roman" w:hAnsi="Times New Roman" w:eastAsia="宋体" w:cs="Times New Roman"/>
                <w:kern w:val="0"/>
                <w:sz w:val="21"/>
                <w:szCs w:val="21"/>
                <w:lang w:val="en-US" w:eastAsia="zh-CN" w:bidi="ar"/>
              </w:rPr>
              <w:t>2</w:t>
            </w:r>
            <w:r>
              <w:rPr>
                <w:rFonts w:hint="default" w:ascii="Times New Roman" w:hAnsi="Times New Roman" w:eastAsia="宋体" w:cs="Times New Roman"/>
                <w:kern w:val="0"/>
                <w:sz w:val="21"/>
                <w:szCs w:val="21"/>
                <w:lang w:bidi="ar"/>
              </w:rPr>
              <w:t>]</w:t>
            </w:r>
          </w:p>
        </w:tc>
      </w:tr>
      <w:tr w14:paraId="5D32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088" w:type="dxa"/>
            <w:vAlign w:val="center"/>
          </w:tcPr>
          <w:p w14:paraId="3B5399F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Elite</w:t>
            </w:r>
          </w:p>
        </w:tc>
        <w:tc>
          <w:tcPr>
            <w:tcW w:w="1880" w:type="dxa"/>
            <w:vAlign w:val="center"/>
          </w:tcPr>
          <w:p w14:paraId="5BF1B95A">
            <w:pPr>
              <w:widowControl/>
              <w:snapToGrid w:val="0"/>
              <w:spacing w:before="0" w:after="0" w:line="240" w:lineRule="auto"/>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bidi="ar"/>
              </w:rPr>
              <w:t>21</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7</w:t>
            </w:r>
            <w:r>
              <w:rPr>
                <w:rFonts w:hint="default" w:ascii="Times New Roman" w:hAnsi="Times New Roman" w:eastAsia="宋体" w:cs="Times New Roman"/>
                <w:kern w:val="0"/>
                <w:sz w:val="21"/>
                <w:szCs w:val="21"/>
                <w:lang w:val="en-US" w:eastAsia="zh-CN" w:bidi="ar"/>
              </w:rPr>
              <w:t>3</w:t>
            </w:r>
          </w:p>
        </w:tc>
        <w:tc>
          <w:tcPr>
            <w:tcW w:w="1224" w:type="dxa"/>
            <w:vAlign w:val="center"/>
          </w:tcPr>
          <w:p w14:paraId="508F19AC">
            <w:pPr>
              <w:widowControl/>
              <w:snapToGrid w:val="0"/>
              <w:spacing w:before="0" w:after="0" w:line="240" w:lineRule="auto"/>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bidi="ar"/>
              </w:rPr>
              <w:t>0.8</w:t>
            </w:r>
            <w:r>
              <w:rPr>
                <w:rFonts w:hint="default" w:ascii="Times New Roman" w:hAnsi="Times New Roman" w:eastAsia="宋体" w:cs="Times New Roman"/>
                <w:kern w:val="0"/>
                <w:sz w:val="21"/>
                <w:szCs w:val="21"/>
                <w:lang w:val="en-US" w:eastAsia="zh-CN" w:bidi="ar"/>
              </w:rPr>
              <w:t>4</w:t>
            </w:r>
          </w:p>
        </w:tc>
        <w:tc>
          <w:tcPr>
            <w:tcW w:w="890" w:type="dxa"/>
            <w:vAlign w:val="center"/>
          </w:tcPr>
          <w:p w14:paraId="00626F0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25.99</w:t>
            </w:r>
          </w:p>
        </w:tc>
        <w:tc>
          <w:tcPr>
            <w:tcW w:w="970" w:type="dxa"/>
            <w:vAlign w:val="center"/>
          </w:tcPr>
          <w:p w14:paraId="4C36D8F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&lt;0.001</w:t>
            </w:r>
          </w:p>
        </w:tc>
        <w:tc>
          <w:tcPr>
            <w:tcW w:w="1470" w:type="dxa"/>
            <w:vAlign w:val="center"/>
          </w:tcPr>
          <w:p w14:paraId="5379749C">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[20</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0</w:t>
            </w:r>
            <w:r>
              <w:rPr>
                <w:rFonts w:hint="default" w:ascii="Times New Roman" w:hAnsi="Times New Roman" w:eastAsia="宋体" w:cs="Times New Roman"/>
                <w:kern w:val="0"/>
                <w:sz w:val="21"/>
                <w:szCs w:val="21"/>
                <w:lang w:val="en-US" w:eastAsia="zh-CN" w:bidi="ar"/>
              </w:rPr>
              <w:t>2</w:t>
            </w:r>
            <w:r>
              <w:rPr>
                <w:rFonts w:hint="default" w:ascii="Times New Roman" w:hAnsi="Times New Roman" w:eastAsia="宋体" w:cs="Times New Roman"/>
                <w:kern w:val="0"/>
                <w:sz w:val="21"/>
                <w:szCs w:val="21"/>
                <w:lang w:bidi="ar"/>
              </w:rPr>
              <w:t>, 23</w:t>
            </w:r>
            <w:r>
              <w:rPr>
                <w:rFonts w:hint="default" w:ascii="Times New Roman" w:hAnsi="Times New Roman" w:eastAsia="宋体" w:cs="Times New Roman"/>
                <w:kern w:val="0"/>
                <w:sz w:val="21"/>
                <w:szCs w:val="21"/>
                <w:lang w:val="en-US" w:eastAsia="zh-CN" w:bidi="ar"/>
              </w:rPr>
              <w:t>.27</w:t>
            </w:r>
            <w:r>
              <w:rPr>
                <w:rFonts w:hint="default" w:ascii="Times New Roman" w:hAnsi="Times New Roman" w:eastAsia="宋体" w:cs="Times New Roman"/>
                <w:kern w:val="0"/>
                <w:sz w:val="21"/>
                <w:szCs w:val="21"/>
                <w:lang w:bidi="ar"/>
              </w:rPr>
              <w:t>]</w:t>
            </w:r>
          </w:p>
        </w:tc>
      </w:tr>
    </w:tbl>
    <w:p w14:paraId="1BDDFFEA">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C. Average marginal effect of elite undergraduate background on the probability of attaining senator-or-higher office</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2"/>
        <w:gridCol w:w="1164"/>
        <w:gridCol w:w="963"/>
        <w:gridCol w:w="793"/>
        <w:gridCol w:w="1056"/>
        <w:gridCol w:w="1674"/>
      </w:tblGrid>
      <w:tr w14:paraId="288C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blHeader/>
          <w:jc w:val="center"/>
        </w:trPr>
        <w:tc>
          <w:tcPr>
            <w:tcW w:w="2872" w:type="dxa"/>
            <w:vAlign w:val="center"/>
          </w:tcPr>
          <w:p w14:paraId="5C78A62B">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Undergraduate background</w:t>
            </w:r>
          </w:p>
        </w:tc>
        <w:tc>
          <w:tcPr>
            <w:tcW w:w="1164" w:type="dxa"/>
            <w:vAlign w:val="center"/>
          </w:tcPr>
          <w:p w14:paraId="1BAE346F">
            <w:pPr>
              <w:widowControl/>
              <w:snapToGrid w:val="0"/>
              <w:spacing w:before="0" w:after="0" w:line="240" w:lineRule="auto"/>
              <w:jc w:val="center"/>
              <w:textAlignment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kern w:val="0"/>
                <w:sz w:val="21"/>
                <w:szCs w:val="21"/>
                <w:lang w:val="en-US" w:eastAsia="zh-CN" w:bidi="ar"/>
              </w:rPr>
              <w:t>AME (pp)</w:t>
            </w:r>
          </w:p>
        </w:tc>
        <w:tc>
          <w:tcPr>
            <w:tcW w:w="963" w:type="dxa"/>
            <w:vAlign w:val="center"/>
          </w:tcPr>
          <w:p w14:paraId="16620867">
            <w:pPr>
              <w:widowControl/>
              <w:snapToGrid w:val="0"/>
              <w:spacing w:before="0" w:after="0" w:line="240" w:lineRule="auto"/>
              <w:jc w:val="center"/>
              <w:textAlignment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SE (pp)</w:t>
            </w:r>
          </w:p>
        </w:tc>
        <w:tc>
          <w:tcPr>
            <w:tcW w:w="793" w:type="dxa"/>
            <w:vAlign w:val="center"/>
          </w:tcPr>
          <w:p w14:paraId="3FD515B3">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z</w:t>
            </w:r>
          </w:p>
        </w:tc>
        <w:tc>
          <w:tcPr>
            <w:tcW w:w="1056" w:type="dxa"/>
            <w:vAlign w:val="center"/>
          </w:tcPr>
          <w:p w14:paraId="6BC274CC">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p−value</w:t>
            </w:r>
          </w:p>
        </w:tc>
        <w:tc>
          <w:tcPr>
            <w:tcW w:w="1674" w:type="dxa"/>
            <w:vAlign w:val="center"/>
          </w:tcPr>
          <w:p w14:paraId="62C10943">
            <w:pPr>
              <w:widowControl/>
              <w:snapToGrid w:val="0"/>
              <w:spacing w:before="0" w:after="0" w:line="240" w:lineRule="auto"/>
              <w:jc w:val="center"/>
              <w:textAlignment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kern w:val="0"/>
                <w:sz w:val="21"/>
                <w:szCs w:val="21"/>
                <w:lang w:bidi="ar"/>
              </w:rPr>
              <w:t>95% CI</w:t>
            </w:r>
            <w:r>
              <w:rPr>
                <w:rFonts w:hint="default" w:ascii="Times New Roman" w:hAnsi="Times New Roman" w:eastAsia="宋体" w:cs="Times New Roman"/>
                <w:b/>
                <w:bCs/>
                <w:kern w:val="0"/>
                <w:sz w:val="21"/>
                <w:szCs w:val="21"/>
                <w:lang w:val="en-US" w:eastAsia="zh-CN" w:bidi="ar"/>
              </w:rPr>
              <w:t xml:space="preserve"> (pp)</w:t>
            </w:r>
          </w:p>
        </w:tc>
      </w:tr>
      <w:tr w14:paraId="147B5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872" w:type="dxa"/>
            <w:vAlign w:val="center"/>
          </w:tcPr>
          <w:p w14:paraId="46E0CE2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Elite</w:t>
            </w:r>
          </w:p>
        </w:tc>
        <w:tc>
          <w:tcPr>
            <w:tcW w:w="1164" w:type="dxa"/>
            <w:vAlign w:val="center"/>
          </w:tcPr>
          <w:p w14:paraId="67346A2D">
            <w:pPr>
              <w:widowControl/>
              <w:snapToGrid w:val="0"/>
              <w:spacing w:before="0" w:after="0" w:line="240" w:lineRule="auto"/>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bidi="ar"/>
              </w:rPr>
              <w:t>5</w:t>
            </w:r>
            <w:r>
              <w:rPr>
                <w:rFonts w:hint="default" w:ascii="Times New Roman" w:hAnsi="Times New Roman" w:eastAsia="宋体" w:cs="Times New Roman"/>
                <w:kern w:val="0"/>
                <w:sz w:val="21"/>
                <w:szCs w:val="21"/>
                <w:lang w:val="en-US" w:eastAsia="zh-CN" w:bidi="ar"/>
              </w:rPr>
              <w:t>.29</w:t>
            </w:r>
          </w:p>
        </w:tc>
        <w:tc>
          <w:tcPr>
            <w:tcW w:w="963" w:type="dxa"/>
            <w:vAlign w:val="center"/>
          </w:tcPr>
          <w:p w14:paraId="261C10ED">
            <w:pPr>
              <w:widowControl/>
              <w:snapToGrid w:val="0"/>
              <w:spacing w:before="0" w:after="0" w:line="240" w:lineRule="auto"/>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val="en-US" w:eastAsia="zh-CN" w:bidi="ar"/>
              </w:rPr>
              <w:t>1.04</w:t>
            </w:r>
          </w:p>
        </w:tc>
        <w:tc>
          <w:tcPr>
            <w:tcW w:w="793" w:type="dxa"/>
            <w:vAlign w:val="center"/>
          </w:tcPr>
          <w:p w14:paraId="0EE7DEC7">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5.09</w:t>
            </w:r>
          </w:p>
        </w:tc>
        <w:tc>
          <w:tcPr>
            <w:tcW w:w="1056" w:type="dxa"/>
            <w:vAlign w:val="center"/>
          </w:tcPr>
          <w:p w14:paraId="1FA4204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c>
          <w:tcPr>
            <w:tcW w:w="1674" w:type="dxa"/>
            <w:vAlign w:val="center"/>
          </w:tcPr>
          <w:p w14:paraId="21BF342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[3</w:t>
            </w:r>
            <w:r>
              <w:rPr>
                <w:rFonts w:hint="default" w:ascii="Times New Roman" w:hAnsi="Times New Roman" w:eastAsia="宋体" w:cs="Times New Roman"/>
                <w:kern w:val="0"/>
                <w:sz w:val="21"/>
                <w:szCs w:val="21"/>
                <w:lang w:val="en-US" w:eastAsia="zh-CN" w:bidi="ar"/>
              </w:rPr>
              <w:t>.25</w:t>
            </w:r>
            <w:r>
              <w:rPr>
                <w:rFonts w:hint="default" w:ascii="Times New Roman" w:hAnsi="Times New Roman" w:eastAsia="宋体" w:cs="Times New Roman"/>
                <w:kern w:val="0"/>
                <w:sz w:val="21"/>
                <w:szCs w:val="21"/>
                <w:lang w:bidi="ar"/>
              </w:rPr>
              <w:t>, 7</w:t>
            </w:r>
            <w:r>
              <w:rPr>
                <w:rFonts w:hint="default" w:ascii="Times New Roman" w:hAnsi="Times New Roman" w:eastAsia="宋体" w:cs="Times New Roman"/>
                <w:kern w:val="0"/>
                <w:sz w:val="21"/>
                <w:szCs w:val="21"/>
                <w:lang w:val="en-US" w:eastAsia="zh-CN" w:bidi="ar"/>
              </w:rPr>
              <w:t>.3</w:t>
            </w:r>
            <w:r>
              <w:rPr>
                <w:rFonts w:hint="default" w:ascii="Times New Roman" w:hAnsi="Times New Roman" w:eastAsia="宋体" w:cs="Times New Roman"/>
                <w:kern w:val="0"/>
                <w:sz w:val="21"/>
                <w:szCs w:val="21"/>
                <w:lang w:bidi="ar"/>
              </w:rPr>
              <w:t>3]</w:t>
            </w:r>
          </w:p>
        </w:tc>
      </w:tr>
    </w:tbl>
    <w:p w14:paraId="73C0B0B8">
      <w:pPr>
        <w:pStyle w:val="19"/>
        <w:widowControl/>
        <w:snapToGrid w:val="0"/>
        <w:textAlignment w:val="center"/>
        <w:rPr>
          <w:rFonts w:hint="default" w:ascii="Times New Roman" w:hAnsi="Times New Roman" w:cs="Times New Roman"/>
          <w:b w:val="0"/>
          <w:i w:val="0"/>
          <w:sz w:val="20"/>
          <w:szCs w:val="28"/>
          <w:lang w:val="en-US" w:eastAsia="zh-CN"/>
        </w:rPr>
      </w:pPr>
      <w:r>
        <w:rPr>
          <w:rFonts w:hint="default" w:ascii="Times New Roman" w:hAnsi="Times New Roman" w:cs="Times New Roman"/>
          <w:b w:val="0"/>
          <w:i w:val="0"/>
          <w:sz w:val="20"/>
          <w:szCs w:val="28"/>
        </w:rPr>
        <w:t>Note. The dependent variable equals one if the individual’s highest observed office is senator, vice president, or president, and zero if the highest observed office is member of the House of Representatives. The sample is restricted to individuals with identifiable undergraduate-institution information. Elite undergraduate background is defined using the study’s global Top 500 institutional-ranking criterion; institutions not matched to the ranking data are coded as non-elite. The model controls for education level, gender, and first-service period. Panels B and C report adjusted probabilities and the discrete AME of elite undergraduate background. AMEs are reported in percentage points. Robust standard errors are reported.</w:t>
      </w:r>
    </w:p>
    <w:p w14:paraId="415AA158">
      <w:pPr>
        <w:rPr>
          <w:rFonts w:hint="default" w:ascii="Times New Roman" w:hAnsi="Times New Roman" w:cs="Times New Roman"/>
          <w:sz w:val="21"/>
          <w:szCs w:val="24"/>
        </w:rPr>
      </w:pPr>
      <w:r>
        <w:rPr>
          <w:rFonts w:hint="default" w:ascii="Times New Roman" w:hAnsi="Times New Roman" w:cs="Times New Roman"/>
          <w:sz w:val="21"/>
          <w:szCs w:val="24"/>
        </w:rPr>
        <w:br w:type="page"/>
      </w:r>
    </w:p>
    <w:p w14:paraId="24A60D66">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9c. Robustness and sensitivity analyses of elite undergraduate background and higher political-position attainment</w:t>
      </w:r>
    </w:p>
    <w:p w14:paraId="031EDD50">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Chinese government-official sample</w:t>
      </w:r>
    </w:p>
    <w:tbl>
      <w:tblPr>
        <w:tblStyle w:val="5"/>
        <w:tblW w:w="9049" w:type="dxa"/>
        <w:jc w:val="center"/>
        <w:tblLayout w:type="fixed"/>
        <w:tblCellMar>
          <w:top w:w="0" w:type="dxa"/>
          <w:left w:w="108" w:type="dxa"/>
          <w:bottom w:w="0" w:type="dxa"/>
          <w:right w:w="108" w:type="dxa"/>
        </w:tblCellMar>
      </w:tblPr>
      <w:tblGrid>
        <w:gridCol w:w="1609"/>
        <w:gridCol w:w="1256"/>
        <w:gridCol w:w="1043"/>
        <w:gridCol w:w="1440"/>
        <w:gridCol w:w="1222"/>
        <w:gridCol w:w="1528"/>
        <w:gridCol w:w="951"/>
      </w:tblGrid>
      <w:tr w14:paraId="784B0F4A">
        <w:tblPrEx>
          <w:tblCellMar>
            <w:top w:w="0" w:type="dxa"/>
            <w:left w:w="108" w:type="dxa"/>
            <w:bottom w:w="0" w:type="dxa"/>
            <w:right w:w="108" w:type="dxa"/>
          </w:tblCellMar>
        </w:tblPrEx>
        <w:trPr>
          <w:cantSplit/>
          <w:trHeight w:val="283" w:hRule="atLeast"/>
          <w:tblHeader/>
          <w:jc w:val="center"/>
        </w:trPr>
        <w:tc>
          <w:tcPr>
            <w:tcW w:w="1609" w:type="dxa"/>
            <w:tcBorders>
              <w:top w:val="single" w:color="auto" w:sz="4" w:space="0"/>
              <w:left w:val="single" w:color="auto" w:sz="4" w:space="0"/>
              <w:bottom w:val="nil"/>
              <w:right w:val="nil"/>
            </w:tcBorders>
            <w:tcMar>
              <w:top w:w="-1" w:type="dxa"/>
              <w:left w:w="-1" w:type="dxa"/>
              <w:bottom w:w="-1" w:type="dxa"/>
              <w:right w:w="-1" w:type="dxa"/>
            </w:tcMar>
            <w:vAlign w:val="center"/>
          </w:tcPr>
          <w:p w14:paraId="1D7A8E28">
            <w:pPr>
              <w:widowControl/>
              <w:snapToGrid w:val="0"/>
              <w:spacing w:before="0" w:after="0" w:line="240" w:lineRule="auto"/>
              <w:jc w:val="center"/>
              <w:textAlignment w:val="center"/>
              <w:rPr>
                <w:rFonts w:hint="default" w:ascii="Times New Roman" w:hAnsi="Times New Roman" w:eastAsia="宋体" w:cs="Times New Roman"/>
                <w:b/>
                <w:bCs w:val="0"/>
                <w:color w:val="000000"/>
                <w:sz w:val="21"/>
                <w:szCs w:val="21"/>
              </w:rPr>
            </w:pPr>
            <w:r>
              <w:rPr>
                <w:rFonts w:hint="default" w:ascii="Times New Roman" w:hAnsi="Times New Roman" w:eastAsia="宋体" w:cs="Times New Roman"/>
                <w:b/>
                <w:bCs w:val="0"/>
                <w:color w:val="000000"/>
                <w:kern w:val="0"/>
                <w:sz w:val="21"/>
                <w:szCs w:val="21"/>
                <w:lang w:bidi="ar"/>
              </w:rPr>
              <w:t>Specification</w:t>
            </w:r>
          </w:p>
        </w:tc>
        <w:tc>
          <w:tcPr>
            <w:tcW w:w="1256" w:type="dxa"/>
            <w:tcBorders>
              <w:top w:val="single" w:color="auto" w:sz="4" w:space="0"/>
              <w:left w:val="single" w:color="auto" w:sz="4" w:space="0"/>
              <w:bottom w:val="nil"/>
              <w:right w:val="nil"/>
            </w:tcBorders>
            <w:tcMar>
              <w:top w:w="-1" w:type="dxa"/>
              <w:left w:w="-1" w:type="dxa"/>
              <w:bottom w:w="-1" w:type="dxa"/>
              <w:right w:w="-1" w:type="dxa"/>
            </w:tcMar>
            <w:vAlign w:val="center"/>
          </w:tcPr>
          <w:p w14:paraId="5A20F14C">
            <w:pPr>
              <w:widowControl/>
              <w:snapToGrid w:val="0"/>
              <w:spacing w:before="0" w:after="0" w:line="240" w:lineRule="auto"/>
              <w:jc w:val="center"/>
              <w:textAlignment w:val="center"/>
              <w:rPr>
                <w:rFonts w:hint="default" w:ascii="Times New Roman" w:hAnsi="Times New Roman" w:eastAsia="宋体" w:cs="Times New Roman"/>
                <w:b/>
                <w:bCs w:val="0"/>
                <w:color w:val="000000"/>
                <w:sz w:val="21"/>
                <w:szCs w:val="21"/>
                <w:lang w:val="en-US" w:eastAsia="zh-CN"/>
              </w:rPr>
            </w:pPr>
            <w:r>
              <w:rPr>
                <w:rFonts w:hint="default" w:ascii="Times New Roman" w:hAnsi="Times New Roman" w:eastAsia="宋体" w:cs="Times New Roman"/>
                <w:b/>
                <w:bCs w:val="0"/>
                <w:color w:val="000000"/>
                <w:kern w:val="0"/>
                <w:sz w:val="21"/>
                <w:szCs w:val="21"/>
                <w:lang w:val="en-US" w:eastAsia="zh-CN" w:bidi="ar"/>
              </w:rPr>
              <w:t>Effect measure</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2ED63306">
            <w:pPr>
              <w:widowControl/>
              <w:snapToGrid w:val="0"/>
              <w:spacing w:before="0" w:after="0" w:line="240" w:lineRule="auto"/>
              <w:jc w:val="center"/>
              <w:textAlignment w:val="center"/>
              <w:rPr>
                <w:rFonts w:hint="default" w:ascii="Times New Roman" w:hAnsi="Times New Roman" w:eastAsia="宋体" w:cs="Times New Roman"/>
                <w:b/>
                <w:bCs w:val="0"/>
                <w:color w:val="000000"/>
                <w:sz w:val="21"/>
                <w:szCs w:val="21"/>
              </w:rPr>
            </w:pPr>
            <w:r>
              <w:rPr>
                <w:rFonts w:hint="default" w:ascii="Times New Roman" w:hAnsi="Times New Roman" w:eastAsia="宋体" w:cs="Times New Roman"/>
                <w:b/>
                <w:bCs w:val="0"/>
                <w:color w:val="000000"/>
                <w:kern w:val="0"/>
                <w:sz w:val="21"/>
                <w:szCs w:val="21"/>
                <w:lang w:bidi="ar"/>
              </w:rPr>
              <w:t>Estimate</w:t>
            </w:r>
          </w:p>
        </w:tc>
        <w:tc>
          <w:tcPr>
            <w:tcW w:w="1440" w:type="dxa"/>
            <w:tcBorders>
              <w:top w:val="single" w:color="auto" w:sz="4" w:space="0"/>
              <w:left w:val="single" w:color="auto" w:sz="4" w:space="0"/>
              <w:bottom w:val="nil"/>
              <w:right w:val="nil"/>
            </w:tcBorders>
            <w:tcMar>
              <w:top w:w="-1" w:type="dxa"/>
              <w:left w:w="-1" w:type="dxa"/>
              <w:bottom w:w="-1" w:type="dxa"/>
              <w:right w:w="-1" w:type="dxa"/>
            </w:tcMar>
            <w:vAlign w:val="center"/>
          </w:tcPr>
          <w:p w14:paraId="1F9779E6">
            <w:pPr>
              <w:widowControl/>
              <w:snapToGrid w:val="0"/>
              <w:spacing w:before="0" w:after="0" w:line="240" w:lineRule="auto"/>
              <w:jc w:val="center"/>
              <w:textAlignment w:val="center"/>
              <w:rPr>
                <w:rFonts w:hint="default" w:ascii="Times New Roman" w:hAnsi="Times New Roman" w:eastAsia="宋体" w:cs="Times New Roman"/>
                <w:b/>
                <w:bCs w:val="0"/>
                <w:color w:val="000000"/>
                <w:sz w:val="21"/>
                <w:szCs w:val="21"/>
              </w:rPr>
            </w:pPr>
            <w:r>
              <w:rPr>
                <w:rFonts w:hint="default" w:ascii="Times New Roman" w:hAnsi="Times New Roman" w:eastAsia="宋体" w:cs="Times New Roman"/>
                <w:b/>
                <w:bCs w:val="0"/>
                <w:color w:val="000000"/>
                <w:kern w:val="0"/>
                <w:sz w:val="21"/>
                <w:szCs w:val="21"/>
                <w:lang w:bidi="ar"/>
              </w:rPr>
              <w:t>95% CI</w:t>
            </w:r>
          </w:p>
        </w:tc>
        <w:tc>
          <w:tcPr>
            <w:tcW w:w="1222" w:type="dxa"/>
            <w:tcBorders>
              <w:top w:val="single" w:color="auto" w:sz="4" w:space="0"/>
              <w:left w:val="single" w:color="auto" w:sz="4" w:space="0"/>
              <w:bottom w:val="nil"/>
              <w:right w:val="nil"/>
            </w:tcBorders>
            <w:tcMar>
              <w:top w:w="-1" w:type="dxa"/>
              <w:left w:w="-1" w:type="dxa"/>
              <w:bottom w:w="-1" w:type="dxa"/>
              <w:right w:w="-1" w:type="dxa"/>
            </w:tcMar>
            <w:vAlign w:val="center"/>
          </w:tcPr>
          <w:p w14:paraId="6E14CE43">
            <w:pPr>
              <w:widowControl/>
              <w:snapToGrid w:val="0"/>
              <w:spacing w:before="0" w:after="0" w:line="240" w:lineRule="auto"/>
              <w:jc w:val="center"/>
              <w:textAlignment w:val="center"/>
              <w:rPr>
                <w:rFonts w:hint="default" w:ascii="Times New Roman" w:hAnsi="Times New Roman" w:eastAsia="宋体" w:cs="Times New Roman"/>
                <w:b/>
                <w:bCs w:val="0"/>
                <w:color w:val="000000"/>
                <w:sz w:val="21"/>
                <w:szCs w:val="21"/>
                <w:lang w:val="en-US" w:eastAsia="zh-CN"/>
              </w:rPr>
            </w:pPr>
            <w:r>
              <w:rPr>
                <w:rFonts w:hint="default" w:ascii="Times New Roman" w:hAnsi="Times New Roman" w:eastAsia="宋体" w:cs="Times New Roman"/>
                <w:b/>
                <w:bCs w:val="0"/>
                <w:color w:val="000000"/>
                <w:kern w:val="0"/>
                <w:sz w:val="21"/>
                <w:szCs w:val="21"/>
                <w:lang w:bidi="ar"/>
              </w:rPr>
              <w:t>AME</w:t>
            </w:r>
            <w:r>
              <w:rPr>
                <w:rFonts w:hint="default" w:ascii="Times New Roman" w:hAnsi="Times New Roman" w:eastAsia="宋体" w:cs="Times New Roman"/>
                <w:b/>
                <w:bCs w:val="0"/>
                <w:color w:val="000000"/>
                <w:kern w:val="0"/>
                <w:sz w:val="21"/>
                <w:szCs w:val="21"/>
                <w:lang w:val="en-US" w:eastAsia="zh-CN" w:bidi="ar"/>
              </w:rPr>
              <w:t xml:space="preserve"> (pp)</w:t>
            </w:r>
          </w:p>
        </w:tc>
        <w:tc>
          <w:tcPr>
            <w:tcW w:w="1528" w:type="dxa"/>
            <w:tcBorders>
              <w:top w:val="single" w:color="auto" w:sz="4" w:space="0"/>
              <w:left w:val="single" w:color="auto" w:sz="4" w:space="0"/>
              <w:bottom w:val="nil"/>
              <w:right w:val="nil"/>
            </w:tcBorders>
            <w:tcMar>
              <w:top w:w="-1" w:type="dxa"/>
              <w:left w:w="-1" w:type="dxa"/>
              <w:bottom w:w="-1" w:type="dxa"/>
              <w:right w:w="-1" w:type="dxa"/>
            </w:tcMar>
            <w:vAlign w:val="center"/>
          </w:tcPr>
          <w:p w14:paraId="73FB01BC">
            <w:pPr>
              <w:widowControl/>
              <w:snapToGrid w:val="0"/>
              <w:spacing w:before="0" w:after="0" w:line="240" w:lineRule="auto"/>
              <w:jc w:val="center"/>
              <w:textAlignment w:val="center"/>
              <w:rPr>
                <w:rFonts w:hint="default" w:ascii="Times New Roman" w:hAnsi="Times New Roman" w:eastAsia="宋体" w:cs="Times New Roman"/>
                <w:b/>
                <w:bCs w:val="0"/>
                <w:color w:val="000000"/>
                <w:kern w:val="0"/>
                <w:sz w:val="21"/>
                <w:szCs w:val="21"/>
                <w:lang w:val="en-US" w:eastAsia="zh-CN" w:bidi="ar"/>
              </w:rPr>
            </w:pPr>
            <w:r>
              <w:rPr>
                <w:rFonts w:hint="default" w:ascii="Times New Roman" w:hAnsi="Times New Roman" w:eastAsia="宋体" w:cs="Times New Roman"/>
                <w:b/>
                <w:bCs w:val="0"/>
                <w:color w:val="000000"/>
                <w:kern w:val="0"/>
                <w:sz w:val="21"/>
                <w:szCs w:val="21"/>
                <w:lang w:bidi="ar"/>
              </w:rPr>
              <w:t>AME 95% CI</w:t>
            </w:r>
            <w:r>
              <w:rPr>
                <w:rFonts w:hint="default" w:ascii="Times New Roman" w:hAnsi="Times New Roman" w:eastAsia="宋体" w:cs="Times New Roman"/>
                <w:b/>
                <w:bCs w:val="0"/>
                <w:color w:val="000000"/>
                <w:kern w:val="0"/>
                <w:sz w:val="21"/>
                <w:szCs w:val="21"/>
                <w:lang w:val="en-US" w:eastAsia="zh-CN" w:bidi="ar"/>
              </w:rPr>
              <w:t xml:space="preserve"> </w:t>
            </w:r>
          </w:p>
          <w:p w14:paraId="3F12B928">
            <w:pPr>
              <w:widowControl/>
              <w:snapToGrid w:val="0"/>
              <w:spacing w:before="0" w:after="0" w:line="240" w:lineRule="auto"/>
              <w:jc w:val="center"/>
              <w:textAlignment w:val="center"/>
              <w:rPr>
                <w:rFonts w:hint="default" w:ascii="Times New Roman" w:hAnsi="Times New Roman" w:eastAsia="宋体" w:cs="Times New Roman"/>
                <w:b/>
                <w:bCs w:val="0"/>
                <w:color w:val="000000"/>
                <w:sz w:val="21"/>
                <w:szCs w:val="21"/>
                <w:lang w:val="en-US" w:eastAsia="zh-CN"/>
              </w:rPr>
            </w:pPr>
            <w:r>
              <w:rPr>
                <w:rFonts w:hint="default" w:ascii="Times New Roman" w:hAnsi="Times New Roman" w:eastAsia="宋体" w:cs="Times New Roman"/>
                <w:b/>
                <w:bCs w:val="0"/>
                <w:color w:val="000000"/>
                <w:kern w:val="0"/>
                <w:sz w:val="21"/>
                <w:szCs w:val="21"/>
                <w:lang w:val="en-US" w:eastAsia="zh-CN" w:bidi="ar"/>
              </w:rPr>
              <w:t>(pp)</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A62BA97">
            <w:pPr>
              <w:widowControl/>
              <w:snapToGrid w:val="0"/>
              <w:spacing w:before="0" w:after="0" w:line="240" w:lineRule="auto"/>
              <w:jc w:val="center"/>
              <w:textAlignment w:val="center"/>
              <w:rPr>
                <w:rFonts w:hint="default" w:ascii="Times New Roman" w:hAnsi="Times New Roman" w:eastAsia="宋体" w:cs="Times New Roman"/>
                <w:b/>
                <w:bCs w:val="0"/>
                <w:color w:val="000000"/>
                <w:sz w:val="21"/>
                <w:szCs w:val="21"/>
              </w:rPr>
            </w:pPr>
            <w:r>
              <w:rPr>
                <w:rFonts w:hint="default" w:ascii="Times New Roman" w:hAnsi="Times New Roman" w:eastAsia="宋体" w:cs="Times New Roman"/>
                <w:b/>
                <w:bCs w:val="0"/>
                <w:color w:val="000000"/>
                <w:kern w:val="0"/>
                <w:sz w:val="21"/>
                <w:szCs w:val="21"/>
                <w:lang w:bidi="ar"/>
              </w:rPr>
              <w:t>p-value</w:t>
            </w:r>
          </w:p>
        </w:tc>
      </w:tr>
      <w:tr w14:paraId="7C56C749">
        <w:tblPrEx>
          <w:tblCellMar>
            <w:top w:w="0" w:type="dxa"/>
            <w:left w:w="108" w:type="dxa"/>
            <w:bottom w:w="0" w:type="dxa"/>
            <w:right w:w="108" w:type="dxa"/>
          </w:tblCellMar>
        </w:tblPrEx>
        <w:trPr>
          <w:cantSplit/>
          <w:trHeight w:val="283" w:hRule="atLeast"/>
          <w:jc w:val="center"/>
        </w:trPr>
        <w:tc>
          <w:tcPr>
            <w:tcW w:w="1609" w:type="dxa"/>
            <w:tcBorders>
              <w:top w:val="single" w:color="auto" w:sz="4" w:space="0"/>
              <w:left w:val="single" w:color="auto" w:sz="4" w:space="0"/>
              <w:bottom w:val="nil"/>
              <w:right w:val="nil"/>
            </w:tcBorders>
            <w:tcMar>
              <w:top w:w="-1" w:type="dxa"/>
              <w:left w:w="-1" w:type="dxa"/>
              <w:bottom w:w="-1" w:type="dxa"/>
              <w:right w:w="-1" w:type="dxa"/>
            </w:tcMar>
            <w:vAlign w:val="center"/>
          </w:tcPr>
          <w:p w14:paraId="6B42602E">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Main ordered logit</w:t>
            </w:r>
          </w:p>
        </w:tc>
        <w:tc>
          <w:tcPr>
            <w:tcW w:w="1256" w:type="dxa"/>
            <w:tcBorders>
              <w:top w:val="single" w:color="auto" w:sz="4" w:space="0"/>
              <w:left w:val="single" w:color="auto" w:sz="4" w:space="0"/>
              <w:bottom w:val="nil"/>
              <w:right w:val="nil"/>
            </w:tcBorders>
            <w:tcMar>
              <w:top w:w="-1" w:type="dxa"/>
              <w:left w:w="-1" w:type="dxa"/>
              <w:bottom w:w="-1" w:type="dxa"/>
              <w:right w:w="-1" w:type="dxa"/>
            </w:tcMar>
            <w:vAlign w:val="center"/>
          </w:tcPr>
          <w:p w14:paraId="7B16CDD4">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Cumulative OR</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7BA5836D">
            <w:pPr>
              <w:widowControl/>
              <w:snapToGrid w:val="0"/>
              <w:spacing w:before="0" w:after="0" w:line="240" w:lineRule="auto"/>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kern w:val="0"/>
                <w:sz w:val="21"/>
                <w:szCs w:val="21"/>
                <w:lang w:bidi="ar"/>
              </w:rPr>
              <w:t>1.7</w:t>
            </w:r>
            <w:r>
              <w:rPr>
                <w:rFonts w:hint="default" w:ascii="Times New Roman" w:hAnsi="Times New Roman" w:eastAsia="宋体" w:cs="Times New Roman"/>
                <w:color w:val="000000"/>
                <w:kern w:val="0"/>
                <w:sz w:val="21"/>
                <w:szCs w:val="21"/>
                <w:lang w:val="en-US" w:eastAsia="zh-CN" w:bidi="ar"/>
              </w:rPr>
              <w:t>38</w:t>
            </w:r>
          </w:p>
        </w:tc>
        <w:tc>
          <w:tcPr>
            <w:tcW w:w="1440" w:type="dxa"/>
            <w:tcBorders>
              <w:top w:val="single" w:color="auto" w:sz="4" w:space="0"/>
              <w:left w:val="single" w:color="auto" w:sz="4" w:space="0"/>
              <w:bottom w:val="nil"/>
              <w:right w:val="nil"/>
            </w:tcBorders>
            <w:tcMar>
              <w:top w:w="-1" w:type="dxa"/>
              <w:left w:w="-1" w:type="dxa"/>
              <w:bottom w:w="-1" w:type="dxa"/>
              <w:right w:w="-1" w:type="dxa"/>
            </w:tcMar>
            <w:vAlign w:val="center"/>
          </w:tcPr>
          <w:p w14:paraId="4DF9DC38">
            <w:pPr>
              <w:widowControl/>
              <w:snapToGrid w:val="0"/>
              <w:spacing w:before="0" w:after="0" w:line="240" w:lineRule="auto"/>
              <w:jc w:val="center"/>
              <w:textAlignment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kern w:val="0"/>
                <w:sz w:val="21"/>
                <w:szCs w:val="21"/>
                <w:highlight w:val="none"/>
                <w:lang w:bidi="ar"/>
              </w:rPr>
              <w:t>[1.</w:t>
            </w:r>
            <w:r>
              <w:rPr>
                <w:rFonts w:hint="default" w:ascii="Times New Roman" w:hAnsi="Times New Roman" w:eastAsia="宋体" w:cs="Times New Roman"/>
                <w:color w:val="000000"/>
                <w:kern w:val="0"/>
                <w:sz w:val="21"/>
                <w:szCs w:val="21"/>
                <w:highlight w:val="none"/>
                <w:lang w:val="en-US" w:eastAsia="zh-CN" w:bidi="ar"/>
              </w:rPr>
              <w:t>345</w:t>
            </w:r>
            <w:r>
              <w:rPr>
                <w:rFonts w:hint="default" w:ascii="Times New Roman" w:hAnsi="Times New Roman" w:eastAsia="宋体" w:cs="Times New Roman"/>
                <w:color w:val="000000"/>
                <w:kern w:val="0"/>
                <w:sz w:val="21"/>
                <w:szCs w:val="21"/>
                <w:highlight w:val="none"/>
                <w:lang w:bidi="ar"/>
              </w:rPr>
              <w:t>, 2.2</w:t>
            </w:r>
            <w:r>
              <w:rPr>
                <w:rFonts w:hint="default" w:ascii="Times New Roman" w:hAnsi="Times New Roman" w:eastAsia="宋体" w:cs="Times New Roman"/>
                <w:color w:val="000000"/>
                <w:kern w:val="0"/>
                <w:sz w:val="21"/>
                <w:szCs w:val="21"/>
                <w:highlight w:val="none"/>
                <w:lang w:val="en-US" w:eastAsia="zh-CN" w:bidi="ar"/>
              </w:rPr>
              <w:t>46</w:t>
            </w:r>
            <w:r>
              <w:rPr>
                <w:rFonts w:hint="default" w:ascii="Times New Roman" w:hAnsi="Times New Roman" w:eastAsia="宋体" w:cs="Times New Roman"/>
                <w:color w:val="000000"/>
                <w:kern w:val="0"/>
                <w:sz w:val="21"/>
                <w:szCs w:val="21"/>
                <w:highlight w:val="none"/>
                <w:lang w:bidi="ar"/>
              </w:rPr>
              <w:t>]</w:t>
            </w:r>
          </w:p>
        </w:tc>
        <w:tc>
          <w:tcPr>
            <w:tcW w:w="1222" w:type="dxa"/>
            <w:tcBorders>
              <w:top w:val="single" w:color="auto" w:sz="4" w:space="0"/>
              <w:left w:val="single" w:color="auto" w:sz="4" w:space="0"/>
              <w:bottom w:val="nil"/>
              <w:right w:val="nil"/>
            </w:tcBorders>
            <w:tcMar>
              <w:top w:w="-1" w:type="dxa"/>
              <w:left w:w="-1" w:type="dxa"/>
              <w:bottom w:w="-1" w:type="dxa"/>
              <w:right w:w="-1" w:type="dxa"/>
            </w:tcMar>
            <w:vAlign w:val="center"/>
          </w:tcPr>
          <w:p w14:paraId="7E872659">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27</w:t>
            </w:r>
          </w:p>
        </w:tc>
        <w:tc>
          <w:tcPr>
            <w:tcW w:w="1528" w:type="dxa"/>
            <w:tcBorders>
              <w:top w:val="single" w:color="auto" w:sz="4" w:space="0"/>
              <w:left w:val="single" w:color="auto" w:sz="4" w:space="0"/>
              <w:bottom w:val="nil"/>
              <w:right w:val="nil"/>
            </w:tcBorders>
            <w:tcMar>
              <w:top w:w="-1" w:type="dxa"/>
              <w:left w:w="-1" w:type="dxa"/>
              <w:bottom w:w="-1" w:type="dxa"/>
              <w:right w:w="-1" w:type="dxa"/>
            </w:tcMar>
            <w:vAlign w:val="center"/>
          </w:tcPr>
          <w:p w14:paraId="02D93EA9">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[0.56, 1.98]</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E0DD932">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&lt;0.001</w:t>
            </w:r>
          </w:p>
        </w:tc>
      </w:tr>
      <w:tr w14:paraId="2C82CF72">
        <w:tblPrEx>
          <w:tblCellMar>
            <w:top w:w="0" w:type="dxa"/>
            <w:left w:w="108" w:type="dxa"/>
            <w:bottom w:w="0" w:type="dxa"/>
            <w:right w:w="108" w:type="dxa"/>
          </w:tblCellMar>
        </w:tblPrEx>
        <w:trPr>
          <w:cantSplit/>
          <w:trHeight w:val="283" w:hRule="atLeast"/>
          <w:jc w:val="center"/>
        </w:trPr>
        <w:tc>
          <w:tcPr>
            <w:tcW w:w="1609" w:type="dxa"/>
            <w:tcBorders>
              <w:top w:val="single" w:color="auto" w:sz="4" w:space="0"/>
              <w:left w:val="single" w:color="auto" w:sz="4" w:space="0"/>
              <w:bottom w:val="nil"/>
              <w:right w:val="nil"/>
            </w:tcBorders>
            <w:tcMar>
              <w:top w:w="-1" w:type="dxa"/>
              <w:left w:w="-1" w:type="dxa"/>
              <w:bottom w:w="-1" w:type="dxa"/>
              <w:right w:w="-1" w:type="dxa"/>
            </w:tcMar>
            <w:vAlign w:val="center"/>
          </w:tcPr>
          <w:p w14:paraId="5AB0F67A">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Ordered probit</w:t>
            </w:r>
          </w:p>
        </w:tc>
        <w:tc>
          <w:tcPr>
            <w:tcW w:w="1256" w:type="dxa"/>
            <w:tcBorders>
              <w:top w:val="single" w:color="auto" w:sz="4" w:space="0"/>
              <w:left w:val="single" w:color="auto" w:sz="4" w:space="0"/>
              <w:bottom w:val="nil"/>
              <w:right w:val="nil"/>
            </w:tcBorders>
            <w:tcMar>
              <w:top w:w="-1" w:type="dxa"/>
              <w:left w:w="-1" w:type="dxa"/>
              <w:bottom w:w="-1" w:type="dxa"/>
              <w:right w:w="-1" w:type="dxa"/>
            </w:tcMar>
            <w:vAlign w:val="center"/>
          </w:tcPr>
          <w:p w14:paraId="7CF44516">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Coefficient</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525016BA">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0.319</w:t>
            </w:r>
          </w:p>
        </w:tc>
        <w:tc>
          <w:tcPr>
            <w:tcW w:w="1440" w:type="dxa"/>
            <w:tcBorders>
              <w:top w:val="single" w:color="auto" w:sz="4" w:space="0"/>
              <w:left w:val="single" w:color="auto" w:sz="4" w:space="0"/>
              <w:bottom w:val="nil"/>
              <w:right w:val="nil"/>
            </w:tcBorders>
            <w:tcMar>
              <w:top w:w="-1" w:type="dxa"/>
              <w:left w:w="-1" w:type="dxa"/>
              <w:bottom w:w="-1" w:type="dxa"/>
              <w:right w:w="-1" w:type="dxa"/>
            </w:tcMar>
            <w:vAlign w:val="center"/>
          </w:tcPr>
          <w:p w14:paraId="43DFE6BF">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[0.183, 0.455]</w:t>
            </w:r>
          </w:p>
        </w:tc>
        <w:tc>
          <w:tcPr>
            <w:tcW w:w="1222" w:type="dxa"/>
            <w:tcBorders>
              <w:top w:val="single" w:color="auto" w:sz="4" w:space="0"/>
              <w:left w:val="single" w:color="auto" w:sz="4" w:space="0"/>
              <w:bottom w:val="nil"/>
              <w:right w:val="nil"/>
            </w:tcBorders>
            <w:tcMar>
              <w:top w:w="-1" w:type="dxa"/>
              <w:left w:w="-1" w:type="dxa"/>
              <w:bottom w:w="-1" w:type="dxa"/>
              <w:right w:w="-1" w:type="dxa"/>
            </w:tcMar>
            <w:vAlign w:val="center"/>
          </w:tcPr>
          <w:p w14:paraId="738A2CB8">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63</w:t>
            </w:r>
          </w:p>
        </w:tc>
        <w:tc>
          <w:tcPr>
            <w:tcW w:w="1528" w:type="dxa"/>
            <w:tcBorders>
              <w:top w:val="single" w:color="auto" w:sz="4" w:space="0"/>
              <w:left w:val="single" w:color="auto" w:sz="4" w:space="0"/>
              <w:bottom w:val="nil"/>
              <w:right w:val="nil"/>
            </w:tcBorders>
            <w:tcMar>
              <w:top w:w="-1" w:type="dxa"/>
              <w:left w:w="-1" w:type="dxa"/>
              <w:bottom w:w="-1" w:type="dxa"/>
              <w:right w:w="-1" w:type="dxa"/>
            </w:tcMar>
            <w:vAlign w:val="center"/>
          </w:tcPr>
          <w:p w14:paraId="12B17060">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[0.79, 2.46]</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FBCADBB">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&lt;0.001</w:t>
            </w:r>
          </w:p>
        </w:tc>
      </w:tr>
      <w:tr w14:paraId="61854F65">
        <w:tblPrEx>
          <w:tblCellMar>
            <w:top w:w="0" w:type="dxa"/>
            <w:left w:w="108" w:type="dxa"/>
            <w:bottom w:w="0" w:type="dxa"/>
            <w:right w:w="108" w:type="dxa"/>
          </w:tblCellMar>
        </w:tblPrEx>
        <w:trPr>
          <w:cantSplit/>
          <w:trHeight w:val="283" w:hRule="atLeast"/>
          <w:jc w:val="center"/>
        </w:trPr>
        <w:tc>
          <w:tcPr>
            <w:tcW w:w="1609" w:type="dxa"/>
            <w:tcBorders>
              <w:top w:val="single" w:color="auto" w:sz="4" w:space="0"/>
              <w:left w:val="single" w:color="auto" w:sz="4" w:space="0"/>
              <w:bottom w:val="nil"/>
              <w:right w:val="nil"/>
            </w:tcBorders>
            <w:tcMar>
              <w:top w:w="-1" w:type="dxa"/>
              <w:left w:w="-1" w:type="dxa"/>
              <w:bottom w:w="-1" w:type="dxa"/>
              <w:right w:w="-1" w:type="dxa"/>
            </w:tcMar>
            <w:vAlign w:val="center"/>
          </w:tcPr>
          <w:p w14:paraId="490C4930">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Binary logit: provincial level or above</w:t>
            </w:r>
          </w:p>
        </w:tc>
        <w:tc>
          <w:tcPr>
            <w:tcW w:w="1256" w:type="dxa"/>
            <w:tcBorders>
              <w:top w:val="single" w:color="auto" w:sz="4" w:space="0"/>
              <w:left w:val="single" w:color="auto" w:sz="4" w:space="0"/>
              <w:bottom w:val="nil"/>
              <w:right w:val="nil"/>
            </w:tcBorders>
            <w:tcMar>
              <w:top w:w="-1" w:type="dxa"/>
              <w:left w:w="-1" w:type="dxa"/>
              <w:bottom w:w="-1" w:type="dxa"/>
              <w:right w:w="-1" w:type="dxa"/>
            </w:tcMar>
            <w:vAlign w:val="center"/>
          </w:tcPr>
          <w:p w14:paraId="35305EC9">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OR</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2BE78633">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1.737</w:t>
            </w:r>
          </w:p>
        </w:tc>
        <w:tc>
          <w:tcPr>
            <w:tcW w:w="1440" w:type="dxa"/>
            <w:tcBorders>
              <w:top w:val="single" w:color="auto" w:sz="4" w:space="0"/>
              <w:left w:val="single" w:color="auto" w:sz="4" w:space="0"/>
              <w:bottom w:val="nil"/>
              <w:right w:val="nil"/>
            </w:tcBorders>
            <w:tcMar>
              <w:top w:w="-1" w:type="dxa"/>
              <w:left w:w="-1" w:type="dxa"/>
              <w:bottom w:w="-1" w:type="dxa"/>
              <w:right w:w="-1" w:type="dxa"/>
            </w:tcMar>
            <w:vAlign w:val="center"/>
          </w:tcPr>
          <w:p w14:paraId="7DA26B35">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[1.342, 2.249]</w:t>
            </w:r>
          </w:p>
        </w:tc>
        <w:tc>
          <w:tcPr>
            <w:tcW w:w="1222" w:type="dxa"/>
            <w:tcBorders>
              <w:top w:val="single" w:color="auto" w:sz="4" w:space="0"/>
              <w:left w:val="single" w:color="auto" w:sz="4" w:space="0"/>
              <w:bottom w:val="nil"/>
              <w:right w:val="nil"/>
            </w:tcBorders>
            <w:tcMar>
              <w:top w:w="-1" w:type="dxa"/>
              <w:left w:w="-1" w:type="dxa"/>
              <w:bottom w:w="-1" w:type="dxa"/>
              <w:right w:w="-1" w:type="dxa"/>
            </w:tcMar>
            <w:vAlign w:val="center"/>
          </w:tcPr>
          <w:p w14:paraId="5F6B9E71">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6</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64</w:t>
            </w:r>
          </w:p>
        </w:tc>
        <w:tc>
          <w:tcPr>
            <w:tcW w:w="1528" w:type="dxa"/>
            <w:tcBorders>
              <w:top w:val="single" w:color="auto" w:sz="4" w:space="0"/>
              <w:left w:val="single" w:color="auto" w:sz="4" w:space="0"/>
              <w:bottom w:val="nil"/>
              <w:right w:val="nil"/>
            </w:tcBorders>
            <w:tcMar>
              <w:top w:w="-1" w:type="dxa"/>
              <w:left w:w="-1" w:type="dxa"/>
              <w:bottom w:w="-1" w:type="dxa"/>
              <w:right w:w="-1" w:type="dxa"/>
            </w:tcMar>
            <w:vAlign w:val="center"/>
          </w:tcPr>
          <w:p w14:paraId="6EB194B4">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[3.42, 9.87]</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A9EF02C">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&lt;0.001</w:t>
            </w:r>
          </w:p>
        </w:tc>
      </w:tr>
      <w:tr w14:paraId="17630CCD">
        <w:tblPrEx>
          <w:tblCellMar>
            <w:top w:w="0" w:type="dxa"/>
            <w:left w:w="108" w:type="dxa"/>
            <w:bottom w:w="0" w:type="dxa"/>
            <w:right w:w="108" w:type="dxa"/>
          </w:tblCellMar>
        </w:tblPrEx>
        <w:trPr>
          <w:cantSplit/>
          <w:trHeight w:val="283" w:hRule="atLeast"/>
          <w:jc w:val="center"/>
        </w:trPr>
        <w:tc>
          <w:tcPr>
            <w:tcW w:w="16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5335E97">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Binary logit: national level</w:t>
            </w:r>
          </w:p>
        </w:tc>
        <w:tc>
          <w:tcPr>
            <w:tcW w:w="125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83C49DE">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OR</w:t>
            </w:r>
          </w:p>
        </w:tc>
        <w:tc>
          <w:tcPr>
            <w:tcW w:w="104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888FBAA">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2.503</w:t>
            </w:r>
          </w:p>
        </w:tc>
        <w:tc>
          <w:tcPr>
            <w:tcW w:w="144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4139373">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[1.394, 4.494]</w:t>
            </w:r>
          </w:p>
        </w:tc>
        <w:tc>
          <w:tcPr>
            <w:tcW w:w="12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5F142F4">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w:t>
            </w:r>
            <w:r>
              <w:rPr>
                <w:rFonts w:hint="default"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bidi="ar"/>
              </w:rPr>
              <w:t>05</w:t>
            </w:r>
          </w:p>
        </w:tc>
        <w:tc>
          <w:tcPr>
            <w:tcW w:w="152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4D13A86">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[0.64, 3.46]</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2A11BE8">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0.004</w:t>
            </w:r>
          </w:p>
        </w:tc>
      </w:tr>
    </w:tbl>
    <w:p w14:paraId="287BFBA9">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U.S. political-leader sample</w:t>
      </w:r>
    </w:p>
    <w:tbl>
      <w:tblPr>
        <w:tblStyle w:val="5"/>
        <w:tblW w:w="8662" w:type="dxa"/>
        <w:jc w:val="center"/>
        <w:tblLayout w:type="fixed"/>
        <w:tblCellMar>
          <w:top w:w="0" w:type="dxa"/>
          <w:left w:w="108" w:type="dxa"/>
          <w:bottom w:w="0" w:type="dxa"/>
          <w:right w:w="108" w:type="dxa"/>
        </w:tblCellMar>
      </w:tblPr>
      <w:tblGrid>
        <w:gridCol w:w="2089"/>
        <w:gridCol w:w="932"/>
        <w:gridCol w:w="1579"/>
        <w:gridCol w:w="1232"/>
        <w:gridCol w:w="1655"/>
        <w:gridCol w:w="1175"/>
      </w:tblGrid>
      <w:tr w14:paraId="7AC61A14">
        <w:tblPrEx>
          <w:tblCellMar>
            <w:top w:w="0" w:type="dxa"/>
            <w:left w:w="108" w:type="dxa"/>
            <w:bottom w:w="0" w:type="dxa"/>
            <w:right w:w="108" w:type="dxa"/>
          </w:tblCellMar>
        </w:tblPrEx>
        <w:trPr>
          <w:cantSplit/>
          <w:trHeight w:val="283" w:hRule="atLeast"/>
          <w:tblHeader/>
          <w:jc w:val="center"/>
        </w:trPr>
        <w:tc>
          <w:tcPr>
            <w:tcW w:w="2089" w:type="dxa"/>
            <w:tcBorders>
              <w:top w:val="single" w:color="auto" w:sz="4" w:space="0"/>
              <w:left w:val="single" w:color="auto" w:sz="4" w:space="0"/>
              <w:bottom w:val="single" w:color="auto" w:sz="4" w:space="0"/>
              <w:right w:val="single" w:color="auto" w:sz="4" w:space="0"/>
            </w:tcBorders>
            <w:vAlign w:val="center"/>
          </w:tcPr>
          <w:p w14:paraId="54F30104">
            <w:pPr>
              <w:widowControl/>
              <w:spacing w:before="0" w:after="0" w:line="240" w:lineRule="auto"/>
              <w:jc w:val="center"/>
              <w:textAlignment w:val="center"/>
              <w:rPr>
                <w:rFonts w:hint="default" w:ascii="Times New Roman" w:hAnsi="Times New Roman" w:eastAsia="宋体" w:cs="Times New Roman"/>
                <w:b/>
                <w:sz w:val="21"/>
                <w:szCs w:val="21"/>
              </w:rPr>
            </w:pPr>
            <w:r>
              <w:rPr>
                <w:rFonts w:hint="default" w:ascii="Times New Roman" w:hAnsi="Times New Roman" w:eastAsia="宋体" w:cs="Times New Roman"/>
                <w:b/>
                <w:kern w:val="0"/>
                <w:sz w:val="21"/>
                <w:szCs w:val="21"/>
                <w:lang w:bidi="ar"/>
              </w:rPr>
              <w:t>Specification</w:t>
            </w:r>
          </w:p>
        </w:tc>
        <w:tc>
          <w:tcPr>
            <w:tcW w:w="932" w:type="dxa"/>
            <w:tcBorders>
              <w:top w:val="single" w:color="auto" w:sz="4" w:space="0"/>
              <w:left w:val="single" w:color="auto" w:sz="4" w:space="0"/>
              <w:bottom w:val="single" w:color="auto" w:sz="4" w:space="0"/>
              <w:right w:val="single" w:color="auto" w:sz="4" w:space="0"/>
            </w:tcBorders>
            <w:vAlign w:val="center"/>
          </w:tcPr>
          <w:p w14:paraId="67072874">
            <w:pPr>
              <w:widowControl/>
              <w:spacing w:before="0" w:after="0" w:line="240" w:lineRule="auto"/>
              <w:jc w:val="center"/>
              <w:textAlignment w:val="center"/>
              <w:rPr>
                <w:rFonts w:hint="default" w:ascii="Times New Roman" w:hAnsi="Times New Roman" w:eastAsia="宋体" w:cs="Times New Roman"/>
                <w:b/>
                <w:sz w:val="21"/>
                <w:szCs w:val="21"/>
              </w:rPr>
            </w:pPr>
            <w:r>
              <w:rPr>
                <w:rFonts w:hint="default" w:ascii="Times New Roman" w:hAnsi="Times New Roman" w:eastAsia="宋体" w:cs="Times New Roman"/>
                <w:b/>
                <w:kern w:val="0"/>
                <w:sz w:val="21"/>
                <w:szCs w:val="21"/>
                <w:lang w:bidi="ar"/>
              </w:rPr>
              <w:t>OR</w:t>
            </w:r>
          </w:p>
        </w:tc>
        <w:tc>
          <w:tcPr>
            <w:tcW w:w="1579" w:type="dxa"/>
            <w:tcBorders>
              <w:top w:val="single" w:color="auto" w:sz="4" w:space="0"/>
              <w:left w:val="single" w:color="auto" w:sz="4" w:space="0"/>
              <w:bottom w:val="single" w:color="auto" w:sz="4" w:space="0"/>
              <w:right w:val="single" w:color="auto" w:sz="4" w:space="0"/>
            </w:tcBorders>
            <w:vAlign w:val="center"/>
          </w:tcPr>
          <w:p w14:paraId="7E7874C9">
            <w:pPr>
              <w:widowControl/>
              <w:spacing w:before="0" w:after="0" w:line="240" w:lineRule="auto"/>
              <w:jc w:val="center"/>
              <w:textAlignment w:val="center"/>
              <w:rPr>
                <w:rFonts w:hint="default" w:ascii="Times New Roman" w:hAnsi="Times New Roman" w:eastAsia="宋体" w:cs="Times New Roman"/>
                <w:b/>
                <w:sz w:val="21"/>
                <w:szCs w:val="21"/>
              </w:rPr>
            </w:pPr>
            <w:r>
              <w:rPr>
                <w:rFonts w:hint="default" w:ascii="Times New Roman" w:hAnsi="Times New Roman" w:eastAsia="宋体" w:cs="Times New Roman"/>
                <w:b/>
                <w:kern w:val="0"/>
                <w:sz w:val="21"/>
                <w:szCs w:val="21"/>
                <w:lang w:bidi="ar"/>
              </w:rPr>
              <w:t>95% CI</w:t>
            </w:r>
          </w:p>
        </w:tc>
        <w:tc>
          <w:tcPr>
            <w:tcW w:w="1232" w:type="dxa"/>
            <w:tcBorders>
              <w:top w:val="single" w:color="auto" w:sz="4" w:space="0"/>
              <w:left w:val="single" w:color="auto" w:sz="4" w:space="0"/>
              <w:bottom w:val="single" w:color="auto" w:sz="4" w:space="0"/>
              <w:right w:val="single" w:color="auto" w:sz="4" w:space="0"/>
            </w:tcBorders>
            <w:vAlign w:val="center"/>
          </w:tcPr>
          <w:p w14:paraId="71DCB80C">
            <w:pPr>
              <w:widowControl/>
              <w:spacing w:before="0" w:after="0" w:line="240" w:lineRule="auto"/>
              <w:jc w:val="center"/>
              <w:textAlignment w:val="center"/>
              <w:rPr>
                <w:rFonts w:hint="default" w:ascii="Times New Roman" w:hAnsi="Times New Roman" w:eastAsia="宋体" w:cs="Times New Roman"/>
                <w:b/>
                <w:sz w:val="21"/>
                <w:szCs w:val="21"/>
                <w:lang w:val="en-US" w:eastAsia="zh-CN"/>
              </w:rPr>
            </w:pPr>
            <w:r>
              <w:rPr>
                <w:rFonts w:hint="default" w:ascii="Times New Roman" w:hAnsi="Times New Roman" w:eastAsia="宋体" w:cs="Times New Roman"/>
                <w:b/>
                <w:kern w:val="0"/>
                <w:sz w:val="21"/>
                <w:szCs w:val="21"/>
                <w:lang w:bidi="ar"/>
              </w:rPr>
              <w:t>AME</w:t>
            </w:r>
            <w:r>
              <w:rPr>
                <w:rFonts w:hint="default" w:ascii="Times New Roman" w:hAnsi="Times New Roman" w:eastAsia="宋体" w:cs="Times New Roman"/>
                <w:b/>
                <w:kern w:val="0"/>
                <w:sz w:val="21"/>
                <w:szCs w:val="21"/>
                <w:lang w:val="en-US" w:eastAsia="zh-CN" w:bidi="ar"/>
              </w:rPr>
              <w:t xml:space="preserve"> (pp)</w:t>
            </w:r>
          </w:p>
        </w:tc>
        <w:tc>
          <w:tcPr>
            <w:tcW w:w="1655" w:type="dxa"/>
            <w:tcBorders>
              <w:top w:val="single" w:color="auto" w:sz="4" w:space="0"/>
              <w:left w:val="single" w:color="auto" w:sz="4" w:space="0"/>
              <w:bottom w:val="single" w:color="auto" w:sz="4" w:space="0"/>
              <w:right w:val="single" w:color="auto" w:sz="4" w:space="0"/>
            </w:tcBorders>
            <w:vAlign w:val="center"/>
          </w:tcPr>
          <w:p w14:paraId="4D8C6403">
            <w:pPr>
              <w:widowControl/>
              <w:spacing w:before="0" w:after="0" w:line="240" w:lineRule="auto"/>
              <w:jc w:val="center"/>
              <w:textAlignment w:val="center"/>
              <w:rPr>
                <w:rFonts w:hint="default" w:ascii="Times New Roman" w:hAnsi="Times New Roman" w:eastAsia="宋体" w:cs="Times New Roman"/>
                <w:b/>
                <w:sz w:val="21"/>
                <w:szCs w:val="21"/>
              </w:rPr>
            </w:pPr>
            <w:r>
              <w:rPr>
                <w:rFonts w:hint="default" w:ascii="Times New Roman" w:hAnsi="Times New Roman" w:eastAsia="宋体" w:cs="Times New Roman"/>
                <w:b/>
                <w:kern w:val="0"/>
                <w:sz w:val="21"/>
                <w:szCs w:val="21"/>
                <w:lang w:bidi="ar"/>
              </w:rPr>
              <w:t>AME 95% CI</w:t>
            </w:r>
          </w:p>
        </w:tc>
        <w:tc>
          <w:tcPr>
            <w:tcW w:w="1175" w:type="dxa"/>
            <w:tcBorders>
              <w:top w:val="single" w:color="auto" w:sz="4" w:space="0"/>
              <w:left w:val="single" w:color="auto" w:sz="4" w:space="0"/>
              <w:bottom w:val="single" w:color="auto" w:sz="4" w:space="0"/>
              <w:right w:val="single" w:color="auto" w:sz="4" w:space="0"/>
            </w:tcBorders>
            <w:vAlign w:val="center"/>
          </w:tcPr>
          <w:p w14:paraId="78FEDA7A">
            <w:pPr>
              <w:widowControl/>
              <w:spacing w:before="0" w:after="0" w:line="240" w:lineRule="auto"/>
              <w:jc w:val="center"/>
              <w:textAlignment w:val="center"/>
              <w:rPr>
                <w:rFonts w:hint="default" w:ascii="Times New Roman" w:hAnsi="Times New Roman" w:eastAsia="宋体" w:cs="Times New Roman"/>
                <w:b/>
                <w:sz w:val="21"/>
                <w:szCs w:val="21"/>
              </w:rPr>
            </w:pPr>
            <w:r>
              <w:rPr>
                <w:rFonts w:hint="default" w:ascii="Times New Roman" w:hAnsi="Times New Roman" w:eastAsia="宋体" w:cs="Times New Roman"/>
                <w:b/>
                <w:kern w:val="0"/>
                <w:sz w:val="21"/>
                <w:szCs w:val="21"/>
                <w:lang w:bidi="ar"/>
              </w:rPr>
              <w:t>p-value</w:t>
            </w:r>
          </w:p>
        </w:tc>
      </w:tr>
      <w:tr w14:paraId="60FD58B1">
        <w:tblPrEx>
          <w:tblCellMar>
            <w:top w:w="0" w:type="dxa"/>
            <w:left w:w="108" w:type="dxa"/>
            <w:bottom w:w="0" w:type="dxa"/>
            <w:right w:w="108" w:type="dxa"/>
          </w:tblCellMar>
        </w:tblPrEx>
        <w:trPr>
          <w:cantSplit/>
          <w:trHeight w:val="283" w:hRule="atLeast"/>
          <w:jc w:val="center"/>
        </w:trPr>
        <w:tc>
          <w:tcPr>
            <w:tcW w:w="2089" w:type="dxa"/>
            <w:tcBorders>
              <w:top w:val="single" w:color="auto" w:sz="4" w:space="0"/>
              <w:left w:val="single" w:color="auto" w:sz="4" w:space="0"/>
              <w:bottom w:val="single" w:color="auto" w:sz="4" w:space="0"/>
              <w:right w:val="single" w:color="auto" w:sz="4" w:space="0"/>
            </w:tcBorders>
            <w:vAlign w:val="center"/>
          </w:tcPr>
          <w:p w14:paraId="0970BC32">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Main model: Top 500 definition</w:t>
            </w:r>
          </w:p>
        </w:tc>
        <w:tc>
          <w:tcPr>
            <w:tcW w:w="932" w:type="dxa"/>
            <w:tcBorders>
              <w:top w:val="single" w:color="auto" w:sz="4" w:space="0"/>
              <w:left w:val="single" w:color="auto" w:sz="4" w:space="0"/>
              <w:bottom w:val="single" w:color="auto" w:sz="4" w:space="0"/>
              <w:right w:val="single" w:color="auto" w:sz="4" w:space="0"/>
            </w:tcBorders>
            <w:vAlign w:val="center"/>
          </w:tcPr>
          <w:p w14:paraId="4568ED05">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1.414</w:t>
            </w:r>
          </w:p>
        </w:tc>
        <w:tc>
          <w:tcPr>
            <w:tcW w:w="1579" w:type="dxa"/>
            <w:tcBorders>
              <w:top w:val="single" w:color="auto" w:sz="4" w:space="0"/>
              <w:left w:val="single" w:color="auto" w:sz="4" w:space="0"/>
              <w:bottom w:val="single" w:color="auto" w:sz="4" w:space="0"/>
              <w:right w:val="single" w:color="auto" w:sz="4" w:space="0"/>
            </w:tcBorders>
            <w:vAlign w:val="center"/>
          </w:tcPr>
          <w:p w14:paraId="6F1985B5">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[1.240, 1.613]</w:t>
            </w:r>
          </w:p>
        </w:tc>
        <w:tc>
          <w:tcPr>
            <w:tcW w:w="1232" w:type="dxa"/>
            <w:tcBorders>
              <w:top w:val="single" w:color="auto" w:sz="4" w:space="0"/>
              <w:left w:val="single" w:color="auto" w:sz="4" w:space="0"/>
              <w:bottom w:val="single" w:color="auto" w:sz="4" w:space="0"/>
              <w:right w:val="single" w:color="auto" w:sz="4" w:space="0"/>
            </w:tcBorders>
            <w:vAlign w:val="center"/>
          </w:tcPr>
          <w:p w14:paraId="595D2AA6">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5</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29</w:t>
            </w:r>
          </w:p>
        </w:tc>
        <w:tc>
          <w:tcPr>
            <w:tcW w:w="1655" w:type="dxa"/>
            <w:tcBorders>
              <w:top w:val="single" w:color="auto" w:sz="4" w:space="0"/>
              <w:left w:val="single" w:color="auto" w:sz="4" w:space="0"/>
              <w:bottom w:val="single" w:color="auto" w:sz="4" w:space="0"/>
              <w:right w:val="single" w:color="auto" w:sz="4" w:space="0"/>
            </w:tcBorders>
            <w:vAlign w:val="center"/>
          </w:tcPr>
          <w:p w14:paraId="7459BA7A">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[3</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25, 7</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33]</w:t>
            </w:r>
          </w:p>
        </w:tc>
        <w:tc>
          <w:tcPr>
            <w:tcW w:w="1175" w:type="dxa"/>
            <w:tcBorders>
              <w:top w:val="single" w:color="auto" w:sz="4" w:space="0"/>
              <w:left w:val="single" w:color="auto" w:sz="4" w:space="0"/>
              <w:bottom w:val="single" w:color="auto" w:sz="4" w:space="0"/>
              <w:right w:val="single" w:color="auto" w:sz="4" w:space="0"/>
            </w:tcBorders>
            <w:vAlign w:val="center"/>
          </w:tcPr>
          <w:p w14:paraId="34F63C98">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54D5495C">
        <w:tblPrEx>
          <w:tblCellMar>
            <w:top w:w="0" w:type="dxa"/>
            <w:left w:w="108" w:type="dxa"/>
            <w:bottom w:w="0" w:type="dxa"/>
            <w:right w:w="108" w:type="dxa"/>
          </w:tblCellMar>
        </w:tblPrEx>
        <w:trPr>
          <w:cantSplit/>
          <w:trHeight w:val="283" w:hRule="atLeast"/>
          <w:jc w:val="center"/>
        </w:trPr>
        <w:tc>
          <w:tcPr>
            <w:tcW w:w="2089" w:type="dxa"/>
            <w:tcBorders>
              <w:top w:val="single" w:color="auto" w:sz="4" w:space="0"/>
              <w:left w:val="single" w:color="auto" w:sz="4" w:space="0"/>
              <w:bottom w:val="single" w:color="auto" w:sz="4" w:space="0"/>
              <w:right w:val="single" w:color="auto" w:sz="4" w:space="0"/>
            </w:tcBorders>
            <w:vAlign w:val="center"/>
          </w:tcPr>
          <w:p w14:paraId="2A64531E">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Top 100 definition</w:t>
            </w:r>
          </w:p>
        </w:tc>
        <w:tc>
          <w:tcPr>
            <w:tcW w:w="932" w:type="dxa"/>
            <w:tcBorders>
              <w:top w:val="single" w:color="auto" w:sz="4" w:space="0"/>
              <w:left w:val="single" w:color="auto" w:sz="4" w:space="0"/>
              <w:bottom w:val="single" w:color="auto" w:sz="4" w:space="0"/>
              <w:right w:val="single" w:color="auto" w:sz="4" w:space="0"/>
            </w:tcBorders>
            <w:vAlign w:val="center"/>
          </w:tcPr>
          <w:p w14:paraId="4457A47B">
            <w:pPr>
              <w:widowControl/>
              <w:spacing w:before="0" w:after="0" w:line="240" w:lineRule="auto"/>
              <w:jc w:val="center"/>
              <w:textAlignment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lang w:bidi="ar"/>
              </w:rPr>
              <w:t>1.45</w:t>
            </w:r>
            <w:r>
              <w:rPr>
                <w:rFonts w:hint="default" w:ascii="Times New Roman" w:hAnsi="Times New Roman" w:eastAsia="宋体" w:cs="Times New Roman"/>
                <w:kern w:val="0"/>
                <w:sz w:val="21"/>
                <w:szCs w:val="21"/>
                <w:lang w:val="en-US" w:eastAsia="zh-CN" w:bidi="ar"/>
              </w:rPr>
              <w:t>0</w:t>
            </w:r>
          </w:p>
        </w:tc>
        <w:tc>
          <w:tcPr>
            <w:tcW w:w="1579" w:type="dxa"/>
            <w:tcBorders>
              <w:top w:val="single" w:color="auto" w:sz="4" w:space="0"/>
              <w:left w:val="single" w:color="auto" w:sz="4" w:space="0"/>
              <w:bottom w:val="single" w:color="auto" w:sz="4" w:space="0"/>
              <w:right w:val="single" w:color="auto" w:sz="4" w:space="0"/>
            </w:tcBorders>
            <w:vAlign w:val="center"/>
          </w:tcPr>
          <w:p w14:paraId="1E111AE5">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[1.255, 1.676]</w:t>
            </w:r>
          </w:p>
        </w:tc>
        <w:tc>
          <w:tcPr>
            <w:tcW w:w="1232" w:type="dxa"/>
            <w:tcBorders>
              <w:top w:val="single" w:color="auto" w:sz="4" w:space="0"/>
              <w:left w:val="single" w:color="auto" w:sz="4" w:space="0"/>
              <w:bottom w:val="single" w:color="auto" w:sz="4" w:space="0"/>
              <w:right w:val="single" w:color="auto" w:sz="4" w:space="0"/>
            </w:tcBorders>
            <w:vAlign w:val="center"/>
          </w:tcPr>
          <w:p w14:paraId="5735A58F">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5</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89</w:t>
            </w:r>
          </w:p>
        </w:tc>
        <w:tc>
          <w:tcPr>
            <w:tcW w:w="1655" w:type="dxa"/>
            <w:tcBorders>
              <w:top w:val="single" w:color="auto" w:sz="4" w:space="0"/>
              <w:left w:val="single" w:color="auto" w:sz="4" w:space="0"/>
              <w:bottom w:val="single" w:color="auto" w:sz="4" w:space="0"/>
              <w:right w:val="single" w:color="auto" w:sz="4" w:space="0"/>
            </w:tcBorders>
            <w:vAlign w:val="center"/>
          </w:tcPr>
          <w:p w14:paraId="1BBACC63">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[3</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48, 8</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29]</w:t>
            </w:r>
          </w:p>
        </w:tc>
        <w:tc>
          <w:tcPr>
            <w:tcW w:w="1175" w:type="dxa"/>
            <w:tcBorders>
              <w:top w:val="single" w:color="auto" w:sz="4" w:space="0"/>
              <w:left w:val="single" w:color="auto" w:sz="4" w:space="0"/>
              <w:bottom w:val="single" w:color="auto" w:sz="4" w:space="0"/>
              <w:right w:val="single" w:color="auto" w:sz="4" w:space="0"/>
            </w:tcBorders>
            <w:vAlign w:val="center"/>
          </w:tcPr>
          <w:p w14:paraId="42604EF9">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56E4A073">
        <w:tblPrEx>
          <w:tblCellMar>
            <w:top w:w="0" w:type="dxa"/>
            <w:left w:w="108" w:type="dxa"/>
            <w:bottom w:w="0" w:type="dxa"/>
            <w:right w:w="108" w:type="dxa"/>
          </w:tblCellMar>
        </w:tblPrEx>
        <w:trPr>
          <w:cantSplit/>
          <w:trHeight w:val="283" w:hRule="atLeast"/>
          <w:jc w:val="center"/>
        </w:trPr>
        <w:tc>
          <w:tcPr>
            <w:tcW w:w="2089" w:type="dxa"/>
            <w:tcBorders>
              <w:top w:val="single" w:color="auto" w:sz="4" w:space="0"/>
              <w:left w:val="single" w:color="auto" w:sz="4" w:space="0"/>
              <w:bottom w:val="single" w:color="auto" w:sz="4" w:space="0"/>
              <w:right w:val="single" w:color="auto" w:sz="4" w:space="0"/>
            </w:tcBorders>
            <w:vAlign w:val="center"/>
          </w:tcPr>
          <w:p w14:paraId="4FE181FE">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Top 1000 definition</w:t>
            </w:r>
          </w:p>
        </w:tc>
        <w:tc>
          <w:tcPr>
            <w:tcW w:w="932" w:type="dxa"/>
            <w:tcBorders>
              <w:top w:val="single" w:color="auto" w:sz="4" w:space="0"/>
              <w:left w:val="single" w:color="auto" w:sz="4" w:space="0"/>
              <w:bottom w:val="single" w:color="auto" w:sz="4" w:space="0"/>
              <w:right w:val="single" w:color="auto" w:sz="4" w:space="0"/>
            </w:tcBorders>
            <w:vAlign w:val="center"/>
          </w:tcPr>
          <w:p w14:paraId="44FFFFF6">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1.536</w:t>
            </w:r>
          </w:p>
        </w:tc>
        <w:tc>
          <w:tcPr>
            <w:tcW w:w="1579" w:type="dxa"/>
            <w:tcBorders>
              <w:top w:val="single" w:color="auto" w:sz="4" w:space="0"/>
              <w:left w:val="single" w:color="auto" w:sz="4" w:space="0"/>
              <w:bottom w:val="single" w:color="auto" w:sz="4" w:space="0"/>
              <w:right w:val="single" w:color="auto" w:sz="4" w:space="0"/>
            </w:tcBorders>
            <w:vAlign w:val="center"/>
          </w:tcPr>
          <w:p w14:paraId="4E981F8D">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[1.348, 1.752]</w:t>
            </w:r>
          </w:p>
        </w:tc>
        <w:tc>
          <w:tcPr>
            <w:tcW w:w="1232" w:type="dxa"/>
            <w:tcBorders>
              <w:top w:val="single" w:color="auto" w:sz="4" w:space="0"/>
              <w:left w:val="single" w:color="auto" w:sz="4" w:space="0"/>
              <w:bottom w:val="single" w:color="auto" w:sz="4" w:space="0"/>
              <w:right w:val="single" w:color="auto" w:sz="4" w:space="0"/>
            </w:tcBorders>
            <w:vAlign w:val="center"/>
          </w:tcPr>
          <w:p w14:paraId="112D9076">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6</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46</w:t>
            </w:r>
          </w:p>
        </w:tc>
        <w:tc>
          <w:tcPr>
            <w:tcW w:w="1655" w:type="dxa"/>
            <w:tcBorders>
              <w:top w:val="single" w:color="auto" w:sz="4" w:space="0"/>
              <w:left w:val="single" w:color="auto" w:sz="4" w:space="0"/>
              <w:bottom w:val="single" w:color="auto" w:sz="4" w:space="0"/>
              <w:right w:val="single" w:color="auto" w:sz="4" w:space="0"/>
            </w:tcBorders>
            <w:vAlign w:val="center"/>
          </w:tcPr>
          <w:p w14:paraId="4F402D26">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[4</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49, 8</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43]</w:t>
            </w:r>
          </w:p>
        </w:tc>
        <w:tc>
          <w:tcPr>
            <w:tcW w:w="1175" w:type="dxa"/>
            <w:tcBorders>
              <w:top w:val="single" w:color="auto" w:sz="4" w:space="0"/>
              <w:left w:val="single" w:color="auto" w:sz="4" w:space="0"/>
              <w:bottom w:val="single" w:color="auto" w:sz="4" w:space="0"/>
              <w:right w:val="single" w:color="auto" w:sz="4" w:space="0"/>
            </w:tcBorders>
            <w:vAlign w:val="center"/>
          </w:tcPr>
          <w:p w14:paraId="7AE862A3">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678604F4">
        <w:tblPrEx>
          <w:tblCellMar>
            <w:top w:w="0" w:type="dxa"/>
            <w:left w:w="108" w:type="dxa"/>
            <w:bottom w:w="0" w:type="dxa"/>
            <w:right w:w="108" w:type="dxa"/>
          </w:tblCellMar>
        </w:tblPrEx>
        <w:trPr>
          <w:cantSplit/>
          <w:trHeight w:val="283" w:hRule="atLeast"/>
          <w:jc w:val="center"/>
        </w:trPr>
        <w:tc>
          <w:tcPr>
            <w:tcW w:w="2089" w:type="dxa"/>
            <w:tcBorders>
              <w:top w:val="single" w:color="auto" w:sz="4" w:space="0"/>
              <w:left w:val="single" w:color="auto" w:sz="4" w:space="0"/>
              <w:bottom w:val="single" w:color="auto" w:sz="4" w:space="0"/>
              <w:right w:val="single" w:color="auto" w:sz="4" w:space="0"/>
            </w:tcBorders>
            <w:vAlign w:val="center"/>
          </w:tcPr>
          <w:p w14:paraId="45253B18">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First service in 1946 or later</w:t>
            </w:r>
          </w:p>
        </w:tc>
        <w:tc>
          <w:tcPr>
            <w:tcW w:w="932" w:type="dxa"/>
            <w:tcBorders>
              <w:top w:val="single" w:color="auto" w:sz="4" w:space="0"/>
              <w:left w:val="single" w:color="auto" w:sz="4" w:space="0"/>
              <w:bottom w:val="single" w:color="auto" w:sz="4" w:space="0"/>
              <w:right w:val="single" w:color="auto" w:sz="4" w:space="0"/>
            </w:tcBorders>
            <w:vAlign w:val="center"/>
          </w:tcPr>
          <w:p w14:paraId="53D41229">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1.656</w:t>
            </w:r>
          </w:p>
        </w:tc>
        <w:tc>
          <w:tcPr>
            <w:tcW w:w="1579" w:type="dxa"/>
            <w:tcBorders>
              <w:top w:val="single" w:color="auto" w:sz="4" w:space="0"/>
              <w:left w:val="single" w:color="auto" w:sz="4" w:space="0"/>
              <w:bottom w:val="single" w:color="auto" w:sz="4" w:space="0"/>
              <w:right w:val="single" w:color="auto" w:sz="4" w:space="0"/>
            </w:tcBorders>
            <w:vAlign w:val="center"/>
          </w:tcPr>
          <w:p w14:paraId="2610DC6F">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[1.348, 2.036]</w:t>
            </w:r>
          </w:p>
        </w:tc>
        <w:tc>
          <w:tcPr>
            <w:tcW w:w="1232" w:type="dxa"/>
            <w:tcBorders>
              <w:top w:val="single" w:color="auto" w:sz="4" w:space="0"/>
              <w:left w:val="single" w:color="auto" w:sz="4" w:space="0"/>
              <w:bottom w:val="single" w:color="auto" w:sz="4" w:space="0"/>
              <w:right w:val="single" w:color="auto" w:sz="4" w:space="0"/>
            </w:tcBorders>
            <w:vAlign w:val="center"/>
          </w:tcPr>
          <w:p w14:paraId="17AB107C">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7</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29</w:t>
            </w:r>
          </w:p>
        </w:tc>
        <w:tc>
          <w:tcPr>
            <w:tcW w:w="1655" w:type="dxa"/>
            <w:tcBorders>
              <w:top w:val="single" w:color="auto" w:sz="4" w:space="0"/>
              <w:left w:val="single" w:color="auto" w:sz="4" w:space="0"/>
              <w:bottom w:val="single" w:color="auto" w:sz="4" w:space="0"/>
              <w:right w:val="single" w:color="auto" w:sz="4" w:space="0"/>
            </w:tcBorders>
            <w:vAlign w:val="center"/>
          </w:tcPr>
          <w:p w14:paraId="1F37FCD4">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[4</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24, 10</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34]</w:t>
            </w:r>
          </w:p>
        </w:tc>
        <w:tc>
          <w:tcPr>
            <w:tcW w:w="1175" w:type="dxa"/>
            <w:tcBorders>
              <w:top w:val="single" w:color="auto" w:sz="4" w:space="0"/>
              <w:left w:val="single" w:color="auto" w:sz="4" w:space="0"/>
              <w:bottom w:val="single" w:color="auto" w:sz="4" w:space="0"/>
              <w:right w:val="single" w:color="auto" w:sz="4" w:space="0"/>
            </w:tcBorders>
            <w:vAlign w:val="center"/>
          </w:tcPr>
          <w:p w14:paraId="53AB4691">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2823BD26">
        <w:tblPrEx>
          <w:tblCellMar>
            <w:top w:w="0" w:type="dxa"/>
            <w:left w:w="108" w:type="dxa"/>
            <w:bottom w:w="0" w:type="dxa"/>
            <w:right w:w="108" w:type="dxa"/>
          </w:tblCellMar>
        </w:tblPrEx>
        <w:trPr>
          <w:cantSplit/>
          <w:trHeight w:val="283" w:hRule="atLeast"/>
          <w:jc w:val="center"/>
        </w:trPr>
        <w:tc>
          <w:tcPr>
            <w:tcW w:w="2089" w:type="dxa"/>
            <w:tcBorders>
              <w:top w:val="single" w:color="auto" w:sz="4" w:space="0"/>
              <w:left w:val="single" w:color="auto" w:sz="4" w:space="0"/>
              <w:bottom w:val="single" w:color="auto" w:sz="4" w:space="0"/>
              <w:right w:val="single" w:color="auto" w:sz="4" w:space="0"/>
            </w:tcBorders>
            <w:vAlign w:val="center"/>
          </w:tcPr>
          <w:p w14:paraId="24C6EB0C">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Excluding first service after 2009</w:t>
            </w:r>
          </w:p>
        </w:tc>
        <w:tc>
          <w:tcPr>
            <w:tcW w:w="932" w:type="dxa"/>
            <w:tcBorders>
              <w:top w:val="single" w:color="auto" w:sz="4" w:space="0"/>
              <w:left w:val="single" w:color="auto" w:sz="4" w:space="0"/>
              <w:bottom w:val="single" w:color="auto" w:sz="4" w:space="0"/>
              <w:right w:val="single" w:color="auto" w:sz="4" w:space="0"/>
            </w:tcBorders>
            <w:vAlign w:val="center"/>
          </w:tcPr>
          <w:p w14:paraId="219F8B57">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1.441</w:t>
            </w:r>
          </w:p>
        </w:tc>
        <w:tc>
          <w:tcPr>
            <w:tcW w:w="1579" w:type="dxa"/>
            <w:tcBorders>
              <w:top w:val="single" w:color="auto" w:sz="4" w:space="0"/>
              <w:left w:val="single" w:color="auto" w:sz="4" w:space="0"/>
              <w:bottom w:val="single" w:color="auto" w:sz="4" w:space="0"/>
              <w:right w:val="single" w:color="auto" w:sz="4" w:space="0"/>
            </w:tcBorders>
            <w:vAlign w:val="center"/>
          </w:tcPr>
          <w:p w14:paraId="2B680C7B">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[1.255, 1.654]</w:t>
            </w:r>
          </w:p>
        </w:tc>
        <w:tc>
          <w:tcPr>
            <w:tcW w:w="1232" w:type="dxa"/>
            <w:tcBorders>
              <w:top w:val="single" w:color="auto" w:sz="4" w:space="0"/>
              <w:left w:val="single" w:color="auto" w:sz="4" w:space="0"/>
              <w:bottom w:val="single" w:color="auto" w:sz="4" w:space="0"/>
              <w:right w:val="single" w:color="auto" w:sz="4" w:space="0"/>
            </w:tcBorders>
            <w:vAlign w:val="center"/>
          </w:tcPr>
          <w:p w14:paraId="59D4A3D2">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5</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77</w:t>
            </w:r>
          </w:p>
        </w:tc>
        <w:tc>
          <w:tcPr>
            <w:tcW w:w="1655" w:type="dxa"/>
            <w:tcBorders>
              <w:top w:val="single" w:color="auto" w:sz="4" w:space="0"/>
              <w:left w:val="single" w:color="auto" w:sz="4" w:space="0"/>
              <w:bottom w:val="single" w:color="auto" w:sz="4" w:space="0"/>
              <w:right w:val="single" w:color="auto" w:sz="4" w:space="0"/>
            </w:tcBorders>
            <w:vAlign w:val="center"/>
          </w:tcPr>
          <w:p w14:paraId="346599EF">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[3</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55, 7</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98]</w:t>
            </w:r>
          </w:p>
        </w:tc>
        <w:tc>
          <w:tcPr>
            <w:tcW w:w="1175" w:type="dxa"/>
            <w:tcBorders>
              <w:top w:val="single" w:color="auto" w:sz="4" w:space="0"/>
              <w:left w:val="single" w:color="auto" w:sz="4" w:space="0"/>
              <w:bottom w:val="single" w:color="auto" w:sz="4" w:space="0"/>
              <w:right w:val="single" w:color="auto" w:sz="4" w:space="0"/>
            </w:tcBorders>
            <w:vAlign w:val="center"/>
          </w:tcPr>
          <w:p w14:paraId="2AA55DC9">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4A6B5B62">
        <w:tblPrEx>
          <w:tblCellMar>
            <w:top w:w="0" w:type="dxa"/>
            <w:left w:w="108" w:type="dxa"/>
            <w:bottom w:w="0" w:type="dxa"/>
            <w:right w:w="108" w:type="dxa"/>
          </w:tblCellMar>
        </w:tblPrEx>
        <w:trPr>
          <w:cantSplit/>
          <w:trHeight w:val="283" w:hRule="atLeast"/>
          <w:jc w:val="center"/>
        </w:trPr>
        <w:tc>
          <w:tcPr>
            <w:tcW w:w="2089" w:type="dxa"/>
            <w:tcBorders>
              <w:top w:val="single" w:color="auto" w:sz="4" w:space="0"/>
              <w:left w:val="single" w:color="auto" w:sz="4" w:space="0"/>
              <w:bottom w:val="single" w:color="auto" w:sz="4" w:space="0"/>
              <w:right w:val="single" w:color="auto" w:sz="4" w:space="0"/>
            </w:tcBorders>
            <w:vAlign w:val="center"/>
          </w:tcPr>
          <w:p w14:paraId="08D45D99">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Alternative outcome: ever served as senator</w:t>
            </w:r>
          </w:p>
        </w:tc>
        <w:tc>
          <w:tcPr>
            <w:tcW w:w="932" w:type="dxa"/>
            <w:tcBorders>
              <w:top w:val="single" w:color="auto" w:sz="4" w:space="0"/>
              <w:left w:val="single" w:color="auto" w:sz="4" w:space="0"/>
              <w:bottom w:val="single" w:color="auto" w:sz="4" w:space="0"/>
              <w:right w:val="single" w:color="auto" w:sz="4" w:space="0"/>
            </w:tcBorders>
            <w:vAlign w:val="center"/>
          </w:tcPr>
          <w:p w14:paraId="075A91D6">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1.416</w:t>
            </w:r>
          </w:p>
        </w:tc>
        <w:tc>
          <w:tcPr>
            <w:tcW w:w="1579" w:type="dxa"/>
            <w:tcBorders>
              <w:top w:val="single" w:color="auto" w:sz="4" w:space="0"/>
              <w:left w:val="single" w:color="auto" w:sz="4" w:space="0"/>
              <w:bottom w:val="single" w:color="auto" w:sz="4" w:space="0"/>
              <w:right w:val="single" w:color="auto" w:sz="4" w:space="0"/>
            </w:tcBorders>
            <w:vAlign w:val="center"/>
          </w:tcPr>
          <w:p w14:paraId="6A8BE2B7">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[1.241, 1.617]</w:t>
            </w:r>
          </w:p>
        </w:tc>
        <w:tc>
          <w:tcPr>
            <w:tcW w:w="1232" w:type="dxa"/>
            <w:tcBorders>
              <w:top w:val="single" w:color="auto" w:sz="4" w:space="0"/>
              <w:left w:val="single" w:color="auto" w:sz="4" w:space="0"/>
              <w:bottom w:val="single" w:color="auto" w:sz="4" w:space="0"/>
              <w:right w:val="single" w:color="auto" w:sz="4" w:space="0"/>
            </w:tcBorders>
            <w:vAlign w:val="center"/>
          </w:tcPr>
          <w:p w14:paraId="24A47F72">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5</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23</w:t>
            </w:r>
          </w:p>
        </w:tc>
        <w:tc>
          <w:tcPr>
            <w:tcW w:w="1655" w:type="dxa"/>
            <w:tcBorders>
              <w:top w:val="single" w:color="auto" w:sz="4" w:space="0"/>
              <w:left w:val="single" w:color="auto" w:sz="4" w:space="0"/>
              <w:bottom w:val="single" w:color="auto" w:sz="4" w:space="0"/>
              <w:right w:val="single" w:color="auto" w:sz="4" w:space="0"/>
            </w:tcBorders>
            <w:vAlign w:val="center"/>
          </w:tcPr>
          <w:p w14:paraId="3AB3ABE6">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[3</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21, 7</w:t>
            </w:r>
            <w:r>
              <w:rPr>
                <w:rFonts w:hint="default" w:ascii="Times New Roman" w:hAnsi="Times New Roman" w:eastAsia="宋体" w:cs="Times New Roman"/>
                <w:kern w:val="0"/>
                <w:sz w:val="21"/>
                <w:szCs w:val="21"/>
                <w:lang w:val="en-US" w:eastAsia="zh-CN" w:bidi="ar"/>
              </w:rPr>
              <w:t>.</w:t>
            </w:r>
            <w:r>
              <w:rPr>
                <w:rFonts w:hint="default" w:ascii="Times New Roman" w:hAnsi="Times New Roman" w:eastAsia="宋体" w:cs="Times New Roman"/>
                <w:kern w:val="0"/>
                <w:sz w:val="21"/>
                <w:szCs w:val="21"/>
                <w:lang w:bidi="ar"/>
              </w:rPr>
              <w:t>26]</w:t>
            </w:r>
          </w:p>
        </w:tc>
        <w:tc>
          <w:tcPr>
            <w:tcW w:w="1175" w:type="dxa"/>
            <w:tcBorders>
              <w:top w:val="single" w:color="auto" w:sz="4" w:space="0"/>
              <w:left w:val="single" w:color="auto" w:sz="4" w:space="0"/>
              <w:bottom w:val="single" w:color="auto" w:sz="4" w:space="0"/>
              <w:right w:val="single" w:color="auto" w:sz="4" w:space="0"/>
            </w:tcBorders>
            <w:vAlign w:val="center"/>
          </w:tcPr>
          <w:p w14:paraId="6E153B33">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bl>
    <w:p w14:paraId="6E57D967">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Panel A reports alternative model and outcome specifications for the Chinese government-official sample. Panel B reports alternative elite-university thresholds, sample restrictions, and outcome specifications for the U.S. political-leader sample; the main specification defines elite institutions using the global Top 500 criterion. Panels A and B use the same controls as Appendix Tables 9a and 9b, respectively. The main ordered logit specification reports a cumulative odds ratio, whereas the ordered probit specification reports a coefficient; all binary logit specifications report odds ratios. AMEs and their confidence intervals are reported in percentage points. Robust standard errors are used throughout. OR denotes odds ratio; AME denotes average marginal effect.</w:t>
      </w:r>
    </w:p>
    <w:p w14:paraId="75E905B6">
      <w:pPr>
        <w:widowControl/>
        <w:rPr>
          <w:rFonts w:hint="default" w:ascii="Times New Roman" w:hAnsi="Times New Roman" w:cs="Times New Roman"/>
          <w:sz w:val="20"/>
          <w:szCs w:val="22"/>
        </w:rPr>
      </w:pPr>
    </w:p>
    <w:p w14:paraId="651581A2">
      <w:pPr>
        <w:rPr>
          <w:rFonts w:hint="default" w:ascii="Times New Roman" w:hAnsi="Times New Roman" w:cs="Times New Roman"/>
          <w:sz w:val="20"/>
          <w:szCs w:val="22"/>
        </w:rPr>
      </w:pPr>
      <w:r>
        <w:rPr>
          <w:rFonts w:hint="default" w:ascii="Times New Roman" w:hAnsi="Times New Roman" w:cs="Times New Roman"/>
          <w:sz w:val="20"/>
          <w:szCs w:val="22"/>
        </w:rPr>
        <w:br w:type="page"/>
      </w:r>
    </w:p>
    <w:p w14:paraId="24B1B903">
      <w:pPr>
        <w:pStyle w:val="13"/>
        <w:keepNext/>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Times New Roman" w:hAnsi="Times New Roman" w:cs="Times New Roman"/>
          <w:color w:val="0000FF"/>
          <w:sz w:val="24"/>
          <w:szCs w:val="24"/>
        </w:rPr>
      </w:pPr>
      <w:r>
        <w:rPr>
          <w:rFonts w:hint="default" w:ascii="Times New Roman" w:hAnsi="Times New Roman" w:cs="Times New Roman"/>
          <w:sz w:val="24"/>
          <w:szCs w:val="24"/>
        </w:rPr>
        <w:t>B3. Temporal variation in elite-position attainment</w:t>
      </w:r>
    </w:p>
    <w:p w14:paraId="0F2AA562">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10. Temporal variation in the association between elite doctoral education and elite-university employment in the ORCID sample</w:t>
      </w:r>
    </w:p>
    <w:p w14:paraId="168F6009">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Logit interaction model</w:t>
      </w:r>
    </w:p>
    <w:p w14:paraId="56E58F2C">
      <w:pPr>
        <w:pStyle w:val="20"/>
        <w:rPr>
          <w:rFonts w:hint="default" w:ascii="Times New Roman" w:hAnsi="Times New Roman" w:cs="Times New Roman"/>
          <w:sz w:val="22"/>
          <w:szCs w:val="28"/>
        </w:rPr>
      </w:pPr>
      <w:r>
        <w:rPr>
          <w:rFonts w:hint="default" w:ascii="Times New Roman" w:hAnsi="Times New Roman" w:cs="Times New Roman"/>
          <w:sz w:val="22"/>
          <w:szCs w:val="28"/>
          <w:lang w:val="en-US" w:eastAsia="zh-CN"/>
        </w:rPr>
        <w:t xml:space="preserve">N = </w:t>
      </w:r>
      <w:r>
        <w:rPr>
          <w:rFonts w:hint="default" w:ascii="Times New Roman" w:hAnsi="Times New Roman" w:cs="Times New Roman"/>
          <w:sz w:val="22"/>
          <w:szCs w:val="28"/>
        </w:rPr>
        <w:t>199,068，Pseudo R² = 0.1961</w:t>
      </w:r>
    </w:p>
    <w:tbl>
      <w:tblPr>
        <w:tblStyle w:val="5"/>
        <w:tblW w:w="0" w:type="auto"/>
        <w:jc w:val="center"/>
        <w:tblLayout w:type="fixed"/>
        <w:tblCellMar>
          <w:top w:w="0" w:type="dxa"/>
          <w:left w:w="108" w:type="dxa"/>
          <w:bottom w:w="0" w:type="dxa"/>
          <w:right w:w="108" w:type="dxa"/>
        </w:tblCellMar>
      </w:tblPr>
      <w:tblGrid>
        <w:gridCol w:w="2794"/>
        <w:gridCol w:w="996"/>
        <w:gridCol w:w="1322"/>
        <w:gridCol w:w="831"/>
        <w:gridCol w:w="2109"/>
        <w:gridCol w:w="951"/>
      </w:tblGrid>
      <w:tr w14:paraId="159096C4">
        <w:tblPrEx>
          <w:tblCellMar>
            <w:top w:w="0" w:type="dxa"/>
            <w:left w:w="108" w:type="dxa"/>
            <w:bottom w:w="0" w:type="dxa"/>
            <w:right w:w="108" w:type="dxa"/>
          </w:tblCellMar>
        </w:tblPrEx>
        <w:trPr>
          <w:cantSplit/>
          <w:trHeight w:val="283" w:hRule="exact"/>
          <w:tblHeader/>
          <w:jc w:val="center"/>
        </w:trPr>
        <w:tc>
          <w:tcPr>
            <w:tcW w:w="2794" w:type="dxa"/>
            <w:tcBorders>
              <w:top w:val="single" w:color="auto" w:sz="4" w:space="0"/>
              <w:left w:val="single" w:color="auto" w:sz="4" w:space="0"/>
              <w:bottom w:val="nil"/>
              <w:right w:val="nil"/>
            </w:tcBorders>
            <w:tcMar>
              <w:top w:w="-1" w:type="dxa"/>
              <w:left w:w="-1" w:type="dxa"/>
              <w:bottom w:w="-1" w:type="dxa"/>
              <w:right w:w="-1" w:type="dxa"/>
            </w:tcMar>
            <w:vAlign w:val="center"/>
          </w:tcPr>
          <w:p w14:paraId="30E3DB00">
            <w:pPr>
              <w:widowControl/>
              <w:snapToGrid w:val="0"/>
              <w:spacing w:before="0" w:after="0" w:line="240" w:lineRule="auto"/>
              <w:jc w:val="center"/>
              <w:textAlignment w:val="center"/>
              <w:rPr>
                <w:rFonts w:hint="default" w:ascii="Times New Roman" w:hAnsi="Times New Roman" w:eastAsia="宋体" w:cs="Times New Roman"/>
                <w:b/>
                <w:bCs/>
                <w:color w:val="000000"/>
                <w:sz w:val="21"/>
                <w:szCs w:val="21"/>
              </w:rPr>
            </w:pPr>
            <w:r>
              <w:rPr>
                <w:rFonts w:hint="default" w:ascii="Times New Roman" w:hAnsi="Times New Roman" w:cs="Times New Roman"/>
                <w:b/>
                <w:bCs/>
              </w:rPr>
              <w:t>Variable</w:t>
            </w:r>
          </w:p>
        </w:tc>
        <w:tc>
          <w:tcPr>
            <w:tcW w:w="996" w:type="dxa"/>
            <w:tcBorders>
              <w:top w:val="single" w:color="auto" w:sz="4" w:space="0"/>
              <w:left w:val="single" w:color="auto" w:sz="4" w:space="0"/>
              <w:bottom w:val="nil"/>
              <w:right w:val="nil"/>
            </w:tcBorders>
            <w:tcMar>
              <w:top w:w="-1" w:type="dxa"/>
              <w:left w:w="-1" w:type="dxa"/>
              <w:bottom w:w="-1" w:type="dxa"/>
              <w:right w:w="-1" w:type="dxa"/>
            </w:tcMar>
            <w:vAlign w:val="center"/>
          </w:tcPr>
          <w:p w14:paraId="3D881239">
            <w:pPr>
              <w:widowControl/>
              <w:snapToGrid w:val="0"/>
              <w:spacing w:before="0" w:after="0" w:line="240" w:lineRule="auto"/>
              <w:jc w:val="center"/>
              <w:textAlignment w:val="center"/>
              <w:rPr>
                <w:rFonts w:hint="default" w:ascii="Times New Roman" w:hAnsi="Times New Roman" w:eastAsia="宋体" w:cs="Times New Roman"/>
                <w:b/>
                <w:bCs/>
                <w:color w:val="000000"/>
                <w:sz w:val="21"/>
                <w:szCs w:val="21"/>
              </w:rPr>
            </w:pPr>
            <w:r>
              <w:rPr>
                <w:rFonts w:hint="default" w:ascii="Times New Roman" w:hAnsi="Times New Roman" w:cs="Times New Roman"/>
                <w:b/>
                <w:bCs/>
              </w:rPr>
              <w:t>Coefficient β</w:t>
            </w:r>
          </w:p>
        </w:tc>
        <w:tc>
          <w:tcPr>
            <w:tcW w:w="1322" w:type="dxa"/>
            <w:tcBorders>
              <w:top w:val="single" w:color="auto" w:sz="4" w:space="0"/>
              <w:left w:val="single" w:color="auto" w:sz="4" w:space="0"/>
              <w:bottom w:val="nil"/>
              <w:right w:val="nil"/>
            </w:tcBorders>
            <w:tcMar>
              <w:top w:w="-1" w:type="dxa"/>
              <w:left w:w="-1" w:type="dxa"/>
              <w:bottom w:w="-1" w:type="dxa"/>
              <w:right w:w="-1" w:type="dxa"/>
            </w:tcMar>
            <w:vAlign w:val="center"/>
          </w:tcPr>
          <w:p w14:paraId="6A67E5BE">
            <w:pPr>
              <w:widowControl/>
              <w:snapToGrid w:val="0"/>
              <w:spacing w:before="0" w:after="0" w:line="240" w:lineRule="auto"/>
              <w:jc w:val="center"/>
              <w:textAlignment w:val="center"/>
              <w:rPr>
                <w:rFonts w:hint="default" w:ascii="Times New Roman" w:hAnsi="Times New Roman" w:eastAsia="宋体" w:cs="Times New Roman"/>
                <w:b/>
                <w:bCs/>
                <w:color w:val="000000"/>
                <w:sz w:val="21"/>
                <w:szCs w:val="21"/>
              </w:rPr>
            </w:pPr>
            <w:r>
              <w:rPr>
                <w:rFonts w:hint="default" w:ascii="Times New Roman" w:hAnsi="Times New Roman" w:cs="Times New Roman"/>
                <w:b/>
                <w:bCs/>
              </w:rPr>
              <w:t>Robust SE</w:t>
            </w:r>
          </w:p>
        </w:tc>
        <w:tc>
          <w:tcPr>
            <w:tcW w:w="831" w:type="dxa"/>
            <w:tcBorders>
              <w:top w:val="single" w:color="auto" w:sz="4" w:space="0"/>
              <w:left w:val="single" w:color="auto" w:sz="4" w:space="0"/>
              <w:bottom w:val="nil"/>
              <w:right w:val="nil"/>
            </w:tcBorders>
            <w:tcMar>
              <w:top w:w="-1" w:type="dxa"/>
              <w:left w:w="-1" w:type="dxa"/>
              <w:bottom w:w="-1" w:type="dxa"/>
              <w:right w:w="-1" w:type="dxa"/>
            </w:tcMar>
            <w:vAlign w:val="center"/>
          </w:tcPr>
          <w:p w14:paraId="48615EFE">
            <w:pPr>
              <w:widowControl/>
              <w:snapToGrid w:val="0"/>
              <w:spacing w:before="0" w:after="0" w:line="240" w:lineRule="auto"/>
              <w:jc w:val="center"/>
              <w:textAlignment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kern w:val="0"/>
                <w:sz w:val="21"/>
                <w:szCs w:val="21"/>
                <w:lang w:bidi="ar"/>
              </w:rPr>
              <w:t>OR</w:t>
            </w:r>
          </w:p>
        </w:tc>
        <w:tc>
          <w:tcPr>
            <w:tcW w:w="2109" w:type="dxa"/>
            <w:tcBorders>
              <w:top w:val="single" w:color="auto" w:sz="4" w:space="0"/>
              <w:left w:val="single" w:color="auto" w:sz="4" w:space="0"/>
              <w:bottom w:val="nil"/>
              <w:right w:val="nil"/>
            </w:tcBorders>
            <w:tcMar>
              <w:top w:w="-1" w:type="dxa"/>
              <w:left w:w="-1" w:type="dxa"/>
              <w:bottom w:w="-1" w:type="dxa"/>
              <w:right w:w="-1" w:type="dxa"/>
            </w:tcMar>
            <w:vAlign w:val="center"/>
          </w:tcPr>
          <w:p w14:paraId="1FAEAE0F">
            <w:pPr>
              <w:widowControl/>
              <w:snapToGrid w:val="0"/>
              <w:spacing w:before="0" w:after="0" w:line="240" w:lineRule="auto"/>
              <w:jc w:val="center"/>
              <w:textAlignment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kern w:val="0"/>
                <w:sz w:val="21"/>
                <w:szCs w:val="21"/>
                <w:lang w:bidi="ar"/>
              </w:rPr>
              <w:t>95%CI</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7D80C46">
            <w:pPr>
              <w:widowControl/>
              <w:snapToGrid w:val="0"/>
              <w:spacing w:before="0" w:after="0" w:line="240" w:lineRule="auto"/>
              <w:jc w:val="center"/>
              <w:textAlignment w:val="center"/>
              <w:rPr>
                <w:rFonts w:hint="default" w:ascii="Times New Roman" w:hAnsi="Times New Roman" w:eastAsia="宋体" w:cs="Times New Roman"/>
                <w:b/>
                <w:bCs/>
                <w:color w:val="000000"/>
                <w:sz w:val="21"/>
                <w:szCs w:val="21"/>
              </w:rPr>
            </w:pPr>
            <w:r>
              <w:rPr>
                <w:rFonts w:hint="default" w:ascii="Times New Roman" w:hAnsi="Times New Roman" w:cs="Times New Roman"/>
                <w:b/>
                <w:bCs/>
              </w:rPr>
              <w:t>p-value</w:t>
            </w:r>
          </w:p>
        </w:tc>
      </w:tr>
      <w:tr w14:paraId="47967476">
        <w:tblPrEx>
          <w:tblCellMar>
            <w:top w:w="0" w:type="dxa"/>
            <w:left w:w="108" w:type="dxa"/>
            <w:bottom w:w="0" w:type="dxa"/>
            <w:right w:w="108" w:type="dxa"/>
          </w:tblCellMar>
        </w:tblPrEx>
        <w:trPr>
          <w:cantSplit/>
          <w:trHeight w:val="283" w:hRule="exact"/>
          <w:jc w:val="center"/>
        </w:trPr>
        <w:tc>
          <w:tcPr>
            <w:tcW w:w="9003"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099D2AB">
            <w:pPr>
              <w:widowControl/>
              <w:snapToGrid w:val="0"/>
              <w:spacing w:before="0" w:after="0" w:line="240" w:lineRule="auto"/>
              <w:jc w:val="left"/>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cs="Times New Roman"/>
                <w:b/>
                <w:bCs/>
              </w:rPr>
              <w:t>Doctoral-background main effect (1985–1994; ref: non-elite doctorate)</w:t>
            </w:r>
          </w:p>
        </w:tc>
      </w:tr>
      <w:tr w14:paraId="1688715E">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nil"/>
              <w:right w:val="nil"/>
            </w:tcBorders>
            <w:tcMar>
              <w:top w:w="-1" w:type="dxa"/>
              <w:left w:w="-1" w:type="dxa"/>
              <w:bottom w:w="-1" w:type="dxa"/>
              <w:right w:w="-1" w:type="dxa"/>
            </w:tcMar>
            <w:vAlign w:val="center"/>
          </w:tcPr>
          <w:p w14:paraId="6FA649B2">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cs="Times New Roman"/>
              </w:rPr>
              <w:t>Elite doctorate</w:t>
            </w:r>
          </w:p>
        </w:tc>
        <w:tc>
          <w:tcPr>
            <w:tcW w:w="996" w:type="dxa"/>
            <w:tcBorders>
              <w:top w:val="single" w:color="auto" w:sz="4" w:space="0"/>
              <w:left w:val="single" w:color="auto" w:sz="4" w:space="0"/>
              <w:bottom w:val="nil"/>
              <w:right w:val="nil"/>
            </w:tcBorders>
            <w:tcMar>
              <w:top w:w="-1" w:type="dxa"/>
              <w:left w:w="-1" w:type="dxa"/>
              <w:bottom w:w="-1" w:type="dxa"/>
              <w:right w:w="-1" w:type="dxa"/>
            </w:tcMar>
            <w:vAlign w:val="center"/>
          </w:tcPr>
          <w:p w14:paraId="141F1DF8">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0.725</w:t>
            </w:r>
          </w:p>
        </w:tc>
        <w:tc>
          <w:tcPr>
            <w:tcW w:w="1322" w:type="dxa"/>
            <w:tcBorders>
              <w:top w:val="single" w:color="auto" w:sz="4" w:space="0"/>
              <w:left w:val="single" w:color="auto" w:sz="4" w:space="0"/>
              <w:bottom w:val="nil"/>
              <w:right w:val="nil"/>
            </w:tcBorders>
            <w:tcMar>
              <w:top w:w="-1" w:type="dxa"/>
              <w:left w:w="-1" w:type="dxa"/>
              <w:bottom w:w="-1" w:type="dxa"/>
              <w:right w:w="-1" w:type="dxa"/>
            </w:tcMar>
            <w:vAlign w:val="center"/>
          </w:tcPr>
          <w:p w14:paraId="5EC0A48B">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0.054</w:t>
            </w:r>
          </w:p>
        </w:tc>
        <w:tc>
          <w:tcPr>
            <w:tcW w:w="831" w:type="dxa"/>
            <w:tcBorders>
              <w:top w:val="single" w:color="auto" w:sz="4" w:space="0"/>
              <w:left w:val="single" w:color="auto" w:sz="4" w:space="0"/>
              <w:bottom w:val="nil"/>
              <w:right w:val="nil"/>
            </w:tcBorders>
            <w:tcMar>
              <w:top w:w="-1" w:type="dxa"/>
              <w:left w:w="-1" w:type="dxa"/>
              <w:bottom w:w="-1" w:type="dxa"/>
              <w:right w:w="-1" w:type="dxa"/>
            </w:tcMar>
            <w:vAlign w:val="center"/>
          </w:tcPr>
          <w:p w14:paraId="69DCED6F">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2.065</w:t>
            </w:r>
          </w:p>
        </w:tc>
        <w:tc>
          <w:tcPr>
            <w:tcW w:w="2109" w:type="dxa"/>
            <w:tcBorders>
              <w:top w:val="single" w:color="auto" w:sz="4" w:space="0"/>
              <w:left w:val="single" w:color="auto" w:sz="4" w:space="0"/>
              <w:bottom w:val="nil"/>
              <w:right w:val="nil"/>
            </w:tcBorders>
            <w:tcMar>
              <w:top w:w="-1" w:type="dxa"/>
              <w:left w:w="-1" w:type="dxa"/>
              <w:bottom w:w="-1" w:type="dxa"/>
              <w:right w:w="-1" w:type="dxa"/>
            </w:tcMar>
            <w:vAlign w:val="center"/>
          </w:tcPr>
          <w:p w14:paraId="118380D7">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[1.857, 2.296]</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8D82509">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&lt;0.001</w:t>
            </w:r>
          </w:p>
        </w:tc>
      </w:tr>
      <w:tr w14:paraId="58FB9EF9">
        <w:tblPrEx>
          <w:tblCellMar>
            <w:top w:w="0" w:type="dxa"/>
            <w:left w:w="108" w:type="dxa"/>
            <w:bottom w:w="0" w:type="dxa"/>
            <w:right w:w="108" w:type="dxa"/>
          </w:tblCellMar>
        </w:tblPrEx>
        <w:trPr>
          <w:cantSplit/>
          <w:trHeight w:val="283" w:hRule="exact"/>
          <w:jc w:val="center"/>
        </w:trPr>
        <w:tc>
          <w:tcPr>
            <w:tcW w:w="9003"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A2C125B">
            <w:pPr>
              <w:widowControl/>
              <w:snapToGrid w:val="0"/>
              <w:spacing w:before="0" w:after="0" w:line="240" w:lineRule="auto"/>
              <w:jc w:val="left"/>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cs="Times New Roman"/>
                <w:b/>
                <w:bCs/>
              </w:rPr>
              <w:t>Period main effects among non-elite doctorates (ref: 1985–1994)</w:t>
            </w:r>
          </w:p>
        </w:tc>
      </w:tr>
      <w:tr w14:paraId="50382A13">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nil"/>
              <w:right w:val="nil"/>
            </w:tcBorders>
            <w:tcMar>
              <w:top w:w="-1" w:type="dxa"/>
              <w:left w:w="-1" w:type="dxa"/>
              <w:bottom w:w="-1" w:type="dxa"/>
              <w:right w:w="-1" w:type="dxa"/>
            </w:tcMar>
            <w:vAlign w:val="center"/>
          </w:tcPr>
          <w:p w14:paraId="76CD8DED">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1995–2004</w:t>
            </w:r>
          </w:p>
        </w:tc>
        <w:tc>
          <w:tcPr>
            <w:tcW w:w="996" w:type="dxa"/>
            <w:tcBorders>
              <w:top w:val="single" w:color="auto" w:sz="4" w:space="0"/>
              <w:left w:val="single" w:color="auto" w:sz="4" w:space="0"/>
              <w:bottom w:val="nil"/>
              <w:right w:val="nil"/>
            </w:tcBorders>
            <w:tcMar>
              <w:top w:w="-1" w:type="dxa"/>
              <w:left w:w="-1" w:type="dxa"/>
              <w:bottom w:w="-1" w:type="dxa"/>
              <w:right w:w="-1" w:type="dxa"/>
            </w:tcMar>
            <w:vAlign w:val="center"/>
          </w:tcPr>
          <w:p w14:paraId="7E7168C3">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-0.165</w:t>
            </w:r>
          </w:p>
        </w:tc>
        <w:tc>
          <w:tcPr>
            <w:tcW w:w="1322" w:type="dxa"/>
            <w:tcBorders>
              <w:top w:val="single" w:color="auto" w:sz="4" w:space="0"/>
              <w:left w:val="single" w:color="auto" w:sz="4" w:space="0"/>
              <w:bottom w:val="nil"/>
              <w:right w:val="nil"/>
            </w:tcBorders>
            <w:tcMar>
              <w:top w:w="-1" w:type="dxa"/>
              <w:left w:w="-1" w:type="dxa"/>
              <w:bottom w:w="-1" w:type="dxa"/>
              <w:right w:w="-1" w:type="dxa"/>
            </w:tcMar>
            <w:vAlign w:val="center"/>
          </w:tcPr>
          <w:p w14:paraId="631F9F25">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0.056</w:t>
            </w:r>
          </w:p>
        </w:tc>
        <w:tc>
          <w:tcPr>
            <w:tcW w:w="831" w:type="dxa"/>
            <w:tcBorders>
              <w:top w:val="single" w:color="auto" w:sz="4" w:space="0"/>
              <w:left w:val="single" w:color="auto" w:sz="4" w:space="0"/>
              <w:bottom w:val="nil"/>
              <w:right w:val="nil"/>
            </w:tcBorders>
            <w:tcMar>
              <w:top w:w="-1" w:type="dxa"/>
              <w:left w:w="-1" w:type="dxa"/>
              <w:bottom w:w="-1" w:type="dxa"/>
              <w:right w:w="-1" w:type="dxa"/>
            </w:tcMar>
            <w:vAlign w:val="center"/>
          </w:tcPr>
          <w:p w14:paraId="14E9A751">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0.848</w:t>
            </w:r>
          </w:p>
        </w:tc>
        <w:tc>
          <w:tcPr>
            <w:tcW w:w="2109" w:type="dxa"/>
            <w:tcBorders>
              <w:top w:val="single" w:color="auto" w:sz="4" w:space="0"/>
              <w:left w:val="single" w:color="auto" w:sz="4" w:space="0"/>
              <w:bottom w:val="nil"/>
              <w:right w:val="nil"/>
            </w:tcBorders>
            <w:tcMar>
              <w:top w:w="-1" w:type="dxa"/>
              <w:left w:w="-1" w:type="dxa"/>
              <w:bottom w:w="-1" w:type="dxa"/>
              <w:right w:w="-1" w:type="dxa"/>
            </w:tcMar>
            <w:vAlign w:val="center"/>
          </w:tcPr>
          <w:p w14:paraId="4684799B">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[0.759, 0.947]</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703F950">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0.003</w:t>
            </w:r>
          </w:p>
        </w:tc>
      </w:tr>
      <w:tr w14:paraId="2BB72277">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nil"/>
              <w:right w:val="nil"/>
            </w:tcBorders>
            <w:tcMar>
              <w:top w:w="-1" w:type="dxa"/>
              <w:left w:w="-1" w:type="dxa"/>
              <w:bottom w:w="-1" w:type="dxa"/>
              <w:right w:w="-1" w:type="dxa"/>
            </w:tcMar>
            <w:vAlign w:val="center"/>
          </w:tcPr>
          <w:p w14:paraId="407EE5A7">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2005–201</w:t>
            </w:r>
            <w:r>
              <w:rPr>
                <w:rFonts w:hint="default" w:ascii="Times New Roman" w:hAnsi="Times New Roman" w:eastAsia="宋体" w:cs="Times New Roman"/>
                <w:b/>
                <w:bCs/>
                <w:color w:val="000000"/>
                <w:kern w:val="0"/>
                <w:sz w:val="21"/>
                <w:szCs w:val="21"/>
                <w:lang w:bidi="ar"/>
              </w:rPr>
              <w:t>4</w:t>
            </w:r>
          </w:p>
        </w:tc>
        <w:tc>
          <w:tcPr>
            <w:tcW w:w="996" w:type="dxa"/>
            <w:tcBorders>
              <w:top w:val="single" w:color="auto" w:sz="4" w:space="0"/>
              <w:left w:val="single" w:color="auto" w:sz="4" w:space="0"/>
              <w:bottom w:val="nil"/>
              <w:right w:val="nil"/>
            </w:tcBorders>
            <w:tcMar>
              <w:top w:w="-1" w:type="dxa"/>
              <w:left w:w="-1" w:type="dxa"/>
              <w:bottom w:w="-1" w:type="dxa"/>
              <w:right w:w="-1" w:type="dxa"/>
            </w:tcMar>
            <w:vAlign w:val="center"/>
          </w:tcPr>
          <w:p w14:paraId="42229588">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-0.348</w:t>
            </w:r>
          </w:p>
        </w:tc>
        <w:tc>
          <w:tcPr>
            <w:tcW w:w="1322" w:type="dxa"/>
            <w:tcBorders>
              <w:top w:val="single" w:color="auto" w:sz="4" w:space="0"/>
              <w:left w:val="single" w:color="auto" w:sz="4" w:space="0"/>
              <w:bottom w:val="nil"/>
              <w:right w:val="nil"/>
            </w:tcBorders>
            <w:tcMar>
              <w:top w:w="-1" w:type="dxa"/>
              <w:left w:w="-1" w:type="dxa"/>
              <w:bottom w:w="-1" w:type="dxa"/>
              <w:right w:w="-1" w:type="dxa"/>
            </w:tcMar>
            <w:vAlign w:val="center"/>
          </w:tcPr>
          <w:p w14:paraId="602396BF">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0.051</w:t>
            </w:r>
          </w:p>
        </w:tc>
        <w:tc>
          <w:tcPr>
            <w:tcW w:w="831" w:type="dxa"/>
            <w:tcBorders>
              <w:top w:val="single" w:color="auto" w:sz="4" w:space="0"/>
              <w:left w:val="single" w:color="auto" w:sz="4" w:space="0"/>
              <w:bottom w:val="nil"/>
              <w:right w:val="nil"/>
            </w:tcBorders>
            <w:tcMar>
              <w:top w:w="-1" w:type="dxa"/>
              <w:left w:w="-1" w:type="dxa"/>
              <w:bottom w:w="-1" w:type="dxa"/>
              <w:right w:w="-1" w:type="dxa"/>
            </w:tcMar>
            <w:vAlign w:val="center"/>
          </w:tcPr>
          <w:p w14:paraId="230600F3">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0.706</w:t>
            </w:r>
          </w:p>
        </w:tc>
        <w:tc>
          <w:tcPr>
            <w:tcW w:w="2109" w:type="dxa"/>
            <w:tcBorders>
              <w:top w:val="single" w:color="auto" w:sz="4" w:space="0"/>
              <w:left w:val="single" w:color="auto" w:sz="4" w:space="0"/>
              <w:bottom w:val="nil"/>
              <w:right w:val="nil"/>
            </w:tcBorders>
            <w:tcMar>
              <w:top w:w="-1" w:type="dxa"/>
              <w:left w:w="-1" w:type="dxa"/>
              <w:bottom w:w="-1" w:type="dxa"/>
              <w:right w:w="-1" w:type="dxa"/>
            </w:tcMar>
            <w:vAlign w:val="center"/>
          </w:tcPr>
          <w:p w14:paraId="183628D2">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[0.639, 0.781]</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614843E">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&lt;0.001</w:t>
            </w:r>
          </w:p>
        </w:tc>
      </w:tr>
      <w:tr w14:paraId="5CA18F31">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nil"/>
              <w:right w:val="nil"/>
            </w:tcBorders>
            <w:tcMar>
              <w:top w:w="-1" w:type="dxa"/>
              <w:left w:w="-1" w:type="dxa"/>
              <w:bottom w:w="-1" w:type="dxa"/>
              <w:right w:w="-1" w:type="dxa"/>
            </w:tcMar>
            <w:vAlign w:val="center"/>
          </w:tcPr>
          <w:p w14:paraId="72458794">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2015–2023</w:t>
            </w:r>
          </w:p>
        </w:tc>
        <w:tc>
          <w:tcPr>
            <w:tcW w:w="996" w:type="dxa"/>
            <w:tcBorders>
              <w:top w:val="single" w:color="auto" w:sz="4" w:space="0"/>
              <w:left w:val="single" w:color="auto" w:sz="4" w:space="0"/>
              <w:bottom w:val="nil"/>
              <w:right w:val="nil"/>
            </w:tcBorders>
            <w:tcMar>
              <w:top w:w="-1" w:type="dxa"/>
              <w:left w:w="-1" w:type="dxa"/>
              <w:bottom w:w="-1" w:type="dxa"/>
              <w:right w:w="-1" w:type="dxa"/>
            </w:tcMar>
            <w:vAlign w:val="center"/>
          </w:tcPr>
          <w:p w14:paraId="07ACECF7">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-0.576</w:t>
            </w:r>
          </w:p>
        </w:tc>
        <w:tc>
          <w:tcPr>
            <w:tcW w:w="1322" w:type="dxa"/>
            <w:tcBorders>
              <w:top w:val="single" w:color="auto" w:sz="4" w:space="0"/>
              <w:left w:val="single" w:color="auto" w:sz="4" w:space="0"/>
              <w:bottom w:val="nil"/>
              <w:right w:val="nil"/>
            </w:tcBorders>
            <w:tcMar>
              <w:top w:w="-1" w:type="dxa"/>
              <w:left w:w="-1" w:type="dxa"/>
              <w:bottom w:w="-1" w:type="dxa"/>
              <w:right w:w="-1" w:type="dxa"/>
            </w:tcMar>
            <w:vAlign w:val="center"/>
          </w:tcPr>
          <w:p w14:paraId="64B19979">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0.050</w:t>
            </w:r>
          </w:p>
        </w:tc>
        <w:tc>
          <w:tcPr>
            <w:tcW w:w="831" w:type="dxa"/>
            <w:tcBorders>
              <w:top w:val="single" w:color="auto" w:sz="4" w:space="0"/>
              <w:left w:val="single" w:color="auto" w:sz="4" w:space="0"/>
              <w:bottom w:val="nil"/>
              <w:right w:val="nil"/>
            </w:tcBorders>
            <w:tcMar>
              <w:top w:w="-1" w:type="dxa"/>
              <w:left w:w="-1" w:type="dxa"/>
              <w:bottom w:w="-1" w:type="dxa"/>
              <w:right w:w="-1" w:type="dxa"/>
            </w:tcMar>
            <w:vAlign w:val="center"/>
          </w:tcPr>
          <w:p w14:paraId="681714A1">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0.562</w:t>
            </w:r>
          </w:p>
        </w:tc>
        <w:tc>
          <w:tcPr>
            <w:tcW w:w="2109" w:type="dxa"/>
            <w:tcBorders>
              <w:top w:val="single" w:color="auto" w:sz="4" w:space="0"/>
              <w:left w:val="single" w:color="auto" w:sz="4" w:space="0"/>
              <w:bottom w:val="nil"/>
              <w:right w:val="nil"/>
            </w:tcBorders>
            <w:tcMar>
              <w:top w:w="-1" w:type="dxa"/>
              <w:left w:w="-1" w:type="dxa"/>
              <w:bottom w:w="-1" w:type="dxa"/>
              <w:right w:w="-1" w:type="dxa"/>
            </w:tcMar>
            <w:vAlign w:val="center"/>
          </w:tcPr>
          <w:p w14:paraId="032F03A6">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[0.510, 0.619]</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8F8F669">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&lt;0.001</w:t>
            </w:r>
          </w:p>
        </w:tc>
      </w:tr>
      <w:tr w14:paraId="5CF55A38">
        <w:tblPrEx>
          <w:tblCellMar>
            <w:top w:w="0" w:type="dxa"/>
            <w:left w:w="108" w:type="dxa"/>
            <w:bottom w:w="0" w:type="dxa"/>
            <w:right w:w="108" w:type="dxa"/>
          </w:tblCellMar>
        </w:tblPrEx>
        <w:trPr>
          <w:cantSplit/>
          <w:trHeight w:val="283" w:hRule="exact"/>
          <w:jc w:val="center"/>
        </w:trPr>
        <w:tc>
          <w:tcPr>
            <w:tcW w:w="9003"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B0FDC5E">
            <w:pPr>
              <w:widowControl/>
              <w:snapToGrid w:val="0"/>
              <w:spacing w:before="0" w:after="0" w:line="240" w:lineRule="auto"/>
              <w:jc w:val="left"/>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cs="Times New Roman"/>
                <w:b/>
                <w:bCs/>
              </w:rPr>
              <w:t>Elite doctorate × period interactions (ref: elite doctorate × 1985–1994)</w:t>
            </w:r>
          </w:p>
        </w:tc>
      </w:tr>
      <w:tr w14:paraId="0C09BA63">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nil"/>
              <w:right w:val="nil"/>
            </w:tcBorders>
            <w:tcMar>
              <w:top w:w="-1" w:type="dxa"/>
              <w:left w:w="-1" w:type="dxa"/>
              <w:bottom w:w="-1" w:type="dxa"/>
              <w:right w:w="-1" w:type="dxa"/>
            </w:tcMar>
            <w:vAlign w:val="center"/>
          </w:tcPr>
          <w:p w14:paraId="3995CA5D">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cs="Times New Roman"/>
              </w:rPr>
              <w:t>Elite doctorate × 1995–2004</w:t>
            </w:r>
          </w:p>
        </w:tc>
        <w:tc>
          <w:tcPr>
            <w:tcW w:w="996" w:type="dxa"/>
            <w:tcBorders>
              <w:top w:val="single" w:color="auto" w:sz="4" w:space="0"/>
              <w:left w:val="single" w:color="auto" w:sz="4" w:space="0"/>
              <w:bottom w:val="nil"/>
              <w:right w:val="nil"/>
            </w:tcBorders>
            <w:tcMar>
              <w:top w:w="-1" w:type="dxa"/>
              <w:left w:w="-1" w:type="dxa"/>
              <w:bottom w:w="-1" w:type="dxa"/>
              <w:right w:w="-1" w:type="dxa"/>
            </w:tcMar>
            <w:vAlign w:val="center"/>
          </w:tcPr>
          <w:p w14:paraId="577A6480">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0.195</w:t>
            </w:r>
          </w:p>
        </w:tc>
        <w:tc>
          <w:tcPr>
            <w:tcW w:w="1322" w:type="dxa"/>
            <w:tcBorders>
              <w:top w:val="single" w:color="auto" w:sz="4" w:space="0"/>
              <w:left w:val="single" w:color="auto" w:sz="4" w:space="0"/>
              <w:bottom w:val="nil"/>
              <w:right w:val="nil"/>
            </w:tcBorders>
            <w:tcMar>
              <w:top w:w="-1" w:type="dxa"/>
              <w:left w:w="-1" w:type="dxa"/>
              <w:bottom w:w="-1" w:type="dxa"/>
              <w:right w:w="-1" w:type="dxa"/>
            </w:tcMar>
            <w:vAlign w:val="center"/>
          </w:tcPr>
          <w:p w14:paraId="41EB4724">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0.065</w:t>
            </w:r>
          </w:p>
        </w:tc>
        <w:tc>
          <w:tcPr>
            <w:tcW w:w="831" w:type="dxa"/>
            <w:tcBorders>
              <w:top w:val="single" w:color="auto" w:sz="4" w:space="0"/>
              <w:left w:val="single" w:color="auto" w:sz="4" w:space="0"/>
              <w:bottom w:val="nil"/>
              <w:right w:val="nil"/>
            </w:tcBorders>
            <w:tcMar>
              <w:top w:w="-1" w:type="dxa"/>
              <w:left w:w="-1" w:type="dxa"/>
              <w:bottom w:w="-1" w:type="dxa"/>
              <w:right w:w="-1" w:type="dxa"/>
            </w:tcMar>
            <w:vAlign w:val="center"/>
          </w:tcPr>
          <w:p w14:paraId="3F2503E4">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1.215</w:t>
            </w:r>
          </w:p>
        </w:tc>
        <w:tc>
          <w:tcPr>
            <w:tcW w:w="2109" w:type="dxa"/>
            <w:tcBorders>
              <w:top w:val="single" w:color="auto" w:sz="4" w:space="0"/>
              <w:left w:val="single" w:color="auto" w:sz="4" w:space="0"/>
              <w:bottom w:val="nil"/>
              <w:right w:val="nil"/>
            </w:tcBorders>
            <w:tcMar>
              <w:top w:w="-1" w:type="dxa"/>
              <w:left w:w="-1" w:type="dxa"/>
              <w:bottom w:w="-1" w:type="dxa"/>
              <w:right w:w="-1" w:type="dxa"/>
            </w:tcMar>
            <w:vAlign w:val="center"/>
          </w:tcPr>
          <w:p w14:paraId="5F2A7881">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[1.070, 1.380]</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7664916">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0.003</w:t>
            </w:r>
          </w:p>
        </w:tc>
      </w:tr>
      <w:tr w14:paraId="42AA0D79">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nil"/>
              <w:right w:val="nil"/>
            </w:tcBorders>
            <w:tcMar>
              <w:top w:w="-1" w:type="dxa"/>
              <w:left w:w="-1" w:type="dxa"/>
              <w:bottom w:w="-1" w:type="dxa"/>
              <w:right w:w="-1" w:type="dxa"/>
            </w:tcMar>
            <w:vAlign w:val="center"/>
          </w:tcPr>
          <w:p w14:paraId="32A3EBA4">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cs="Times New Roman"/>
              </w:rPr>
              <w:t>Elite doctorate × 2005–2014</w:t>
            </w:r>
          </w:p>
        </w:tc>
        <w:tc>
          <w:tcPr>
            <w:tcW w:w="996" w:type="dxa"/>
            <w:tcBorders>
              <w:top w:val="single" w:color="auto" w:sz="4" w:space="0"/>
              <w:left w:val="single" w:color="auto" w:sz="4" w:space="0"/>
              <w:bottom w:val="nil"/>
              <w:right w:val="nil"/>
            </w:tcBorders>
            <w:tcMar>
              <w:top w:w="-1" w:type="dxa"/>
              <w:left w:w="-1" w:type="dxa"/>
              <w:bottom w:w="-1" w:type="dxa"/>
              <w:right w:w="-1" w:type="dxa"/>
            </w:tcMar>
            <w:vAlign w:val="center"/>
          </w:tcPr>
          <w:p w14:paraId="35EB39F4">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0.491</w:t>
            </w:r>
          </w:p>
        </w:tc>
        <w:tc>
          <w:tcPr>
            <w:tcW w:w="1322" w:type="dxa"/>
            <w:tcBorders>
              <w:top w:val="single" w:color="auto" w:sz="4" w:space="0"/>
              <w:left w:val="single" w:color="auto" w:sz="4" w:space="0"/>
              <w:bottom w:val="nil"/>
              <w:right w:val="nil"/>
            </w:tcBorders>
            <w:tcMar>
              <w:top w:w="-1" w:type="dxa"/>
              <w:left w:w="-1" w:type="dxa"/>
              <w:bottom w:w="-1" w:type="dxa"/>
              <w:right w:w="-1" w:type="dxa"/>
            </w:tcMar>
            <w:vAlign w:val="center"/>
          </w:tcPr>
          <w:p w14:paraId="73705025">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0.059</w:t>
            </w:r>
          </w:p>
        </w:tc>
        <w:tc>
          <w:tcPr>
            <w:tcW w:w="831" w:type="dxa"/>
            <w:tcBorders>
              <w:top w:val="single" w:color="auto" w:sz="4" w:space="0"/>
              <w:left w:val="single" w:color="auto" w:sz="4" w:space="0"/>
              <w:bottom w:val="nil"/>
              <w:right w:val="nil"/>
            </w:tcBorders>
            <w:tcMar>
              <w:top w:w="-1" w:type="dxa"/>
              <w:left w:w="-1" w:type="dxa"/>
              <w:bottom w:w="-1" w:type="dxa"/>
              <w:right w:w="-1" w:type="dxa"/>
            </w:tcMar>
            <w:vAlign w:val="center"/>
          </w:tcPr>
          <w:p w14:paraId="42D840AD">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1.634</w:t>
            </w:r>
          </w:p>
        </w:tc>
        <w:tc>
          <w:tcPr>
            <w:tcW w:w="2109" w:type="dxa"/>
            <w:tcBorders>
              <w:top w:val="single" w:color="auto" w:sz="4" w:space="0"/>
              <w:left w:val="single" w:color="auto" w:sz="4" w:space="0"/>
              <w:bottom w:val="nil"/>
              <w:right w:val="nil"/>
            </w:tcBorders>
            <w:tcMar>
              <w:top w:w="-1" w:type="dxa"/>
              <w:left w:w="-1" w:type="dxa"/>
              <w:bottom w:w="-1" w:type="dxa"/>
              <w:right w:w="-1" w:type="dxa"/>
            </w:tcMar>
            <w:vAlign w:val="center"/>
          </w:tcPr>
          <w:p w14:paraId="5203310F">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[1.457, 1.834]</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4A412B6">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&lt;0.001</w:t>
            </w:r>
          </w:p>
        </w:tc>
      </w:tr>
      <w:tr w14:paraId="3AA03E5B">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nil"/>
              <w:right w:val="nil"/>
            </w:tcBorders>
            <w:tcMar>
              <w:top w:w="-1" w:type="dxa"/>
              <w:left w:w="-1" w:type="dxa"/>
              <w:bottom w:w="-1" w:type="dxa"/>
              <w:right w:w="-1" w:type="dxa"/>
            </w:tcMar>
            <w:vAlign w:val="center"/>
          </w:tcPr>
          <w:p w14:paraId="4E30B048">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cs="Times New Roman"/>
              </w:rPr>
              <w:t>Elite doctorate × 2015–2023</w:t>
            </w:r>
          </w:p>
        </w:tc>
        <w:tc>
          <w:tcPr>
            <w:tcW w:w="996" w:type="dxa"/>
            <w:tcBorders>
              <w:top w:val="single" w:color="auto" w:sz="4" w:space="0"/>
              <w:left w:val="single" w:color="auto" w:sz="4" w:space="0"/>
              <w:bottom w:val="nil"/>
              <w:right w:val="nil"/>
            </w:tcBorders>
            <w:tcMar>
              <w:top w:w="-1" w:type="dxa"/>
              <w:left w:w="-1" w:type="dxa"/>
              <w:bottom w:w="-1" w:type="dxa"/>
              <w:right w:w="-1" w:type="dxa"/>
            </w:tcMar>
            <w:vAlign w:val="center"/>
          </w:tcPr>
          <w:p w14:paraId="0CB01BA5">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0.810</w:t>
            </w:r>
          </w:p>
        </w:tc>
        <w:tc>
          <w:tcPr>
            <w:tcW w:w="1322" w:type="dxa"/>
            <w:tcBorders>
              <w:top w:val="single" w:color="auto" w:sz="4" w:space="0"/>
              <w:left w:val="single" w:color="auto" w:sz="4" w:space="0"/>
              <w:bottom w:val="nil"/>
              <w:right w:val="nil"/>
            </w:tcBorders>
            <w:tcMar>
              <w:top w:w="-1" w:type="dxa"/>
              <w:left w:w="-1" w:type="dxa"/>
              <w:bottom w:w="-1" w:type="dxa"/>
              <w:right w:w="-1" w:type="dxa"/>
            </w:tcMar>
            <w:vAlign w:val="center"/>
          </w:tcPr>
          <w:p w14:paraId="682953A9">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0.057</w:t>
            </w:r>
          </w:p>
        </w:tc>
        <w:tc>
          <w:tcPr>
            <w:tcW w:w="831" w:type="dxa"/>
            <w:tcBorders>
              <w:top w:val="single" w:color="auto" w:sz="4" w:space="0"/>
              <w:left w:val="single" w:color="auto" w:sz="4" w:space="0"/>
              <w:bottom w:val="nil"/>
              <w:right w:val="nil"/>
            </w:tcBorders>
            <w:tcMar>
              <w:top w:w="-1" w:type="dxa"/>
              <w:left w:w="-1" w:type="dxa"/>
              <w:bottom w:w="-1" w:type="dxa"/>
              <w:right w:w="-1" w:type="dxa"/>
            </w:tcMar>
            <w:vAlign w:val="center"/>
          </w:tcPr>
          <w:p w14:paraId="39361C50">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2.248</w:t>
            </w:r>
          </w:p>
        </w:tc>
        <w:tc>
          <w:tcPr>
            <w:tcW w:w="2109" w:type="dxa"/>
            <w:tcBorders>
              <w:top w:val="single" w:color="auto" w:sz="4" w:space="0"/>
              <w:left w:val="single" w:color="auto" w:sz="4" w:space="0"/>
              <w:bottom w:val="nil"/>
              <w:right w:val="nil"/>
            </w:tcBorders>
            <w:tcMar>
              <w:top w:w="-1" w:type="dxa"/>
              <w:left w:w="-1" w:type="dxa"/>
              <w:bottom w:w="-1" w:type="dxa"/>
              <w:right w:w="-1" w:type="dxa"/>
            </w:tcMar>
            <w:vAlign w:val="center"/>
          </w:tcPr>
          <w:p w14:paraId="02C86696">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[2.012, 2.513]</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79D5FAA">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&lt;0.001</w:t>
            </w:r>
          </w:p>
        </w:tc>
      </w:tr>
      <w:tr w14:paraId="745C980E">
        <w:tblPrEx>
          <w:tblCellMar>
            <w:top w:w="0" w:type="dxa"/>
            <w:left w:w="108" w:type="dxa"/>
            <w:bottom w:w="0" w:type="dxa"/>
            <w:right w:w="108" w:type="dxa"/>
          </w:tblCellMar>
        </w:tblPrEx>
        <w:trPr>
          <w:cantSplit/>
          <w:trHeight w:val="283" w:hRule="exact"/>
          <w:jc w:val="center"/>
        </w:trPr>
        <w:tc>
          <w:tcPr>
            <w:tcW w:w="9003"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85C077D">
            <w:pPr>
              <w:widowControl/>
              <w:snapToGrid w:val="0"/>
              <w:spacing w:before="0" w:after="0" w:line="240" w:lineRule="auto"/>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b/>
                <w:bCs/>
              </w:rPr>
              <w:t>Undergraduate background (ref: non-elite bachelor’s degree)</w:t>
            </w:r>
          </w:p>
        </w:tc>
      </w:tr>
      <w:tr w14:paraId="1346E111">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nil"/>
              <w:right w:val="nil"/>
            </w:tcBorders>
            <w:tcMar>
              <w:top w:w="-1" w:type="dxa"/>
              <w:left w:w="-1" w:type="dxa"/>
              <w:bottom w:w="-1" w:type="dxa"/>
              <w:right w:w="-1" w:type="dxa"/>
            </w:tcMar>
            <w:vAlign w:val="center"/>
          </w:tcPr>
          <w:p w14:paraId="2C130CC3">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cs="Times New Roman"/>
              </w:rPr>
              <w:t>Elite bachelor’s degree</w:t>
            </w:r>
          </w:p>
        </w:tc>
        <w:tc>
          <w:tcPr>
            <w:tcW w:w="996" w:type="dxa"/>
            <w:tcBorders>
              <w:top w:val="single" w:color="auto" w:sz="4" w:space="0"/>
              <w:left w:val="single" w:color="auto" w:sz="4" w:space="0"/>
              <w:bottom w:val="nil"/>
              <w:right w:val="nil"/>
            </w:tcBorders>
            <w:tcMar>
              <w:top w:w="-1" w:type="dxa"/>
              <w:left w:w="-1" w:type="dxa"/>
              <w:bottom w:w="-1" w:type="dxa"/>
              <w:right w:w="-1" w:type="dxa"/>
            </w:tcMar>
            <w:vAlign w:val="center"/>
          </w:tcPr>
          <w:p w14:paraId="3C7E70B1">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0.656</w:t>
            </w:r>
          </w:p>
        </w:tc>
        <w:tc>
          <w:tcPr>
            <w:tcW w:w="1322" w:type="dxa"/>
            <w:tcBorders>
              <w:top w:val="single" w:color="auto" w:sz="4" w:space="0"/>
              <w:left w:val="single" w:color="auto" w:sz="4" w:space="0"/>
              <w:bottom w:val="nil"/>
              <w:right w:val="nil"/>
            </w:tcBorders>
            <w:tcMar>
              <w:top w:w="-1" w:type="dxa"/>
              <w:left w:w="-1" w:type="dxa"/>
              <w:bottom w:w="-1" w:type="dxa"/>
              <w:right w:w="-1" w:type="dxa"/>
            </w:tcMar>
            <w:vAlign w:val="center"/>
          </w:tcPr>
          <w:p w14:paraId="4416BEC8">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0.012</w:t>
            </w:r>
          </w:p>
        </w:tc>
        <w:tc>
          <w:tcPr>
            <w:tcW w:w="831" w:type="dxa"/>
            <w:tcBorders>
              <w:top w:val="single" w:color="auto" w:sz="4" w:space="0"/>
              <w:left w:val="single" w:color="auto" w:sz="4" w:space="0"/>
              <w:bottom w:val="nil"/>
              <w:right w:val="nil"/>
            </w:tcBorders>
            <w:tcMar>
              <w:top w:w="-1" w:type="dxa"/>
              <w:left w:w="-1" w:type="dxa"/>
              <w:bottom w:w="-1" w:type="dxa"/>
              <w:right w:w="-1" w:type="dxa"/>
            </w:tcMar>
            <w:vAlign w:val="center"/>
          </w:tcPr>
          <w:p w14:paraId="38FBC476">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1.927</w:t>
            </w:r>
          </w:p>
        </w:tc>
        <w:tc>
          <w:tcPr>
            <w:tcW w:w="2109" w:type="dxa"/>
            <w:tcBorders>
              <w:top w:val="single" w:color="auto" w:sz="4" w:space="0"/>
              <w:left w:val="single" w:color="auto" w:sz="4" w:space="0"/>
              <w:bottom w:val="nil"/>
              <w:right w:val="nil"/>
            </w:tcBorders>
            <w:tcMar>
              <w:top w:w="-1" w:type="dxa"/>
              <w:left w:w="-1" w:type="dxa"/>
              <w:bottom w:w="-1" w:type="dxa"/>
              <w:right w:w="-1" w:type="dxa"/>
            </w:tcMar>
            <w:vAlign w:val="center"/>
          </w:tcPr>
          <w:p w14:paraId="5B9B3E4F">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[1.882, 1.973]</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558A940">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&lt;0.001</w:t>
            </w:r>
          </w:p>
        </w:tc>
      </w:tr>
      <w:tr w14:paraId="13557CEF">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E5F5E20">
            <w:pPr>
              <w:widowControl/>
              <w:snapToGrid w:val="0"/>
              <w:spacing w:before="0" w:after="0" w:line="240" w:lineRule="auto"/>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rPr>
              <w:t>Gender (ref: Male)</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FD41974">
            <w:pPr>
              <w:widowControl/>
              <w:snapToGrid w:val="0"/>
              <w:spacing w:before="0" w:after="0" w:line="240" w:lineRule="auto"/>
              <w:jc w:val="center"/>
              <w:textAlignment w:val="center"/>
              <w:rPr>
                <w:rFonts w:hint="default" w:ascii="Times New Roman" w:hAnsi="Times New Roman" w:eastAsia="宋体" w:cs="Times New Roman"/>
                <w:color w:val="000000"/>
                <w:kern w:val="0"/>
                <w:sz w:val="21"/>
                <w:szCs w:val="21"/>
                <w:lang w:bidi="ar"/>
              </w:rPr>
            </w:pP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969E89B">
            <w:pPr>
              <w:widowControl/>
              <w:snapToGrid w:val="0"/>
              <w:spacing w:before="0" w:after="0" w:line="240" w:lineRule="auto"/>
              <w:jc w:val="center"/>
              <w:textAlignment w:val="center"/>
              <w:rPr>
                <w:rFonts w:hint="default" w:ascii="Times New Roman" w:hAnsi="Times New Roman" w:eastAsia="宋体" w:cs="Times New Roman"/>
                <w:color w:val="000000"/>
                <w:kern w:val="0"/>
                <w:sz w:val="21"/>
                <w:szCs w:val="21"/>
                <w:lang w:bidi="ar"/>
              </w:rPr>
            </w:pP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B022ED6">
            <w:pPr>
              <w:widowControl/>
              <w:snapToGrid w:val="0"/>
              <w:spacing w:before="0" w:after="0" w:line="240" w:lineRule="auto"/>
              <w:jc w:val="center"/>
              <w:textAlignment w:val="center"/>
              <w:rPr>
                <w:rFonts w:hint="default" w:ascii="Times New Roman" w:hAnsi="Times New Roman" w:eastAsia="宋体" w:cs="Times New Roman"/>
                <w:color w:val="000000"/>
                <w:kern w:val="0"/>
                <w:sz w:val="21"/>
                <w:szCs w:val="21"/>
                <w:lang w:bidi="ar"/>
              </w:rPr>
            </w:pP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CFF9983">
            <w:pPr>
              <w:widowControl/>
              <w:snapToGrid w:val="0"/>
              <w:spacing w:before="0" w:after="0" w:line="240" w:lineRule="auto"/>
              <w:jc w:val="center"/>
              <w:textAlignment w:val="center"/>
              <w:rPr>
                <w:rFonts w:hint="default" w:ascii="Times New Roman" w:hAnsi="Times New Roman" w:eastAsia="宋体" w:cs="Times New Roman"/>
                <w:color w:val="000000"/>
                <w:kern w:val="0"/>
                <w:sz w:val="21"/>
                <w:szCs w:val="21"/>
                <w:lang w:bidi="ar"/>
              </w:rPr>
            </w:pP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D0C677C">
            <w:pPr>
              <w:widowControl/>
              <w:snapToGrid w:val="0"/>
              <w:spacing w:before="0" w:after="0" w:line="240" w:lineRule="auto"/>
              <w:jc w:val="center"/>
              <w:textAlignment w:val="center"/>
              <w:rPr>
                <w:rFonts w:hint="default" w:ascii="Times New Roman" w:hAnsi="Times New Roman" w:eastAsia="宋体" w:cs="Times New Roman"/>
                <w:color w:val="000000"/>
                <w:kern w:val="0"/>
                <w:sz w:val="21"/>
                <w:szCs w:val="21"/>
                <w:lang w:bidi="ar"/>
              </w:rPr>
            </w:pPr>
          </w:p>
        </w:tc>
      </w:tr>
      <w:tr w14:paraId="57DB1C9D">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21E0EA7">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cs="Times New Roman"/>
              </w:rPr>
              <w:t>Female</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C4231B2">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0.017</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8502E4B">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0.012</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942785B">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1.017</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705B75F">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[0.994, 1.041]</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45905E1E">
            <w:pPr>
              <w:widowControl/>
              <w:snapToGrid w:val="0"/>
              <w:spacing w:before="0" w:after="0" w:line="240" w:lineRule="auto"/>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lang w:bidi="ar"/>
              </w:rPr>
              <w:t>0.139</w:t>
            </w:r>
          </w:p>
        </w:tc>
      </w:tr>
      <w:tr w14:paraId="2BEC143E">
        <w:tblPrEx>
          <w:tblCellMar>
            <w:top w:w="0" w:type="dxa"/>
            <w:left w:w="108" w:type="dxa"/>
            <w:bottom w:w="0" w:type="dxa"/>
            <w:right w:w="108" w:type="dxa"/>
          </w:tblCellMar>
        </w:tblPrEx>
        <w:trPr>
          <w:cantSplit/>
          <w:trHeight w:val="283" w:hRule="exact"/>
          <w:jc w:val="center"/>
        </w:trPr>
        <w:tc>
          <w:tcPr>
            <w:tcW w:w="9003" w:type="dxa"/>
            <w:gridSpan w:val="6"/>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F98BB5E">
            <w:pPr>
              <w:widowControl/>
              <w:snapToGrid w:val="0"/>
              <w:spacing w:before="0" w:after="0" w:line="240" w:lineRule="auto"/>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b/>
                <w:color w:val="000000"/>
                <w:kern w:val="0"/>
                <w:sz w:val="21"/>
                <w:szCs w:val="21"/>
                <w:lang w:bidi="ar"/>
              </w:rPr>
              <w:t>Discipline (Ref: NS)</w:t>
            </w:r>
          </w:p>
        </w:tc>
      </w:tr>
      <w:tr w14:paraId="375F90ED">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89C0706">
            <w:pPr>
              <w:widowControl/>
              <w:snapToGrid w:val="0"/>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ENG</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DA8A5EB">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-0.092</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55A98AA">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0.015</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49F475D">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0.912</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BC5ADE9">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[0.886, 0.939]</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5648C05">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r w14:paraId="6B4E95ED">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F83D8F1">
            <w:pPr>
              <w:widowControl/>
              <w:snapToGrid w:val="0"/>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MH</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125F515">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-0.169</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24A9DCB">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0.017</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E502014">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0.845</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BB00B04">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[0.818, 0.873]</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3007FBF">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r w14:paraId="3272968A">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333151F">
            <w:pPr>
              <w:widowControl/>
              <w:snapToGrid w:val="0"/>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SS</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ED4E03A">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-0.074</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D6B895D">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0.026</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7CACCC0">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0.929</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319ACEF">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[0.883, 0.977]</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028C04C">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0.004</w:t>
            </w:r>
          </w:p>
        </w:tc>
      </w:tr>
      <w:tr w14:paraId="5899D03B">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403E2E9">
            <w:pPr>
              <w:widowControl/>
              <w:snapToGrid w:val="0"/>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HA</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0E44F37">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-0.127</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A7D7BA5">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0.034</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1899830">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0.881</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048470F">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[0.824, 0.941]</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FC6915F">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r w14:paraId="549392C6">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00B948C">
            <w:pPr>
              <w:widowControl/>
              <w:snapToGrid w:val="0"/>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ED</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0C660DD">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-0.080</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3CFF230">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0.019</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2EBB4D9">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0.923</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5987BDB">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[0.889, 0.959]</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4EE1AB70">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r w14:paraId="2B5D29A2">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1391D76">
            <w:pPr>
              <w:widowControl/>
              <w:snapToGrid w:val="0"/>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LF</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07BDD46">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0.208</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B5D3B68">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0.028</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500B4C4">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1.231</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C073C82">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[1.165, 1.300]</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55B9A48">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r w14:paraId="2FCEF6B9">
        <w:tblPrEx>
          <w:tblCellMar>
            <w:top w:w="0" w:type="dxa"/>
            <w:left w:w="108" w:type="dxa"/>
            <w:bottom w:w="0" w:type="dxa"/>
            <w:right w:w="108" w:type="dxa"/>
          </w:tblCellMar>
        </w:tblPrEx>
        <w:trPr>
          <w:cantSplit/>
          <w:trHeight w:val="283" w:hRule="exact"/>
          <w:jc w:val="center"/>
        </w:trPr>
        <w:tc>
          <w:tcPr>
            <w:tcW w:w="9003" w:type="dxa"/>
            <w:gridSpan w:val="6"/>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E3DC411">
            <w:pPr>
              <w:widowControl/>
              <w:snapToGrid w:val="0"/>
              <w:spacing w:before="0" w:after="0" w:line="240" w:lineRule="auto"/>
              <w:jc w:val="left"/>
              <w:textAlignment w:val="center"/>
              <w:rPr>
                <w:rFonts w:hint="default" w:ascii="Times New Roman" w:hAnsi="Times New Roman" w:eastAsia="宋体" w:cs="Times New Roman"/>
                <w:b/>
                <w:bCs/>
                <w:color w:val="000000"/>
                <w:kern w:val="0"/>
                <w:sz w:val="21"/>
                <w:szCs w:val="21"/>
                <w:lang w:bidi="ar"/>
              </w:rPr>
            </w:pPr>
            <w:r>
              <w:rPr>
                <w:rFonts w:hint="default" w:ascii="Times New Roman" w:hAnsi="Times New Roman" w:eastAsia="宋体" w:cs="Times New Roman"/>
                <w:b/>
                <w:bCs/>
                <w:color w:val="000000"/>
                <w:kern w:val="0"/>
                <w:sz w:val="21"/>
                <w:szCs w:val="21"/>
                <w:lang w:bidi="ar"/>
              </w:rPr>
              <w:t>Country (Ref: AU)</w:t>
            </w:r>
          </w:p>
        </w:tc>
      </w:tr>
      <w:tr w14:paraId="2796651C">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7DF673F">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rPr>
              <w:t>Brazil</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54730EF">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-1.926</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175583E">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0.04</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54008E3">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0.146</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57115D5">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[0.135, 0.158]</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463BBADC">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r w14:paraId="733D298D">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61C9373">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rPr>
              <w:t>Germany</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470CC84">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-0.846</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98CA744">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0.043</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495F312">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0.429</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0D72962">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[0.395, 0.467]</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18F23F7">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r w14:paraId="4352682F">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631FE47">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rPr>
              <w:t>Spain</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A7E8177">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-1.277</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F4B4EED">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0.042</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60CF3AE">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0.279</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1E15997">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[0.257, 0.303]</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43F58EDE">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r w14:paraId="0499AE38">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FC3C441">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rPr>
              <w:t>United Kingdom</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CDDF09C">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0.103</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9008465">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0.032</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3A35BA6">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1.108</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36F32C8">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[1.041, 1.180]</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5A9255A">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0.001</w:t>
            </w:r>
          </w:p>
        </w:tc>
      </w:tr>
      <w:tr w14:paraId="6EE5907B">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A08D20A">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rPr>
              <w:t>India</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BC10D05">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-2.261</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FC2E706">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0.053</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7414C70">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0.104</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EF4BF17">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[0.094, 0.116]</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800F4B8">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r w14:paraId="2E144599">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60A0FDE">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rPr>
              <w:t>Italy</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195BE3A">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-0.903</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C0FE232">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0.050</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771A057">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0.405</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49411BE">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[0.368, 0.447]</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83D872E">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r w14:paraId="7F5FF6B9">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D4120FB">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rPr>
              <w:t>Mexico</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6807BB0">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-2.960</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6A2F6B5">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0.131</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A71362D">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0.052</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ADA989E">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[0.040, 0.067]</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363A646">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r w14:paraId="5724DA01">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371B330">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rPr>
              <w:t>Other countries/regions</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8CFB451">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-1.052</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C1279DD">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0.028</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42C9A6B">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0.349</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816640D">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[0.331, 0.369]</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4D48CB0">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r w14:paraId="2A219BB1">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50F7161">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rPr>
              <w:t>Türkiye</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A0C033E">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-2.226</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532F9ED">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0.059</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EB47800">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0.108</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E844FF9">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[0.096, 0.121]</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29BFBAD">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r w14:paraId="727B63EB">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194074F">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rPr>
              <w:t>United States</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9D400A3">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-0.333</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1BADCED">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0.028</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F725065">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0.717</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C7236E2">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[0.679, 0.756]</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A8CBA07">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r w14:paraId="30F8DD31">
        <w:tblPrEx>
          <w:tblCellMar>
            <w:top w:w="0" w:type="dxa"/>
            <w:left w:w="108" w:type="dxa"/>
            <w:bottom w:w="0" w:type="dxa"/>
            <w:right w:w="108" w:type="dxa"/>
          </w:tblCellMar>
        </w:tblPrEx>
        <w:trPr>
          <w:cantSplit/>
          <w:trHeight w:val="283" w:hRule="exact"/>
          <w:jc w:val="center"/>
        </w:trPr>
        <w:tc>
          <w:tcPr>
            <w:tcW w:w="27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CAB8258">
            <w:pPr>
              <w:widowControl/>
              <w:spacing w:before="0" w:after="0" w:line="240" w:lineRule="auto"/>
              <w:jc w:val="left"/>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cs="Times New Roman"/>
                <w:b/>
                <w:bCs/>
              </w:rPr>
              <w:t>Constant</w:t>
            </w:r>
          </w:p>
        </w:tc>
        <w:tc>
          <w:tcPr>
            <w:tcW w:w="9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7B6BA6F">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-0.698</w:t>
            </w:r>
          </w:p>
        </w:tc>
        <w:tc>
          <w:tcPr>
            <w:tcW w:w="13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439AF3D">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0.055</w:t>
            </w:r>
          </w:p>
        </w:tc>
        <w:tc>
          <w:tcPr>
            <w:tcW w:w="8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88A57B2">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0.498</w:t>
            </w:r>
          </w:p>
        </w:tc>
        <w:tc>
          <w:tcPr>
            <w:tcW w:w="21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08F1494">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[0.447, 0.554]</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2F417FB">
            <w:pPr>
              <w:widowControl/>
              <w:spacing w:before="0" w:after="0" w:line="240" w:lineRule="auto"/>
              <w:jc w:val="center"/>
              <w:textAlignment w:val="center"/>
              <w:rPr>
                <w:rFonts w:hint="default" w:ascii="Times New Roman" w:hAnsi="Times New Roman" w:eastAsia="宋体" w:cs="Times New Roman"/>
                <w:color w:val="000000"/>
                <w:kern w:val="0"/>
                <w:sz w:val="21"/>
                <w:szCs w:val="21"/>
                <w:lang w:bidi="ar"/>
              </w:rPr>
            </w:pPr>
            <w:r>
              <w:rPr>
                <w:rFonts w:hint="default" w:ascii="Times New Roman" w:hAnsi="Times New Roman" w:eastAsia="宋体" w:cs="Times New Roman"/>
                <w:color w:val="000000"/>
                <w:kern w:val="0"/>
                <w:sz w:val="21"/>
                <w:szCs w:val="21"/>
                <w:lang w:bidi="ar"/>
              </w:rPr>
              <w:t>&lt;0.001</w:t>
            </w:r>
          </w:p>
        </w:tc>
      </w:tr>
    </w:tbl>
    <w:p w14:paraId="5829D8C8">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The dependent variable equals one for current employment at an elite university. The model is estimated by logit with heteroskedasticity-robust standard errors. Because the model includes interactions between elite doctoral education and doctoral-completion period, the elite-doctorate main effect represents the association in the 1985–1994 reference period; period main effects represent changes among non-elite doctorate holders relative to 1985–1994; and interaction terms represent additional period-specific changes in the elite-doctorate association. Interaction-term odds ratios are ratios of odds ratios, not the complete period-specific odds ratios for elite doctoral education.</w:t>
      </w:r>
    </w:p>
    <w:p w14:paraId="45B7B7C3">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Adjusted probabilities and average marginal effects by doctoral-completion period</w:t>
      </w:r>
    </w:p>
    <w:tbl>
      <w:tblPr>
        <w:tblStyle w:val="5"/>
        <w:tblW w:w="0" w:type="auto"/>
        <w:jc w:val="center"/>
        <w:tblLayout w:type="fixed"/>
        <w:tblCellMar>
          <w:top w:w="0" w:type="dxa"/>
          <w:left w:w="108" w:type="dxa"/>
          <w:bottom w:w="0" w:type="dxa"/>
          <w:right w:w="108" w:type="dxa"/>
        </w:tblCellMar>
      </w:tblPr>
      <w:tblGrid>
        <w:gridCol w:w="1169"/>
        <w:gridCol w:w="1902"/>
        <w:gridCol w:w="2003"/>
        <w:gridCol w:w="1587"/>
        <w:gridCol w:w="1614"/>
        <w:gridCol w:w="951"/>
      </w:tblGrid>
      <w:tr w14:paraId="42C8BC25">
        <w:tblPrEx>
          <w:tblCellMar>
            <w:top w:w="0" w:type="dxa"/>
            <w:left w:w="108" w:type="dxa"/>
            <w:bottom w:w="0" w:type="dxa"/>
            <w:right w:w="108" w:type="dxa"/>
          </w:tblCellMar>
        </w:tblPrEx>
        <w:trPr>
          <w:cantSplit/>
          <w:trHeight w:val="283" w:hRule="atLeast"/>
          <w:tblHeader/>
          <w:jc w:val="center"/>
        </w:trPr>
        <w:tc>
          <w:tcPr>
            <w:tcW w:w="1169" w:type="dxa"/>
            <w:tcBorders>
              <w:top w:val="single" w:color="auto" w:sz="4" w:space="0"/>
              <w:left w:val="single" w:color="auto" w:sz="4" w:space="0"/>
              <w:bottom w:val="nil"/>
              <w:right w:val="nil"/>
            </w:tcBorders>
            <w:tcMar>
              <w:top w:w="-1" w:type="dxa"/>
              <w:left w:w="-1" w:type="dxa"/>
              <w:bottom w:w="-1" w:type="dxa"/>
              <w:right w:w="-1" w:type="dxa"/>
            </w:tcMar>
            <w:vAlign w:val="center"/>
          </w:tcPr>
          <w:p w14:paraId="15105382">
            <w:pPr>
              <w:widowControl/>
              <w:snapToGrid w:val="0"/>
              <w:spacing w:before="0" w:after="0" w:line="240" w:lineRule="auto"/>
              <w:jc w:val="center"/>
              <w:textAlignment w:val="center"/>
              <w:rPr>
                <w:rFonts w:hint="default" w:ascii="Times New Roman" w:hAnsi="Times New Roman" w:eastAsia="宋体" w:cs="Times New Roman"/>
                <w:b/>
                <w:bCs/>
                <w:color w:val="000000"/>
                <w:szCs w:val="21"/>
              </w:rPr>
            </w:pPr>
            <w:r>
              <w:rPr>
                <w:rFonts w:hint="default" w:ascii="Times New Roman" w:hAnsi="Times New Roman" w:cs="Times New Roman"/>
                <w:b/>
                <w:bCs/>
              </w:rPr>
              <w:t>Period</w:t>
            </w:r>
          </w:p>
        </w:tc>
        <w:tc>
          <w:tcPr>
            <w:tcW w:w="1902" w:type="dxa"/>
            <w:tcBorders>
              <w:top w:val="single" w:color="auto" w:sz="4" w:space="0"/>
              <w:left w:val="single" w:color="auto" w:sz="4" w:space="0"/>
              <w:bottom w:val="nil"/>
              <w:right w:val="nil"/>
            </w:tcBorders>
            <w:tcMar>
              <w:top w:w="-1" w:type="dxa"/>
              <w:left w:w="-1" w:type="dxa"/>
              <w:bottom w:w="-1" w:type="dxa"/>
              <w:right w:w="-1" w:type="dxa"/>
            </w:tcMar>
            <w:vAlign w:val="center"/>
          </w:tcPr>
          <w:p w14:paraId="180B5E17">
            <w:pPr>
              <w:widowControl/>
              <w:snapToGrid w:val="0"/>
              <w:spacing w:before="0" w:after="0" w:line="240" w:lineRule="auto"/>
              <w:jc w:val="center"/>
              <w:textAlignment w:val="center"/>
              <w:rPr>
                <w:rFonts w:hint="default" w:ascii="Times New Roman" w:hAnsi="Times New Roman" w:eastAsia="宋体" w:cs="Times New Roman"/>
                <w:b/>
                <w:bCs/>
                <w:color w:val="000000"/>
                <w:kern w:val="0"/>
                <w:szCs w:val="21"/>
                <w:lang w:bidi="ar"/>
              </w:rPr>
            </w:pPr>
            <w:r>
              <w:rPr>
                <w:rFonts w:hint="default" w:ascii="Times New Roman" w:hAnsi="Times New Roman" w:cs="Times New Roman"/>
                <w:b/>
                <w:bCs/>
              </w:rPr>
              <w:t>Non-elite doctorateadjusted probability</w:t>
            </w:r>
          </w:p>
          <w:p w14:paraId="40729E86">
            <w:pPr>
              <w:widowControl/>
              <w:snapToGrid w:val="0"/>
              <w:spacing w:before="0" w:after="0" w:line="240" w:lineRule="auto"/>
              <w:jc w:val="center"/>
              <w:textAlignment w:val="center"/>
              <w:rPr>
                <w:rFonts w:hint="default" w:ascii="Times New Roman" w:hAnsi="Times New Roman" w:eastAsia="宋体" w:cs="Times New Roman"/>
                <w:b/>
                <w:bCs/>
                <w:color w:val="000000"/>
                <w:szCs w:val="21"/>
              </w:rPr>
            </w:pPr>
            <w:r>
              <w:rPr>
                <w:rFonts w:hint="default" w:ascii="Times New Roman" w:hAnsi="Times New Roman" w:eastAsia="宋体" w:cs="Times New Roman"/>
                <w:b/>
                <w:bCs/>
                <w:color w:val="000000"/>
                <w:kern w:val="0"/>
                <w:szCs w:val="21"/>
                <w:lang w:bidi="ar"/>
              </w:rPr>
              <w:t>（%）</w:t>
            </w:r>
          </w:p>
        </w:tc>
        <w:tc>
          <w:tcPr>
            <w:tcW w:w="2003" w:type="dxa"/>
            <w:tcBorders>
              <w:top w:val="single" w:color="auto" w:sz="4" w:space="0"/>
              <w:left w:val="single" w:color="auto" w:sz="4" w:space="0"/>
              <w:bottom w:val="nil"/>
              <w:right w:val="nil"/>
            </w:tcBorders>
            <w:tcMar>
              <w:top w:w="-1" w:type="dxa"/>
              <w:left w:w="-1" w:type="dxa"/>
              <w:bottom w:w="-1" w:type="dxa"/>
              <w:right w:w="-1" w:type="dxa"/>
            </w:tcMar>
            <w:vAlign w:val="center"/>
          </w:tcPr>
          <w:p w14:paraId="163DD0C6">
            <w:pPr>
              <w:widowControl/>
              <w:snapToGrid w:val="0"/>
              <w:spacing w:before="0" w:after="0" w:line="240" w:lineRule="auto"/>
              <w:jc w:val="center"/>
              <w:textAlignment w:val="center"/>
              <w:rPr>
                <w:rFonts w:hint="default" w:ascii="Times New Roman" w:hAnsi="Times New Roman" w:eastAsia="宋体" w:cs="Times New Roman"/>
                <w:b/>
                <w:bCs/>
                <w:color w:val="000000"/>
                <w:kern w:val="0"/>
                <w:szCs w:val="21"/>
                <w:lang w:bidi="ar"/>
              </w:rPr>
            </w:pPr>
            <w:r>
              <w:rPr>
                <w:rFonts w:hint="default" w:ascii="Times New Roman" w:hAnsi="Times New Roman" w:cs="Times New Roman"/>
                <w:b/>
                <w:bCs/>
              </w:rPr>
              <w:t>Elite doctorateadjusted probability</w:t>
            </w:r>
          </w:p>
          <w:p w14:paraId="3B857430">
            <w:pPr>
              <w:widowControl/>
              <w:snapToGrid w:val="0"/>
              <w:spacing w:before="0" w:after="0" w:line="240" w:lineRule="auto"/>
              <w:jc w:val="center"/>
              <w:textAlignment w:val="center"/>
              <w:rPr>
                <w:rFonts w:hint="default" w:ascii="Times New Roman" w:hAnsi="Times New Roman" w:eastAsia="宋体" w:cs="Times New Roman"/>
                <w:b/>
                <w:bCs/>
                <w:color w:val="000000"/>
                <w:szCs w:val="21"/>
              </w:rPr>
            </w:pPr>
            <w:r>
              <w:rPr>
                <w:rFonts w:hint="default" w:ascii="Times New Roman" w:hAnsi="Times New Roman" w:eastAsia="宋体" w:cs="Times New Roman"/>
                <w:b/>
                <w:bCs/>
                <w:color w:val="000000"/>
                <w:kern w:val="0"/>
                <w:szCs w:val="21"/>
                <w:lang w:bidi="ar"/>
              </w:rPr>
              <w:t>（%）</w:t>
            </w:r>
          </w:p>
        </w:tc>
        <w:tc>
          <w:tcPr>
            <w:tcW w:w="1587" w:type="dxa"/>
            <w:tcBorders>
              <w:top w:val="single" w:color="auto" w:sz="4" w:space="0"/>
              <w:left w:val="single" w:color="auto" w:sz="4" w:space="0"/>
              <w:bottom w:val="nil"/>
              <w:right w:val="nil"/>
            </w:tcBorders>
            <w:tcMar>
              <w:top w:w="-1" w:type="dxa"/>
              <w:left w:w="-1" w:type="dxa"/>
              <w:bottom w:w="-1" w:type="dxa"/>
              <w:right w:w="-1" w:type="dxa"/>
            </w:tcMar>
            <w:vAlign w:val="center"/>
          </w:tcPr>
          <w:p w14:paraId="79854814">
            <w:pPr>
              <w:widowControl/>
              <w:snapToGrid w:val="0"/>
              <w:spacing w:before="0" w:after="0" w:line="240" w:lineRule="auto"/>
              <w:jc w:val="center"/>
              <w:textAlignment w:val="center"/>
              <w:rPr>
                <w:rFonts w:hint="default" w:ascii="Times New Roman" w:hAnsi="Times New Roman" w:cs="Times New Roman"/>
                <w:b/>
                <w:bCs/>
              </w:rPr>
            </w:pPr>
            <w:r>
              <w:rPr>
                <w:rFonts w:hint="default" w:ascii="Times New Roman" w:hAnsi="Times New Roman" w:cs="Times New Roman"/>
                <w:b/>
                <w:bCs/>
              </w:rPr>
              <w:t>AME of elite doctorate (pp)</w:t>
            </w:r>
          </w:p>
          <w:p w14:paraId="73F4BCFC">
            <w:pPr>
              <w:widowControl/>
              <w:snapToGrid w:val="0"/>
              <w:spacing w:before="0" w:after="0" w:line="240" w:lineRule="auto"/>
              <w:jc w:val="center"/>
              <w:textAlignment w:val="center"/>
              <w:rPr>
                <w:rFonts w:hint="default" w:ascii="Times New Roman" w:hAnsi="Times New Roman" w:eastAsia="宋体" w:cs="Times New Roman"/>
                <w:b/>
                <w:bCs/>
                <w:color w:val="000000"/>
                <w:szCs w:val="21"/>
              </w:rPr>
            </w:pPr>
            <w:r>
              <w:rPr>
                <w:rFonts w:hint="default" w:ascii="Times New Roman" w:hAnsi="Times New Roman" w:cs="Times New Roman"/>
                <w:b/>
                <w:bCs/>
              </w:rPr>
              <w:t>(pp)</w:t>
            </w:r>
          </w:p>
        </w:tc>
        <w:tc>
          <w:tcPr>
            <w:tcW w:w="1614" w:type="dxa"/>
            <w:tcBorders>
              <w:top w:val="single" w:color="auto" w:sz="4" w:space="0"/>
              <w:left w:val="single" w:color="auto" w:sz="4" w:space="0"/>
              <w:bottom w:val="nil"/>
              <w:right w:val="nil"/>
            </w:tcBorders>
            <w:tcMar>
              <w:top w:w="-1" w:type="dxa"/>
              <w:left w:w="-1" w:type="dxa"/>
              <w:bottom w:w="-1" w:type="dxa"/>
              <w:right w:w="-1" w:type="dxa"/>
            </w:tcMar>
            <w:vAlign w:val="center"/>
          </w:tcPr>
          <w:p w14:paraId="6673F23A">
            <w:pPr>
              <w:widowControl/>
              <w:snapToGrid w:val="0"/>
              <w:spacing w:before="0" w:after="0" w:line="240" w:lineRule="auto"/>
              <w:jc w:val="center"/>
              <w:textAlignment w:val="center"/>
              <w:rPr>
                <w:rFonts w:hint="default" w:ascii="Times New Roman" w:hAnsi="Times New Roman" w:eastAsia="宋体" w:cs="Times New Roman"/>
                <w:b/>
                <w:bCs/>
                <w:color w:val="000000"/>
                <w:szCs w:val="21"/>
              </w:rPr>
            </w:pPr>
            <w:r>
              <w:rPr>
                <w:rFonts w:hint="default" w:ascii="Times New Roman" w:hAnsi="Times New Roman" w:cs="Times New Roman"/>
                <w:b/>
                <w:bCs/>
              </w:rPr>
              <w:t>AME 95% CI</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891628C">
            <w:pPr>
              <w:widowControl/>
              <w:snapToGrid w:val="0"/>
              <w:spacing w:before="0" w:after="0" w:line="240" w:lineRule="auto"/>
              <w:jc w:val="center"/>
              <w:textAlignment w:val="center"/>
              <w:rPr>
                <w:rFonts w:hint="default" w:ascii="Times New Roman" w:hAnsi="Times New Roman" w:eastAsia="宋体" w:cs="Times New Roman"/>
                <w:b/>
                <w:bCs/>
                <w:color w:val="000000"/>
                <w:szCs w:val="21"/>
              </w:rPr>
            </w:pPr>
            <w:r>
              <w:rPr>
                <w:rFonts w:hint="default" w:ascii="Times New Roman" w:hAnsi="Times New Roman" w:cs="Times New Roman"/>
                <w:b/>
                <w:bCs/>
              </w:rPr>
              <w:t>p-value</w:t>
            </w:r>
          </w:p>
        </w:tc>
      </w:tr>
      <w:tr w14:paraId="23DA0825">
        <w:tblPrEx>
          <w:tblCellMar>
            <w:top w:w="0" w:type="dxa"/>
            <w:left w:w="108" w:type="dxa"/>
            <w:bottom w:w="0" w:type="dxa"/>
            <w:right w:w="108" w:type="dxa"/>
          </w:tblCellMar>
        </w:tblPrEx>
        <w:trPr>
          <w:cantSplit/>
          <w:trHeight w:val="283" w:hRule="atLeast"/>
          <w:jc w:val="center"/>
        </w:trPr>
        <w:tc>
          <w:tcPr>
            <w:tcW w:w="1169" w:type="dxa"/>
            <w:tcBorders>
              <w:top w:val="single" w:color="auto" w:sz="4" w:space="0"/>
              <w:left w:val="single" w:color="auto" w:sz="4" w:space="0"/>
              <w:bottom w:val="nil"/>
              <w:right w:val="nil"/>
            </w:tcBorders>
            <w:tcMar>
              <w:top w:w="-1" w:type="dxa"/>
              <w:left w:w="-1" w:type="dxa"/>
              <w:bottom w:w="-1" w:type="dxa"/>
              <w:right w:w="-1" w:type="dxa"/>
            </w:tcMar>
            <w:vAlign w:val="center"/>
          </w:tcPr>
          <w:p w14:paraId="1A777446">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1985–1994</w:t>
            </w:r>
          </w:p>
        </w:tc>
        <w:tc>
          <w:tcPr>
            <w:tcW w:w="1902" w:type="dxa"/>
            <w:tcBorders>
              <w:top w:val="single" w:color="auto" w:sz="4" w:space="0"/>
              <w:left w:val="single" w:color="auto" w:sz="4" w:space="0"/>
              <w:bottom w:val="nil"/>
              <w:right w:val="nil"/>
            </w:tcBorders>
            <w:tcMar>
              <w:top w:w="-1" w:type="dxa"/>
              <w:left w:w="-1" w:type="dxa"/>
              <w:bottom w:w="-1" w:type="dxa"/>
              <w:right w:w="-1" w:type="dxa"/>
            </w:tcMar>
            <w:vAlign w:val="center"/>
          </w:tcPr>
          <w:p w14:paraId="2A05CC04">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22.12</w:t>
            </w:r>
          </w:p>
        </w:tc>
        <w:tc>
          <w:tcPr>
            <w:tcW w:w="2003" w:type="dxa"/>
            <w:tcBorders>
              <w:top w:val="single" w:color="auto" w:sz="4" w:space="0"/>
              <w:left w:val="single" w:color="auto" w:sz="4" w:space="0"/>
              <w:bottom w:val="nil"/>
              <w:right w:val="nil"/>
            </w:tcBorders>
            <w:tcMar>
              <w:top w:w="-1" w:type="dxa"/>
              <w:left w:w="-1" w:type="dxa"/>
              <w:bottom w:w="-1" w:type="dxa"/>
              <w:right w:w="-1" w:type="dxa"/>
            </w:tcMar>
            <w:vAlign w:val="center"/>
          </w:tcPr>
          <w:p w14:paraId="2B4D219C">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35.10</w:t>
            </w:r>
          </w:p>
        </w:tc>
        <w:tc>
          <w:tcPr>
            <w:tcW w:w="1587" w:type="dxa"/>
            <w:tcBorders>
              <w:top w:val="single" w:color="auto" w:sz="4" w:space="0"/>
              <w:left w:val="single" w:color="auto" w:sz="4" w:space="0"/>
              <w:bottom w:val="nil"/>
              <w:right w:val="nil"/>
            </w:tcBorders>
            <w:tcMar>
              <w:top w:w="-1" w:type="dxa"/>
              <w:left w:w="-1" w:type="dxa"/>
              <w:bottom w:w="-1" w:type="dxa"/>
              <w:right w:w="-1" w:type="dxa"/>
            </w:tcMar>
            <w:vAlign w:val="center"/>
          </w:tcPr>
          <w:p w14:paraId="68B78D77">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12.98</w:t>
            </w:r>
          </w:p>
        </w:tc>
        <w:tc>
          <w:tcPr>
            <w:tcW w:w="1614" w:type="dxa"/>
            <w:tcBorders>
              <w:top w:val="single" w:color="auto" w:sz="4" w:space="0"/>
              <w:left w:val="single" w:color="auto" w:sz="4" w:space="0"/>
              <w:bottom w:val="nil"/>
              <w:right w:val="nil"/>
            </w:tcBorders>
            <w:tcMar>
              <w:top w:w="-1" w:type="dxa"/>
              <w:left w:w="-1" w:type="dxa"/>
              <w:bottom w:w="-1" w:type="dxa"/>
              <w:right w:w="-1" w:type="dxa"/>
            </w:tcMar>
            <w:vAlign w:val="center"/>
          </w:tcPr>
          <w:p w14:paraId="17AF5EFF">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[11.20, 14.75]</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9CAD201">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&lt;0.001</w:t>
            </w:r>
          </w:p>
        </w:tc>
      </w:tr>
      <w:tr w14:paraId="0E47D91B">
        <w:tblPrEx>
          <w:tblCellMar>
            <w:top w:w="0" w:type="dxa"/>
            <w:left w:w="108" w:type="dxa"/>
            <w:bottom w:w="0" w:type="dxa"/>
            <w:right w:w="108" w:type="dxa"/>
          </w:tblCellMar>
        </w:tblPrEx>
        <w:trPr>
          <w:cantSplit/>
          <w:trHeight w:val="283" w:hRule="atLeast"/>
          <w:jc w:val="center"/>
        </w:trPr>
        <w:tc>
          <w:tcPr>
            <w:tcW w:w="1169" w:type="dxa"/>
            <w:tcBorders>
              <w:top w:val="single" w:color="auto" w:sz="4" w:space="0"/>
              <w:left w:val="single" w:color="auto" w:sz="4" w:space="0"/>
              <w:bottom w:val="nil"/>
              <w:right w:val="nil"/>
            </w:tcBorders>
            <w:tcMar>
              <w:top w:w="-1" w:type="dxa"/>
              <w:left w:w="-1" w:type="dxa"/>
              <w:bottom w:w="-1" w:type="dxa"/>
              <w:right w:w="-1" w:type="dxa"/>
            </w:tcMar>
            <w:vAlign w:val="center"/>
          </w:tcPr>
          <w:p w14:paraId="1E978388">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1995–2004</w:t>
            </w:r>
          </w:p>
        </w:tc>
        <w:tc>
          <w:tcPr>
            <w:tcW w:w="1902" w:type="dxa"/>
            <w:tcBorders>
              <w:top w:val="single" w:color="auto" w:sz="4" w:space="0"/>
              <w:left w:val="single" w:color="auto" w:sz="4" w:space="0"/>
              <w:bottom w:val="nil"/>
              <w:right w:val="nil"/>
            </w:tcBorders>
            <w:tcMar>
              <w:top w:w="-1" w:type="dxa"/>
              <w:left w:w="-1" w:type="dxa"/>
              <w:bottom w:w="-1" w:type="dxa"/>
              <w:right w:w="-1" w:type="dxa"/>
            </w:tcMar>
            <w:vAlign w:val="center"/>
          </w:tcPr>
          <w:p w14:paraId="710BF9F1">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19.65</w:t>
            </w:r>
          </w:p>
        </w:tc>
        <w:tc>
          <w:tcPr>
            <w:tcW w:w="2003" w:type="dxa"/>
            <w:tcBorders>
              <w:top w:val="single" w:color="auto" w:sz="4" w:space="0"/>
              <w:left w:val="single" w:color="auto" w:sz="4" w:space="0"/>
              <w:bottom w:val="nil"/>
              <w:right w:val="nil"/>
            </w:tcBorders>
            <w:tcMar>
              <w:top w:w="-1" w:type="dxa"/>
              <w:left w:w="-1" w:type="dxa"/>
              <w:bottom w:w="-1" w:type="dxa"/>
              <w:right w:w="-1" w:type="dxa"/>
            </w:tcMar>
            <w:vAlign w:val="center"/>
          </w:tcPr>
          <w:p w14:paraId="78E23710">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35.70</w:t>
            </w:r>
          </w:p>
        </w:tc>
        <w:tc>
          <w:tcPr>
            <w:tcW w:w="1587" w:type="dxa"/>
            <w:tcBorders>
              <w:top w:val="single" w:color="auto" w:sz="4" w:space="0"/>
              <w:left w:val="single" w:color="auto" w:sz="4" w:space="0"/>
              <w:bottom w:val="nil"/>
              <w:right w:val="nil"/>
            </w:tcBorders>
            <w:tcMar>
              <w:top w:w="-1" w:type="dxa"/>
              <w:left w:w="-1" w:type="dxa"/>
              <w:bottom w:w="-1" w:type="dxa"/>
              <w:right w:w="-1" w:type="dxa"/>
            </w:tcMar>
            <w:vAlign w:val="center"/>
          </w:tcPr>
          <w:p w14:paraId="7D012120">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16.05</w:t>
            </w:r>
          </w:p>
        </w:tc>
        <w:tc>
          <w:tcPr>
            <w:tcW w:w="1614" w:type="dxa"/>
            <w:tcBorders>
              <w:top w:val="single" w:color="auto" w:sz="4" w:space="0"/>
              <w:left w:val="single" w:color="auto" w:sz="4" w:space="0"/>
              <w:bottom w:val="nil"/>
              <w:right w:val="nil"/>
            </w:tcBorders>
            <w:tcMar>
              <w:top w:w="-1" w:type="dxa"/>
              <w:left w:w="-1" w:type="dxa"/>
              <w:bottom w:w="-1" w:type="dxa"/>
              <w:right w:w="-1" w:type="dxa"/>
            </w:tcMar>
            <w:vAlign w:val="center"/>
          </w:tcPr>
          <w:p w14:paraId="28AB1251">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[14.90, 17.19]</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FC1A328">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&lt;0.001</w:t>
            </w:r>
          </w:p>
        </w:tc>
      </w:tr>
      <w:tr w14:paraId="3BFE6DEF">
        <w:tblPrEx>
          <w:tblCellMar>
            <w:top w:w="0" w:type="dxa"/>
            <w:left w:w="108" w:type="dxa"/>
            <w:bottom w:w="0" w:type="dxa"/>
            <w:right w:w="108" w:type="dxa"/>
          </w:tblCellMar>
        </w:tblPrEx>
        <w:trPr>
          <w:cantSplit/>
          <w:trHeight w:val="283" w:hRule="atLeast"/>
          <w:jc w:val="center"/>
        </w:trPr>
        <w:tc>
          <w:tcPr>
            <w:tcW w:w="1169" w:type="dxa"/>
            <w:tcBorders>
              <w:top w:val="single" w:color="auto" w:sz="4" w:space="0"/>
              <w:left w:val="single" w:color="auto" w:sz="4" w:space="0"/>
              <w:bottom w:val="nil"/>
              <w:right w:val="nil"/>
            </w:tcBorders>
            <w:tcMar>
              <w:top w:w="-1" w:type="dxa"/>
              <w:left w:w="-1" w:type="dxa"/>
              <w:bottom w:w="-1" w:type="dxa"/>
              <w:right w:w="-1" w:type="dxa"/>
            </w:tcMar>
            <w:vAlign w:val="center"/>
          </w:tcPr>
          <w:p w14:paraId="009DD949">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2005–2014</w:t>
            </w:r>
          </w:p>
        </w:tc>
        <w:tc>
          <w:tcPr>
            <w:tcW w:w="1902" w:type="dxa"/>
            <w:tcBorders>
              <w:top w:val="single" w:color="auto" w:sz="4" w:space="0"/>
              <w:left w:val="single" w:color="auto" w:sz="4" w:space="0"/>
              <w:bottom w:val="nil"/>
              <w:right w:val="nil"/>
            </w:tcBorders>
            <w:tcMar>
              <w:top w:w="-1" w:type="dxa"/>
              <w:left w:w="-1" w:type="dxa"/>
              <w:bottom w:w="-1" w:type="dxa"/>
              <w:right w:w="-1" w:type="dxa"/>
            </w:tcMar>
            <w:vAlign w:val="center"/>
          </w:tcPr>
          <w:p w14:paraId="2CA68B3F">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17.14</w:t>
            </w:r>
          </w:p>
        </w:tc>
        <w:tc>
          <w:tcPr>
            <w:tcW w:w="2003" w:type="dxa"/>
            <w:tcBorders>
              <w:top w:val="single" w:color="auto" w:sz="4" w:space="0"/>
              <w:left w:val="single" w:color="auto" w:sz="4" w:space="0"/>
              <w:bottom w:val="nil"/>
              <w:right w:val="nil"/>
            </w:tcBorders>
            <w:tcMar>
              <w:top w:w="-1" w:type="dxa"/>
              <w:left w:w="-1" w:type="dxa"/>
              <w:bottom w:w="-1" w:type="dxa"/>
              <w:right w:w="-1" w:type="dxa"/>
            </w:tcMar>
            <w:vAlign w:val="center"/>
          </w:tcPr>
          <w:p w14:paraId="38B0CA7A">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38.00</w:t>
            </w:r>
          </w:p>
        </w:tc>
        <w:tc>
          <w:tcPr>
            <w:tcW w:w="1587" w:type="dxa"/>
            <w:tcBorders>
              <w:top w:val="single" w:color="auto" w:sz="4" w:space="0"/>
              <w:left w:val="single" w:color="auto" w:sz="4" w:space="0"/>
              <w:bottom w:val="nil"/>
              <w:right w:val="nil"/>
            </w:tcBorders>
            <w:tcMar>
              <w:top w:w="-1" w:type="dxa"/>
              <w:left w:w="-1" w:type="dxa"/>
              <w:bottom w:w="-1" w:type="dxa"/>
              <w:right w:w="-1" w:type="dxa"/>
            </w:tcMar>
            <w:vAlign w:val="center"/>
          </w:tcPr>
          <w:p w14:paraId="1320D51C">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20.85</w:t>
            </w:r>
          </w:p>
        </w:tc>
        <w:tc>
          <w:tcPr>
            <w:tcW w:w="1614" w:type="dxa"/>
            <w:tcBorders>
              <w:top w:val="single" w:color="auto" w:sz="4" w:space="0"/>
              <w:left w:val="single" w:color="auto" w:sz="4" w:space="0"/>
              <w:bottom w:val="nil"/>
              <w:right w:val="nil"/>
            </w:tcBorders>
            <w:tcMar>
              <w:top w:w="-1" w:type="dxa"/>
              <w:left w:w="-1" w:type="dxa"/>
              <w:bottom w:w="-1" w:type="dxa"/>
              <w:right w:w="-1" w:type="dxa"/>
            </w:tcMar>
            <w:vAlign w:val="center"/>
          </w:tcPr>
          <w:p w14:paraId="469B7DDA">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[20.13, 21.58]</w:t>
            </w:r>
          </w:p>
        </w:tc>
        <w:tc>
          <w:tcPr>
            <w:tcW w:w="95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7C7584A">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&lt;0.001</w:t>
            </w:r>
          </w:p>
        </w:tc>
      </w:tr>
      <w:tr w14:paraId="72221E8B">
        <w:tblPrEx>
          <w:tblCellMar>
            <w:top w:w="0" w:type="dxa"/>
            <w:left w:w="108" w:type="dxa"/>
            <w:bottom w:w="0" w:type="dxa"/>
            <w:right w:w="108" w:type="dxa"/>
          </w:tblCellMar>
        </w:tblPrEx>
        <w:trPr>
          <w:cantSplit/>
          <w:trHeight w:val="283" w:hRule="atLeast"/>
          <w:jc w:val="center"/>
        </w:trPr>
        <w:tc>
          <w:tcPr>
            <w:tcW w:w="116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DE6F9BD">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2015–2023</w:t>
            </w:r>
          </w:p>
        </w:tc>
        <w:tc>
          <w:tcPr>
            <w:tcW w:w="190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69FFF57">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14.34</w:t>
            </w:r>
          </w:p>
        </w:tc>
        <w:tc>
          <w:tcPr>
            <w:tcW w:w="200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C846D85">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39.86</w:t>
            </w:r>
          </w:p>
        </w:tc>
        <w:tc>
          <w:tcPr>
            <w:tcW w:w="158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9F80F34">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25.51</w:t>
            </w:r>
          </w:p>
        </w:tc>
        <w:tc>
          <w:tcPr>
            <w:tcW w:w="161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9702E75">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[24.99, 26.04]</w:t>
            </w:r>
          </w:p>
        </w:tc>
        <w:tc>
          <w:tcPr>
            <w:tcW w:w="95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3D2BDCE">
            <w:pPr>
              <w:widowControl/>
              <w:snapToGrid w:val="0"/>
              <w:spacing w:before="0" w:after="0" w:line="240" w:lineRule="auto"/>
              <w:jc w:val="center"/>
              <w:textAlignment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kern w:val="0"/>
                <w:szCs w:val="21"/>
                <w:lang w:bidi="ar"/>
              </w:rPr>
              <w:t>&lt;0.001</w:t>
            </w:r>
          </w:p>
        </w:tc>
      </w:tr>
    </w:tbl>
    <w:p w14:paraId="1E3B4BA1">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Average predicted probabilities and average marginal effects are calculated from the logit interaction model in Appendix Table 10, Panel A. Predictions retain the observed values of all control variables and are averaged across individuals. The p-value tests whether the average marginal effect of elite versus non-elite doctoral education equals zero within each period</w:t>
      </w:r>
      <w:r>
        <w:rPr>
          <w:rFonts w:hint="default" w:ascii="Times New Roman" w:hAnsi="Times New Roman" w:cs="Times New Roman"/>
          <w:b w:val="0"/>
          <w:i w:val="0"/>
          <w:sz w:val="20"/>
          <w:szCs w:val="28"/>
          <w:lang w:val="en-US" w:eastAsia="zh-CN"/>
        </w:rPr>
        <w:t>.</w:t>
      </w:r>
    </w:p>
    <w:p w14:paraId="56407213">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C. Pairwise comparisons of period-specific average marginal effects</w:t>
      </w:r>
    </w:p>
    <w:tbl>
      <w:tblPr>
        <w:tblStyle w:val="5"/>
        <w:tblW w:w="0" w:type="auto"/>
        <w:jc w:val="center"/>
        <w:tblLayout w:type="fixed"/>
        <w:tblCellMar>
          <w:top w:w="0" w:type="dxa"/>
          <w:left w:w="108" w:type="dxa"/>
          <w:bottom w:w="0" w:type="dxa"/>
          <w:right w:w="108" w:type="dxa"/>
        </w:tblCellMar>
      </w:tblPr>
      <w:tblGrid>
        <w:gridCol w:w="2464"/>
        <w:gridCol w:w="1671"/>
        <w:gridCol w:w="1172"/>
        <w:gridCol w:w="1588"/>
        <w:gridCol w:w="849"/>
        <w:gridCol w:w="969"/>
      </w:tblGrid>
      <w:tr w14:paraId="15095A1C">
        <w:tblPrEx>
          <w:tblCellMar>
            <w:top w:w="0" w:type="dxa"/>
            <w:left w:w="108" w:type="dxa"/>
            <w:bottom w:w="0" w:type="dxa"/>
            <w:right w:w="108" w:type="dxa"/>
          </w:tblCellMar>
        </w:tblPrEx>
        <w:trPr>
          <w:cantSplit/>
          <w:trHeight w:val="283" w:hRule="atLeast"/>
          <w:tblHeader/>
          <w:jc w:val="center"/>
        </w:trPr>
        <w:tc>
          <w:tcPr>
            <w:tcW w:w="2464" w:type="dxa"/>
            <w:tcBorders>
              <w:top w:val="single" w:color="auto" w:sz="4" w:space="0"/>
              <w:left w:val="single" w:color="auto" w:sz="4" w:space="0"/>
              <w:bottom w:val="nil"/>
              <w:right w:val="nil"/>
            </w:tcBorders>
            <w:tcMar>
              <w:top w:w="-1" w:type="dxa"/>
              <w:left w:w="-1" w:type="dxa"/>
              <w:bottom w:w="-1" w:type="dxa"/>
              <w:right w:w="-1" w:type="dxa"/>
            </w:tcMar>
            <w:vAlign w:val="center"/>
          </w:tcPr>
          <w:p w14:paraId="1F066E04">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Period comparison</w:t>
            </w:r>
          </w:p>
        </w:tc>
        <w:tc>
          <w:tcPr>
            <w:tcW w:w="1671" w:type="dxa"/>
            <w:tcBorders>
              <w:top w:val="single" w:color="auto" w:sz="4" w:space="0"/>
              <w:left w:val="single" w:color="auto" w:sz="4" w:space="0"/>
              <w:bottom w:val="nil"/>
              <w:right w:val="nil"/>
            </w:tcBorders>
            <w:tcMar>
              <w:top w:w="-1" w:type="dxa"/>
              <w:left w:w="-1" w:type="dxa"/>
              <w:bottom w:w="-1" w:type="dxa"/>
              <w:right w:w="-1" w:type="dxa"/>
            </w:tcMar>
            <w:vAlign w:val="center"/>
          </w:tcPr>
          <w:p w14:paraId="36B2A167">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Difference in AMEs (pp)</w:t>
            </w:r>
          </w:p>
        </w:tc>
        <w:tc>
          <w:tcPr>
            <w:tcW w:w="1172" w:type="dxa"/>
            <w:tcBorders>
              <w:top w:val="single" w:color="auto" w:sz="4" w:space="0"/>
              <w:left w:val="single" w:color="auto" w:sz="4" w:space="0"/>
              <w:bottom w:val="nil"/>
              <w:right w:val="nil"/>
            </w:tcBorders>
            <w:tcMar>
              <w:top w:w="-1" w:type="dxa"/>
              <w:left w:w="-1" w:type="dxa"/>
              <w:bottom w:w="-1" w:type="dxa"/>
              <w:right w:w="-1" w:type="dxa"/>
            </w:tcMar>
            <w:vAlign w:val="center"/>
          </w:tcPr>
          <w:p w14:paraId="5C0BDFF6">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SE</w:t>
            </w:r>
          </w:p>
          <w:p w14:paraId="4C57F398">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1588" w:type="dxa"/>
            <w:tcBorders>
              <w:top w:val="single" w:color="auto" w:sz="4" w:space="0"/>
              <w:left w:val="single" w:color="auto" w:sz="4" w:space="0"/>
              <w:bottom w:val="nil"/>
              <w:right w:val="nil"/>
            </w:tcBorders>
            <w:tcMar>
              <w:top w:w="-1" w:type="dxa"/>
              <w:left w:w="-1" w:type="dxa"/>
              <w:bottom w:w="-1" w:type="dxa"/>
              <w:right w:w="-1" w:type="dxa"/>
            </w:tcMar>
            <w:vAlign w:val="center"/>
          </w:tcPr>
          <w:p w14:paraId="5301EF6C">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w:t>
            </w:r>
          </w:p>
          <w:p w14:paraId="3A130FF5">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849" w:type="dxa"/>
            <w:tcBorders>
              <w:top w:val="single" w:color="auto" w:sz="4" w:space="0"/>
              <w:left w:val="single" w:color="auto" w:sz="4" w:space="0"/>
              <w:bottom w:val="nil"/>
              <w:right w:val="nil"/>
            </w:tcBorders>
            <w:tcMar>
              <w:top w:w="-1" w:type="dxa"/>
              <w:left w:w="-1" w:type="dxa"/>
              <w:bottom w:w="-1" w:type="dxa"/>
              <w:right w:w="-1" w:type="dxa"/>
            </w:tcMar>
            <w:vAlign w:val="center"/>
          </w:tcPr>
          <w:p w14:paraId="627A3C0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z</w:t>
            </w:r>
          </w:p>
        </w:tc>
        <w:tc>
          <w:tcPr>
            <w:tcW w:w="969"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877DC58">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r>
      <w:tr w14:paraId="4AFBA0A1">
        <w:tblPrEx>
          <w:tblCellMar>
            <w:top w:w="0" w:type="dxa"/>
            <w:left w:w="108" w:type="dxa"/>
            <w:bottom w:w="0" w:type="dxa"/>
            <w:right w:w="108" w:type="dxa"/>
          </w:tblCellMar>
        </w:tblPrEx>
        <w:trPr>
          <w:cantSplit/>
          <w:trHeight w:val="283" w:hRule="atLeast"/>
          <w:jc w:val="center"/>
        </w:trPr>
        <w:tc>
          <w:tcPr>
            <w:tcW w:w="2464" w:type="dxa"/>
            <w:tcBorders>
              <w:top w:val="single" w:color="auto" w:sz="4" w:space="0"/>
              <w:left w:val="single" w:color="auto" w:sz="4" w:space="0"/>
              <w:bottom w:val="nil"/>
              <w:right w:val="nil"/>
            </w:tcBorders>
            <w:tcMar>
              <w:top w:w="-1" w:type="dxa"/>
              <w:left w:w="-1" w:type="dxa"/>
              <w:bottom w:w="-1" w:type="dxa"/>
              <w:right w:w="-1" w:type="dxa"/>
            </w:tcMar>
            <w:vAlign w:val="center"/>
          </w:tcPr>
          <w:p w14:paraId="4EF7F9A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1995–2004 vs 1985–1994</w:t>
            </w:r>
          </w:p>
        </w:tc>
        <w:tc>
          <w:tcPr>
            <w:tcW w:w="1671" w:type="dxa"/>
            <w:tcBorders>
              <w:top w:val="single" w:color="auto" w:sz="4" w:space="0"/>
              <w:left w:val="single" w:color="auto" w:sz="4" w:space="0"/>
              <w:bottom w:val="nil"/>
              <w:right w:val="nil"/>
            </w:tcBorders>
            <w:tcMar>
              <w:top w:w="-1" w:type="dxa"/>
              <w:left w:w="-1" w:type="dxa"/>
              <w:bottom w:w="-1" w:type="dxa"/>
              <w:right w:w="-1" w:type="dxa"/>
            </w:tcMar>
            <w:vAlign w:val="center"/>
          </w:tcPr>
          <w:p w14:paraId="4D921EE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3.07</w:t>
            </w:r>
          </w:p>
        </w:tc>
        <w:tc>
          <w:tcPr>
            <w:tcW w:w="1172" w:type="dxa"/>
            <w:tcBorders>
              <w:top w:val="single" w:color="auto" w:sz="4" w:space="0"/>
              <w:left w:val="single" w:color="auto" w:sz="4" w:space="0"/>
              <w:bottom w:val="nil"/>
              <w:right w:val="nil"/>
            </w:tcBorders>
            <w:tcMar>
              <w:top w:w="-1" w:type="dxa"/>
              <w:left w:w="-1" w:type="dxa"/>
              <w:bottom w:w="-1" w:type="dxa"/>
              <w:right w:w="-1" w:type="dxa"/>
            </w:tcMar>
            <w:vAlign w:val="center"/>
          </w:tcPr>
          <w:p w14:paraId="09BF284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1.07</w:t>
            </w:r>
          </w:p>
        </w:tc>
        <w:tc>
          <w:tcPr>
            <w:tcW w:w="1588" w:type="dxa"/>
            <w:tcBorders>
              <w:top w:val="single" w:color="auto" w:sz="4" w:space="0"/>
              <w:left w:val="single" w:color="auto" w:sz="4" w:space="0"/>
              <w:bottom w:val="nil"/>
              <w:right w:val="nil"/>
            </w:tcBorders>
            <w:tcMar>
              <w:top w:w="-1" w:type="dxa"/>
              <w:left w:w="-1" w:type="dxa"/>
              <w:bottom w:w="-1" w:type="dxa"/>
              <w:right w:w="-1" w:type="dxa"/>
            </w:tcMar>
            <w:vAlign w:val="center"/>
          </w:tcPr>
          <w:p w14:paraId="125CECD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[0.97, 5.17]</w:t>
            </w:r>
          </w:p>
        </w:tc>
        <w:tc>
          <w:tcPr>
            <w:tcW w:w="849" w:type="dxa"/>
            <w:tcBorders>
              <w:top w:val="single" w:color="auto" w:sz="4" w:space="0"/>
              <w:left w:val="single" w:color="auto" w:sz="4" w:space="0"/>
              <w:bottom w:val="nil"/>
              <w:right w:val="nil"/>
            </w:tcBorders>
            <w:tcMar>
              <w:top w:w="-1" w:type="dxa"/>
              <w:left w:w="-1" w:type="dxa"/>
              <w:bottom w:w="-1" w:type="dxa"/>
              <w:right w:w="-1" w:type="dxa"/>
            </w:tcMar>
            <w:vAlign w:val="center"/>
          </w:tcPr>
          <w:p w14:paraId="2AEBB28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2.86</w:t>
            </w:r>
          </w:p>
        </w:tc>
        <w:tc>
          <w:tcPr>
            <w:tcW w:w="969"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CCD361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0.004</w:t>
            </w:r>
          </w:p>
        </w:tc>
      </w:tr>
      <w:tr w14:paraId="120B73F6">
        <w:tblPrEx>
          <w:tblCellMar>
            <w:top w:w="0" w:type="dxa"/>
            <w:left w:w="108" w:type="dxa"/>
            <w:bottom w:w="0" w:type="dxa"/>
            <w:right w:w="108" w:type="dxa"/>
          </w:tblCellMar>
        </w:tblPrEx>
        <w:trPr>
          <w:cantSplit/>
          <w:trHeight w:val="283" w:hRule="atLeast"/>
          <w:jc w:val="center"/>
        </w:trPr>
        <w:tc>
          <w:tcPr>
            <w:tcW w:w="2464" w:type="dxa"/>
            <w:tcBorders>
              <w:top w:val="single" w:color="auto" w:sz="4" w:space="0"/>
              <w:left w:val="single" w:color="auto" w:sz="4" w:space="0"/>
              <w:bottom w:val="nil"/>
              <w:right w:val="nil"/>
            </w:tcBorders>
            <w:tcMar>
              <w:top w:w="-1" w:type="dxa"/>
              <w:left w:w="-1" w:type="dxa"/>
              <w:bottom w:w="-1" w:type="dxa"/>
              <w:right w:w="-1" w:type="dxa"/>
            </w:tcMar>
            <w:vAlign w:val="center"/>
          </w:tcPr>
          <w:p w14:paraId="25E9296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2005–2014 vs 1985–1994</w:t>
            </w:r>
          </w:p>
        </w:tc>
        <w:tc>
          <w:tcPr>
            <w:tcW w:w="1671" w:type="dxa"/>
            <w:tcBorders>
              <w:top w:val="single" w:color="auto" w:sz="4" w:space="0"/>
              <w:left w:val="single" w:color="auto" w:sz="4" w:space="0"/>
              <w:bottom w:val="nil"/>
              <w:right w:val="nil"/>
            </w:tcBorders>
            <w:tcMar>
              <w:top w:w="-1" w:type="dxa"/>
              <w:left w:w="-1" w:type="dxa"/>
              <w:bottom w:w="-1" w:type="dxa"/>
              <w:right w:w="-1" w:type="dxa"/>
            </w:tcMar>
            <w:vAlign w:val="center"/>
          </w:tcPr>
          <w:p w14:paraId="234D18B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7.88</w:t>
            </w:r>
          </w:p>
        </w:tc>
        <w:tc>
          <w:tcPr>
            <w:tcW w:w="1172" w:type="dxa"/>
            <w:tcBorders>
              <w:top w:val="single" w:color="auto" w:sz="4" w:space="0"/>
              <w:left w:val="single" w:color="auto" w:sz="4" w:space="0"/>
              <w:bottom w:val="nil"/>
              <w:right w:val="nil"/>
            </w:tcBorders>
            <w:tcMar>
              <w:top w:w="-1" w:type="dxa"/>
              <w:left w:w="-1" w:type="dxa"/>
              <w:bottom w:w="-1" w:type="dxa"/>
              <w:right w:w="-1" w:type="dxa"/>
            </w:tcMar>
            <w:vAlign w:val="center"/>
          </w:tcPr>
          <w:p w14:paraId="0338D10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0.97</w:t>
            </w:r>
          </w:p>
        </w:tc>
        <w:tc>
          <w:tcPr>
            <w:tcW w:w="1588" w:type="dxa"/>
            <w:tcBorders>
              <w:top w:val="single" w:color="auto" w:sz="4" w:space="0"/>
              <w:left w:val="single" w:color="auto" w:sz="4" w:space="0"/>
              <w:bottom w:val="nil"/>
              <w:right w:val="nil"/>
            </w:tcBorders>
            <w:tcMar>
              <w:top w:w="-1" w:type="dxa"/>
              <w:left w:w="-1" w:type="dxa"/>
              <w:bottom w:w="-1" w:type="dxa"/>
              <w:right w:w="-1" w:type="dxa"/>
            </w:tcMar>
            <w:vAlign w:val="center"/>
          </w:tcPr>
          <w:p w14:paraId="0F2D2AC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[5.98, 9.78]</w:t>
            </w:r>
          </w:p>
        </w:tc>
        <w:tc>
          <w:tcPr>
            <w:tcW w:w="849" w:type="dxa"/>
            <w:tcBorders>
              <w:top w:val="single" w:color="auto" w:sz="4" w:space="0"/>
              <w:left w:val="single" w:color="auto" w:sz="4" w:space="0"/>
              <w:bottom w:val="nil"/>
              <w:right w:val="nil"/>
            </w:tcBorders>
            <w:tcMar>
              <w:top w:w="-1" w:type="dxa"/>
              <w:left w:w="-1" w:type="dxa"/>
              <w:bottom w:w="-1" w:type="dxa"/>
              <w:right w:w="-1" w:type="dxa"/>
            </w:tcMar>
            <w:vAlign w:val="center"/>
          </w:tcPr>
          <w:p w14:paraId="6CCD55E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8.12</w:t>
            </w:r>
          </w:p>
        </w:tc>
        <w:tc>
          <w:tcPr>
            <w:tcW w:w="969"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C2A2B4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0378E79F">
        <w:tblPrEx>
          <w:tblCellMar>
            <w:top w:w="0" w:type="dxa"/>
            <w:left w:w="108" w:type="dxa"/>
            <w:bottom w:w="0" w:type="dxa"/>
            <w:right w:w="108" w:type="dxa"/>
          </w:tblCellMar>
        </w:tblPrEx>
        <w:trPr>
          <w:cantSplit/>
          <w:trHeight w:val="283" w:hRule="atLeast"/>
          <w:jc w:val="center"/>
        </w:trPr>
        <w:tc>
          <w:tcPr>
            <w:tcW w:w="2464" w:type="dxa"/>
            <w:tcBorders>
              <w:top w:val="single" w:color="auto" w:sz="4" w:space="0"/>
              <w:left w:val="single" w:color="auto" w:sz="4" w:space="0"/>
              <w:bottom w:val="nil"/>
              <w:right w:val="nil"/>
            </w:tcBorders>
            <w:tcMar>
              <w:top w:w="-1" w:type="dxa"/>
              <w:left w:w="-1" w:type="dxa"/>
              <w:bottom w:w="-1" w:type="dxa"/>
              <w:right w:w="-1" w:type="dxa"/>
            </w:tcMar>
            <w:vAlign w:val="center"/>
          </w:tcPr>
          <w:p w14:paraId="0D8494E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2015–2023 vs 1985–1994</w:t>
            </w:r>
          </w:p>
        </w:tc>
        <w:tc>
          <w:tcPr>
            <w:tcW w:w="1671" w:type="dxa"/>
            <w:tcBorders>
              <w:top w:val="single" w:color="auto" w:sz="4" w:space="0"/>
              <w:left w:val="single" w:color="auto" w:sz="4" w:space="0"/>
              <w:bottom w:val="nil"/>
              <w:right w:val="nil"/>
            </w:tcBorders>
            <w:tcMar>
              <w:top w:w="-1" w:type="dxa"/>
              <w:left w:w="-1" w:type="dxa"/>
              <w:bottom w:w="-1" w:type="dxa"/>
              <w:right w:w="-1" w:type="dxa"/>
            </w:tcMar>
            <w:vAlign w:val="center"/>
          </w:tcPr>
          <w:p w14:paraId="2F32E15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12.54</w:t>
            </w:r>
          </w:p>
        </w:tc>
        <w:tc>
          <w:tcPr>
            <w:tcW w:w="1172" w:type="dxa"/>
            <w:tcBorders>
              <w:top w:val="single" w:color="auto" w:sz="4" w:space="0"/>
              <w:left w:val="single" w:color="auto" w:sz="4" w:space="0"/>
              <w:bottom w:val="nil"/>
              <w:right w:val="nil"/>
            </w:tcBorders>
            <w:tcMar>
              <w:top w:w="-1" w:type="dxa"/>
              <w:left w:w="-1" w:type="dxa"/>
              <w:bottom w:w="-1" w:type="dxa"/>
              <w:right w:w="-1" w:type="dxa"/>
            </w:tcMar>
            <w:vAlign w:val="center"/>
          </w:tcPr>
          <w:p w14:paraId="76CC2CA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0.94</w:t>
            </w:r>
          </w:p>
        </w:tc>
        <w:tc>
          <w:tcPr>
            <w:tcW w:w="1588" w:type="dxa"/>
            <w:tcBorders>
              <w:top w:val="single" w:color="auto" w:sz="4" w:space="0"/>
              <w:left w:val="single" w:color="auto" w:sz="4" w:space="0"/>
              <w:bottom w:val="nil"/>
              <w:right w:val="nil"/>
            </w:tcBorders>
            <w:tcMar>
              <w:top w:w="-1" w:type="dxa"/>
              <w:left w:w="-1" w:type="dxa"/>
              <w:bottom w:w="-1" w:type="dxa"/>
              <w:right w:w="-1" w:type="dxa"/>
            </w:tcMar>
            <w:vAlign w:val="center"/>
          </w:tcPr>
          <w:p w14:paraId="5B4DAF4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[10.70, 14.38]</w:t>
            </w:r>
          </w:p>
        </w:tc>
        <w:tc>
          <w:tcPr>
            <w:tcW w:w="849" w:type="dxa"/>
            <w:tcBorders>
              <w:top w:val="single" w:color="auto" w:sz="4" w:space="0"/>
              <w:left w:val="single" w:color="auto" w:sz="4" w:space="0"/>
              <w:bottom w:val="nil"/>
              <w:right w:val="nil"/>
            </w:tcBorders>
            <w:tcMar>
              <w:top w:w="-1" w:type="dxa"/>
              <w:left w:w="-1" w:type="dxa"/>
              <w:bottom w:w="-1" w:type="dxa"/>
              <w:right w:w="-1" w:type="dxa"/>
            </w:tcMar>
            <w:vAlign w:val="center"/>
          </w:tcPr>
          <w:p w14:paraId="7E4FC1F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13.37</w:t>
            </w:r>
          </w:p>
        </w:tc>
        <w:tc>
          <w:tcPr>
            <w:tcW w:w="969"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C71258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3B6A95F3">
        <w:tblPrEx>
          <w:tblCellMar>
            <w:top w:w="0" w:type="dxa"/>
            <w:left w:w="108" w:type="dxa"/>
            <w:bottom w:w="0" w:type="dxa"/>
            <w:right w:w="108" w:type="dxa"/>
          </w:tblCellMar>
        </w:tblPrEx>
        <w:trPr>
          <w:cantSplit/>
          <w:trHeight w:val="283" w:hRule="atLeast"/>
          <w:jc w:val="center"/>
        </w:trPr>
        <w:tc>
          <w:tcPr>
            <w:tcW w:w="2464" w:type="dxa"/>
            <w:tcBorders>
              <w:top w:val="single" w:color="auto" w:sz="4" w:space="0"/>
              <w:left w:val="single" w:color="auto" w:sz="4" w:space="0"/>
              <w:bottom w:val="nil"/>
              <w:right w:val="nil"/>
            </w:tcBorders>
            <w:tcMar>
              <w:top w:w="-1" w:type="dxa"/>
              <w:left w:w="-1" w:type="dxa"/>
              <w:bottom w:w="-1" w:type="dxa"/>
              <w:right w:w="-1" w:type="dxa"/>
            </w:tcMar>
            <w:vAlign w:val="center"/>
          </w:tcPr>
          <w:p w14:paraId="0C4EB9A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2005–2014 vs 1995–2004</w:t>
            </w:r>
          </w:p>
        </w:tc>
        <w:tc>
          <w:tcPr>
            <w:tcW w:w="1671" w:type="dxa"/>
            <w:tcBorders>
              <w:top w:val="single" w:color="auto" w:sz="4" w:space="0"/>
              <w:left w:val="single" w:color="auto" w:sz="4" w:space="0"/>
              <w:bottom w:val="nil"/>
              <w:right w:val="nil"/>
            </w:tcBorders>
            <w:tcMar>
              <w:top w:w="-1" w:type="dxa"/>
              <w:left w:w="-1" w:type="dxa"/>
              <w:bottom w:w="-1" w:type="dxa"/>
              <w:right w:w="-1" w:type="dxa"/>
            </w:tcMar>
            <w:vAlign w:val="center"/>
          </w:tcPr>
          <w:p w14:paraId="19EA8C7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4.81</w:t>
            </w:r>
          </w:p>
        </w:tc>
        <w:tc>
          <w:tcPr>
            <w:tcW w:w="1172" w:type="dxa"/>
            <w:tcBorders>
              <w:top w:val="single" w:color="auto" w:sz="4" w:space="0"/>
              <w:left w:val="single" w:color="auto" w:sz="4" w:space="0"/>
              <w:bottom w:val="nil"/>
              <w:right w:val="nil"/>
            </w:tcBorders>
            <w:tcMar>
              <w:top w:w="-1" w:type="dxa"/>
              <w:left w:w="-1" w:type="dxa"/>
              <w:bottom w:w="-1" w:type="dxa"/>
              <w:right w:w="-1" w:type="dxa"/>
            </w:tcMar>
            <w:vAlign w:val="center"/>
          </w:tcPr>
          <w:p w14:paraId="084E43D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0.68</w:t>
            </w:r>
          </w:p>
        </w:tc>
        <w:tc>
          <w:tcPr>
            <w:tcW w:w="1588" w:type="dxa"/>
            <w:tcBorders>
              <w:top w:val="single" w:color="auto" w:sz="4" w:space="0"/>
              <w:left w:val="single" w:color="auto" w:sz="4" w:space="0"/>
              <w:bottom w:val="nil"/>
              <w:right w:val="nil"/>
            </w:tcBorders>
            <w:tcMar>
              <w:top w:w="-1" w:type="dxa"/>
              <w:left w:w="-1" w:type="dxa"/>
              <w:bottom w:w="-1" w:type="dxa"/>
              <w:right w:w="-1" w:type="dxa"/>
            </w:tcMar>
            <w:vAlign w:val="center"/>
          </w:tcPr>
          <w:p w14:paraId="4C84D41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[3.48, 6.14]</w:t>
            </w:r>
          </w:p>
        </w:tc>
        <w:tc>
          <w:tcPr>
            <w:tcW w:w="849" w:type="dxa"/>
            <w:tcBorders>
              <w:top w:val="single" w:color="auto" w:sz="4" w:space="0"/>
              <w:left w:val="single" w:color="auto" w:sz="4" w:space="0"/>
              <w:bottom w:val="nil"/>
              <w:right w:val="nil"/>
            </w:tcBorders>
            <w:tcMar>
              <w:top w:w="-1" w:type="dxa"/>
              <w:left w:w="-1" w:type="dxa"/>
              <w:bottom w:w="-1" w:type="dxa"/>
              <w:right w:w="-1" w:type="dxa"/>
            </w:tcMar>
            <w:vAlign w:val="center"/>
          </w:tcPr>
          <w:p w14:paraId="366DAEA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7.09</w:t>
            </w:r>
          </w:p>
        </w:tc>
        <w:tc>
          <w:tcPr>
            <w:tcW w:w="969"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F374DF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79119661">
        <w:tblPrEx>
          <w:tblCellMar>
            <w:top w:w="0" w:type="dxa"/>
            <w:left w:w="108" w:type="dxa"/>
            <w:bottom w:w="0" w:type="dxa"/>
            <w:right w:w="108" w:type="dxa"/>
          </w:tblCellMar>
        </w:tblPrEx>
        <w:trPr>
          <w:cantSplit/>
          <w:trHeight w:val="283" w:hRule="atLeast"/>
          <w:jc w:val="center"/>
        </w:trPr>
        <w:tc>
          <w:tcPr>
            <w:tcW w:w="2464" w:type="dxa"/>
            <w:tcBorders>
              <w:top w:val="single" w:color="auto" w:sz="4" w:space="0"/>
              <w:left w:val="single" w:color="auto" w:sz="4" w:space="0"/>
              <w:bottom w:val="nil"/>
              <w:right w:val="nil"/>
            </w:tcBorders>
            <w:tcMar>
              <w:top w:w="-1" w:type="dxa"/>
              <w:left w:w="-1" w:type="dxa"/>
              <w:bottom w:w="-1" w:type="dxa"/>
              <w:right w:w="-1" w:type="dxa"/>
            </w:tcMar>
            <w:vAlign w:val="center"/>
          </w:tcPr>
          <w:p w14:paraId="23E0A8B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2015–2023 vs 1995–2004</w:t>
            </w:r>
          </w:p>
        </w:tc>
        <w:tc>
          <w:tcPr>
            <w:tcW w:w="1671" w:type="dxa"/>
            <w:tcBorders>
              <w:top w:val="single" w:color="auto" w:sz="4" w:space="0"/>
              <w:left w:val="single" w:color="auto" w:sz="4" w:space="0"/>
              <w:bottom w:val="nil"/>
              <w:right w:val="nil"/>
            </w:tcBorders>
            <w:tcMar>
              <w:top w:w="-1" w:type="dxa"/>
              <w:left w:w="-1" w:type="dxa"/>
              <w:bottom w:w="-1" w:type="dxa"/>
              <w:right w:w="-1" w:type="dxa"/>
            </w:tcMar>
            <w:vAlign w:val="center"/>
          </w:tcPr>
          <w:p w14:paraId="39DF0A1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9.47</w:t>
            </w:r>
          </w:p>
        </w:tc>
        <w:tc>
          <w:tcPr>
            <w:tcW w:w="1172" w:type="dxa"/>
            <w:tcBorders>
              <w:top w:val="single" w:color="auto" w:sz="4" w:space="0"/>
              <w:left w:val="single" w:color="auto" w:sz="4" w:space="0"/>
              <w:bottom w:val="nil"/>
              <w:right w:val="nil"/>
            </w:tcBorders>
            <w:tcMar>
              <w:top w:w="-1" w:type="dxa"/>
              <w:left w:w="-1" w:type="dxa"/>
              <w:bottom w:w="-1" w:type="dxa"/>
              <w:right w:w="-1" w:type="dxa"/>
            </w:tcMar>
            <w:vAlign w:val="center"/>
          </w:tcPr>
          <w:p w14:paraId="089275D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0.63</w:t>
            </w:r>
          </w:p>
        </w:tc>
        <w:tc>
          <w:tcPr>
            <w:tcW w:w="1588" w:type="dxa"/>
            <w:tcBorders>
              <w:top w:val="single" w:color="auto" w:sz="4" w:space="0"/>
              <w:left w:val="single" w:color="auto" w:sz="4" w:space="0"/>
              <w:bottom w:val="nil"/>
              <w:right w:val="nil"/>
            </w:tcBorders>
            <w:tcMar>
              <w:top w:w="-1" w:type="dxa"/>
              <w:left w:w="-1" w:type="dxa"/>
              <w:bottom w:w="-1" w:type="dxa"/>
              <w:right w:w="-1" w:type="dxa"/>
            </w:tcMar>
            <w:vAlign w:val="center"/>
          </w:tcPr>
          <w:p w14:paraId="7B7B3FE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[8.23, 10.71]</w:t>
            </w:r>
          </w:p>
        </w:tc>
        <w:tc>
          <w:tcPr>
            <w:tcW w:w="849" w:type="dxa"/>
            <w:tcBorders>
              <w:top w:val="single" w:color="auto" w:sz="4" w:space="0"/>
              <w:left w:val="single" w:color="auto" w:sz="4" w:space="0"/>
              <w:bottom w:val="nil"/>
              <w:right w:val="nil"/>
            </w:tcBorders>
            <w:tcMar>
              <w:top w:w="-1" w:type="dxa"/>
              <w:left w:w="-1" w:type="dxa"/>
              <w:bottom w:w="-1" w:type="dxa"/>
              <w:right w:w="-1" w:type="dxa"/>
            </w:tcMar>
            <w:vAlign w:val="center"/>
          </w:tcPr>
          <w:p w14:paraId="192BA84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15.00</w:t>
            </w:r>
          </w:p>
        </w:tc>
        <w:tc>
          <w:tcPr>
            <w:tcW w:w="969"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AE7D12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29D30352">
        <w:tblPrEx>
          <w:tblCellMar>
            <w:top w:w="0" w:type="dxa"/>
            <w:left w:w="108" w:type="dxa"/>
            <w:bottom w:w="0" w:type="dxa"/>
            <w:right w:w="108" w:type="dxa"/>
          </w:tblCellMar>
        </w:tblPrEx>
        <w:trPr>
          <w:cantSplit/>
          <w:trHeight w:val="283" w:hRule="atLeast"/>
          <w:jc w:val="center"/>
        </w:trPr>
        <w:tc>
          <w:tcPr>
            <w:tcW w:w="246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B2E046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2015–2023 vs 2005–2014</w:t>
            </w:r>
          </w:p>
        </w:tc>
        <w:tc>
          <w:tcPr>
            <w:tcW w:w="167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F46651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4.66</w:t>
            </w:r>
          </w:p>
        </w:tc>
        <w:tc>
          <w:tcPr>
            <w:tcW w:w="117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51C16A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0.44</w:t>
            </w:r>
          </w:p>
        </w:tc>
        <w:tc>
          <w:tcPr>
            <w:tcW w:w="158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5E4B5E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[3.81, 5.51]</w:t>
            </w:r>
          </w:p>
        </w:tc>
        <w:tc>
          <w:tcPr>
            <w:tcW w:w="84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94D775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10.71</w:t>
            </w:r>
          </w:p>
        </w:tc>
        <w:tc>
          <w:tcPr>
            <w:tcW w:w="969"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D3ED46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bl>
    <w:p w14:paraId="03D89978">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table reports pairwise comparisons of the average marginal effects of elite doctoral education across doctoral-completion periods. Differences are expressed in percentage points; a positive value indicates a larger elite-doctorate advantage in the later period. The p-value tests equality of the two period-specific average marginal effects</w:t>
      </w:r>
      <w:r>
        <w:rPr>
          <w:rFonts w:hint="default" w:ascii="Times New Roman" w:hAnsi="Times New Roman" w:cs="Times New Roman"/>
          <w:b w:val="0"/>
          <w:i w:val="0"/>
          <w:sz w:val="20"/>
          <w:szCs w:val="28"/>
          <w:lang w:val="en-US" w:eastAsia="zh-CN"/>
        </w:rPr>
        <w:t>.</w:t>
      </w:r>
    </w:p>
    <w:p w14:paraId="64D3C3DB">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D. Continuous-year robustness model</w:t>
      </w:r>
    </w:p>
    <w:p w14:paraId="23ADBA6B">
      <w:pPr>
        <w:pStyle w:val="4"/>
        <w:widowControl/>
        <w:spacing w:beforeAutospacing="0" w:afterAutospacing="0" w:line="300" w:lineRule="auto"/>
        <w:ind w:firstLine="420"/>
        <w:jc w:val="both"/>
        <w:rPr>
          <w:rFonts w:hint="default" w:ascii="Times New Roman" w:hAnsi="Times New Roman" w:eastAsia="宋体" w:cs="Times New Roman"/>
          <w:b w:val="0"/>
          <w:i w:val="0"/>
          <w:szCs w:val="32"/>
          <w:lang w:val="en-US" w:eastAsia="zh-CN"/>
        </w:rPr>
      </w:pPr>
      <w:r>
        <w:rPr>
          <w:rFonts w:hint="default" w:ascii="Times New Roman" w:hAnsi="Times New Roman" w:eastAsia="宋体" w:cs="Times New Roman"/>
          <w:b w:val="0"/>
          <w:i w:val="0"/>
          <w:szCs w:val="32"/>
          <w:lang w:eastAsia="zh-CN"/>
        </w:rPr>
        <w:t>As a robustness check, doctoral-completion year was modeled continuously. The interaction between elite doctoral education and year was positive (β = 0.032, OR = 1.033, 95% CI [1.030, 1.036], p &lt; 0.001; Wald χ²(1) = 526.66), indicating that the relative odds advantage associated with elite doctoral education increased by approximately 3.3% per year. Among non-elite doctorate holders, the odds of elite-university employment declined by approximately 2.3% per year, further confirming the widening gap between the two doctoral-background groups</w:t>
      </w:r>
      <w:r>
        <w:rPr>
          <w:rFonts w:hint="default" w:ascii="Times New Roman" w:hAnsi="Times New Roman" w:eastAsia="宋体" w:cs="Times New Roman"/>
          <w:b w:val="0"/>
          <w:i w:val="0"/>
          <w:szCs w:val="32"/>
          <w:lang w:val="en-US" w:eastAsia="zh-CN"/>
        </w:rPr>
        <w:t>.</w:t>
      </w:r>
    </w:p>
    <w:p w14:paraId="747E391F">
      <w:pPr>
        <w:rPr>
          <w:rFonts w:hint="default" w:ascii="Times New Roman" w:hAnsi="Times New Roman" w:cs="Times New Roman"/>
          <w:sz w:val="20"/>
          <w:szCs w:val="20"/>
        </w:rPr>
      </w:pPr>
    </w:p>
    <w:p w14:paraId="5FE0462C">
      <w:pPr>
        <w:widowControl/>
        <w:spacing w:line="300" w:lineRule="auto"/>
        <w:rPr>
          <w:rFonts w:hint="default" w:ascii="Times New Roman" w:hAnsi="Times New Roman" w:eastAsia="宋体" w:cs="Times New Roman"/>
          <w:b/>
          <w:bCs/>
          <w:kern w:val="0"/>
          <w:sz w:val="24"/>
          <w:lang w:bidi="ar"/>
        </w:rPr>
      </w:pPr>
    </w:p>
    <w:p w14:paraId="7CD818CC">
      <w:pPr>
        <w:rPr>
          <w:rFonts w:hint="default" w:ascii="Times New Roman" w:hAnsi="Times New Roman" w:cs="Times New Roman"/>
          <w:b/>
        </w:rPr>
      </w:pPr>
      <w:r>
        <w:rPr>
          <w:rFonts w:hint="default" w:ascii="Times New Roman" w:hAnsi="Times New Roman" w:cs="Times New Roman"/>
          <w:b/>
        </w:rPr>
        <w:br w:type="page"/>
      </w:r>
    </w:p>
    <w:p w14:paraId="1AAFCDAB">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11. Temporal variation in the association between elite doctoral education and elite-university employment in the OpenAlex sample</w:t>
      </w:r>
    </w:p>
    <w:p w14:paraId="710FC73D">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Logit interaction model</w:t>
      </w:r>
    </w:p>
    <w:p w14:paraId="68F5861F">
      <w:pPr>
        <w:pStyle w:val="20"/>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N=1,813,704；Pseudo R²=0.0386</w:t>
      </w:r>
    </w:p>
    <w:tbl>
      <w:tblPr>
        <w:tblStyle w:val="5"/>
        <w:tblW w:w="0" w:type="auto"/>
        <w:jc w:val="center"/>
        <w:tblLayout w:type="fixed"/>
        <w:tblCellMar>
          <w:top w:w="0" w:type="dxa"/>
          <w:left w:w="108" w:type="dxa"/>
          <w:bottom w:w="0" w:type="dxa"/>
          <w:right w:w="108" w:type="dxa"/>
        </w:tblCellMar>
      </w:tblPr>
      <w:tblGrid>
        <w:gridCol w:w="2800"/>
        <w:gridCol w:w="1500"/>
        <w:gridCol w:w="1200"/>
        <w:gridCol w:w="1063"/>
        <w:gridCol w:w="1604"/>
        <w:gridCol w:w="1007"/>
      </w:tblGrid>
      <w:tr w14:paraId="25BF3CDF">
        <w:tblPrEx>
          <w:tblCellMar>
            <w:top w:w="0" w:type="dxa"/>
            <w:left w:w="108" w:type="dxa"/>
            <w:bottom w:w="0" w:type="dxa"/>
            <w:right w:w="108" w:type="dxa"/>
          </w:tblCellMar>
        </w:tblPrEx>
        <w:trPr>
          <w:cantSplit/>
          <w:trHeight w:val="283" w:hRule="atLeast"/>
          <w:tblHeader/>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551E3A36">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Variable</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0E550BED">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Coefficient β</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0F687F10">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Robust SE</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5589613E">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OR</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2AF8D6CF">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95% CI</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522FB2B">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p-value</w:t>
            </w:r>
          </w:p>
        </w:tc>
      </w:tr>
      <w:tr w14:paraId="6FB51372">
        <w:tblPrEx>
          <w:tblCellMar>
            <w:top w:w="0" w:type="dxa"/>
            <w:left w:w="108" w:type="dxa"/>
            <w:bottom w:w="0" w:type="dxa"/>
            <w:right w:w="108" w:type="dxa"/>
          </w:tblCellMar>
        </w:tblPrEx>
        <w:trPr>
          <w:cantSplit/>
          <w:trHeight w:val="283" w:hRule="atLeast"/>
          <w:jc w:val="center"/>
        </w:trPr>
        <w:tc>
          <w:tcPr>
            <w:tcW w:w="9174"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A0AD073">
            <w:pPr>
              <w:snapToGrid w:val="0"/>
              <w:spacing w:before="0" w:after="0" w:line="240" w:lineRule="auto"/>
              <w:jc w:val="left"/>
              <w:rPr>
                <w:rFonts w:hint="default" w:ascii="Times New Roman" w:hAnsi="Times New Roman" w:eastAsia="宋体" w:cs="Times New Roman"/>
                <w:sz w:val="21"/>
                <w:szCs w:val="21"/>
              </w:rPr>
            </w:pPr>
            <w:r>
              <w:rPr>
                <w:rFonts w:hint="default" w:ascii="Times New Roman" w:hAnsi="Times New Roman" w:cs="Times New Roman"/>
                <w:b/>
                <w:bCs/>
              </w:rPr>
              <w:t>Doctoral-background main effect (1985–1994; ref: non-elite doctorate)</w:t>
            </w:r>
          </w:p>
        </w:tc>
      </w:tr>
      <w:tr w14:paraId="017281B7">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651FCDE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 doctorate</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083F961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0.199</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5401473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0.017</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5AFFDEA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1.220</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7292CE4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[1.180, 1.262]</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16BFA4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0CD83BA4">
        <w:tblPrEx>
          <w:tblCellMar>
            <w:top w:w="0" w:type="dxa"/>
            <w:left w:w="108" w:type="dxa"/>
            <w:bottom w:w="0" w:type="dxa"/>
            <w:right w:w="108" w:type="dxa"/>
          </w:tblCellMar>
        </w:tblPrEx>
        <w:trPr>
          <w:cantSplit/>
          <w:trHeight w:val="283" w:hRule="atLeast"/>
          <w:jc w:val="center"/>
        </w:trPr>
        <w:tc>
          <w:tcPr>
            <w:tcW w:w="9174"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FB0A776">
            <w:pPr>
              <w:snapToGrid w:val="0"/>
              <w:spacing w:before="0" w:after="0" w:line="240" w:lineRule="auto"/>
              <w:jc w:val="left"/>
              <w:rPr>
                <w:rFonts w:hint="default" w:ascii="Times New Roman" w:hAnsi="Times New Roman" w:eastAsia="宋体" w:cs="Times New Roman"/>
                <w:sz w:val="21"/>
                <w:szCs w:val="21"/>
              </w:rPr>
            </w:pPr>
            <w:r>
              <w:rPr>
                <w:rFonts w:hint="default" w:ascii="Times New Roman" w:hAnsi="Times New Roman" w:cs="Times New Roman"/>
                <w:b/>
                <w:bCs/>
              </w:rPr>
              <w:t>Period main effects among non-elite doctorates (ref: 1985–1994)</w:t>
            </w:r>
          </w:p>
        </w:tc>
      </w:tr>
      <w:tr w14:paraId="0BAEEBEE">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2EA54A3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1995—2004</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7BAE768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-0.008</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40265C2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0.016</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557C28C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0.992</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18DC919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[0.961, 1.025]</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2210B3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0.642</w:t>
            </w:r>
          </w:p>
        </w:tc>
      </w:tr>
      <w:tr w14:paraId="4D224D69">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68B38F2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2005—2014</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6824FB47">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-0.068</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061AE9C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0.015</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57D4B81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0.934</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71CE78A7">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[0.907, 0.962]</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64CB8B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1FE828FB">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2703BB6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2015—2023</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6A43F7C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-0.005</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193F5F67">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0.015</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55A7DA1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0.996</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1152C0E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[0.967, 1.025]</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DA8431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0.762</w:t>
            </w:r>
          </w:p>
        </w:tc>
      </w:tr>
      <w:tr w14:paraId="00393EF5">
        <w:tblPrEx>
          <w:tblCellMar>
            <w:top w:w="0" w:type="dxa"/>
            <w:left w:w="108" w:type="dxa"/>
            <w:bottom w:w="0" w:type="dxa"/>
            <w:right w:w="108" w:type="dxa"/>
          </w:tblCellMar>
        </w:tblPrEx>
        <w:trPr>
          <w:cantSplit/>
          <w:trHeight w:val="283" w:hRule="atLeast"/>
          <w:jc w:val="center"/>
        </w:trPr>
        <w:tc>
          <w:tcPr>
            <w:tcW w:w="9174"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92024DD">
            <w:pPr>
              <w:snapToGrid w:val="0"/>
              <w:spacing w:before="0" w:after="0" w:line="240" w:lineRule="auto"/>
              <w:jc w:val="left"/>
              <w:rPr>
                <w:rFonts w:hint="default" w:ascii="Times New Roman" w:hAnsi="Times New Roman" w:eastAsia="宋体" w:cs="Times New Roman"/>
                <w:sz w:val="21"/>
                <w:szCs w:val="21"/>
              </w:rPr>
            </w:pPr>
            <w:r>
              <w:rPr>
                <w:rFonts w:hint="default" w:ascii="Times New Roman" w:hAnsi="Times New Roman" w:cs="Times New Roman"/>
                <w:b/>
                <w:bCs/>
              </w:rPr>
              <w:t>Elite doctorate × period interactions (ref: elite doctorate × 1985–1994)</w:t>
            </w:r>
          </w:p>
        </w:tc>
      </w:tr>
      <w:tr w14:paraId="0D9EC51D">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375C0D0C">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 doctorate × 1995—2004</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2746BB8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0.04</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20CA423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0.019</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7F54B0A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1.041</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150A1C6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[1.002, 1.082]</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DD9909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0.037</w:t>
            </w:r>
          </w:p>
        </w:tc>
      </w:tr>
      <w:tr w14:paraId="1285FCFF">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3994E77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 doctorate × 2005—2014</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1577172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0.073</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3A9F984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0.018</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2FA2BA1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1.076</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2F84817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[1.039, 1.114]</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499644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641CA137">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685D43F7">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 doctorate × 2015—2023</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69123B7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0.096</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3250F23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0.018</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34CA6FE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1.101</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3B15487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[1.064, 1.140]</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ED2AF0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1D868CC9">
        <w:tblPrEx>
          <w:tblCellMar>
            <w:top w:w="0" w:type="dxa"/>
            <w:left w:w="108" w:type="dxa"/>
            <w:bottom w:w="0" w:type="dxa"/>
            <w:right w:w="108" w:type="dxa"/>
          </w:tblCellMar>
        </w:tblPrEx>
        <w:trPr>
          <w:cantSplit/>
          <w:trHeight w:val="283" w:hRule="atLeast"/>
          <w:jc w:val="center"/>
        </w:trPr>
        <w:tc>
          <w:tcPr>
            <w:tcW w:w="9174"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1487127">
            <w:pPr>
              <w:snapToGrid w:val="0"/>
              <w:spacing w:before="0" w:after="0" w:line="240" w:lineRule="auto"/>
              <w:jc w:val="left"/>
              <w:rPr>
                <w:rFonts w:hint="default" w:ascii="Times New Roman" w:hAnsi="Times New Roman" w:eastAsia="宋体" w:cs="Times New Roman"/>
                <w:sz w:val="21"/>
                <w:szCs w:val="21"/>
              </w:rPr>
            </w:pPr>
            <w:r>
              <w:rPr>
                <w:rFonts w:hint="default" w:ascii="Times New Roman" w:hAnsi="Times New Roman" w:cs="Times New Roman"/>
              </w:rPr>
              <w:t>Gender (ref: Male)</w:t>
            </w:r>
          </w:p>
        </w:tc>
      </w:tr>
      <w:tr w14:paraId="77215AAA">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4685ACD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Female</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2353468C">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0.015</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746F251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0.003</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465168C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1.015</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2A0EBE9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[1.009, 1.022]</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62F359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38AFB6FC">
        <w:tblPrEx>
          <w:tblCellMar>
            <w:top w:w="0" w:type="dxa"/>
            <w:left w:w="108" w:type="dxa"/>
            <w:bottom w:w="0" w:type="dxa"/>
            <w:right w:w="108" w:type="dxa"/>
          </w:tblCellMar>
        </w:tblPrEx>
        <w:trPr>
          <w:cantSplit/>
          <w:trHeight w:val="283" w:hRule="atLeast"/>
          <w:jc w:val="center"/>
        </w:trPr>
        <w:tc>
          <w:tcPr>
            <w:tcW w:w="9174"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63CF6CB">
            <w:pPr>
              <w:snapToGrid w:val="0"/>
              <w:spacing w:before="0" w:after="0" w:line="240" w:lineRule="auto"/>
              <w:jc w:val="left"/>
              <w:rPr>
                <w:rFonts w:hint="default" w:ascii="Times New Roman" w:hAnsi="Times New Roman" w:eastAsia="宋体" w:cs="Times New Roman"/>
                <w:sz w:val="21"/>
                <w:szCs w:val="21"/>
              </w:rPr>
            </w:pPr>
            <w:r>
              <w:rPr>
                <w:rFonts w:hint="default" w:ascii="Times New Roman" w:hAnsi="Times New Roman" w:cs="Times New Roman"/>
                <w:b/>
                <w:bCs/>
              </w:rPr>
              <w:t>Discipline (ref: Natural Sciences)</w:t>
            </w:r>
          </w:p>
        </w:tc>
      </w:tr>
      <w:tr w14:paraId="6CED3C51">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15141CB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Engineering</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54DB47D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-0.103</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0FAF345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0.005</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02A624D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0.902</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6A718E8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[0.893, 0.911]</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888872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1C43E2C9">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772E267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Medicine and Health</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1D3F5C1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0.013</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1EF562C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0.004</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04154DB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1.013</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0162DD5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[1.005, 1.021]</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CEF48E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0.002</w:t>
            </w:r>
          </w:p>
        </w:tc>
      </w:tr>
      <w:tr w14:paraId="6946B7EF">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11BD490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Social Sciences</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2B4E5B1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-0.196</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0CB8FF2C">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0.005</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1EC940E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0.822</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1958E6E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[0.814, 0.831]</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659119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033955C6">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13D0B91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Applied Sciences</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58D01DD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-0.056</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5345F7B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0.007</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2A65520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0.946</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25467BD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[0.932, 0.959]</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C3CB447">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05214A88">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1A304C6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Humanities</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51EA9D1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-0.196</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26C24EE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0.011</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4D3EC9D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0.822</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7E757BDC">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[0.803, 0.840]</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7298BB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346A6579">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38B8FAE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Mathematics and Computing</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748C62A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-0.132</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4387BFA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0.007</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1185343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0.876</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3FF628B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[0.865, 0.887]</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965474C">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1D128DCC">
        <w:tblPrEx>
          <w:tblCellMar>
            <w:top w:w="0" w:type="dxa"/>
            <w:left w:w="108" w:type="dxa"/>
            <w:bottom w:w="0" w:type="dxa"/>
            <w:right w:w="108" w:type="dxa"/>
          </w:tblCellMar>
        </w:tblPrEx>
        <w:trPr>
          <w:cantSplit/>
          <w:trHeight w:val="283" w:hRule="atLeast"/>
          <w:jc w:val="center"/>
        </w:trPr>
        <w:tc>
          <w:tcPr>
            <w:tcW w:w="9174"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98A2FC5">
            <w:pPr>
              <w:snapToGrid w:val="0"/>
              <w:spacing w:before="0" w:after="0" w:line="240" w:lineRule="auto"/>
              <w:jc w:val="left"/>
              <w:rPr>
                <w:rFonts w:hint="default" w:ascii="Times New Roman" w:hAnsi="Times New Roman" w:eastAsia="宋体" w:cs="Times New Roman"/>
                <w:sz w:val="21"/>
                <w:szCs w:val="21"/>
              </w:rPr>
            </w:pPr>
            <w:r>
              <w:rPr>
                <w:rFonts w:hint="default" w:ascii="Times New Roman" w:hAnsi="Times New Roman" w:cs="Times New Roman"/>
                <w:b/>
                <w:bCs/>
              </w:rPr>
              <w:t>Employment country (ref: United States)</w:t>
            </w:r>
          </w:p>
        </w:tc>
      </w:tr>
      <w:tr w14:paraId="77621979">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2555D1C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United Kingdom</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24DBBAE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-0.008</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7B78726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0.009</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54E45C0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0.992</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57266A6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[0.974, 1.010]</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D08D47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0.375</w:t>
            </w:r>
          </w:p>
        </w:tc>
      </w:tr>
      <w:tr w14:paraId="2455DEEE">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670B4F1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France</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3CABB60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-0.266</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0A589E4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0.009</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54602C3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0.767</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3F4257A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[0.753, 0.780]</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8270F7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7691164E">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3F49B99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Germany</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0034062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0.043</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2FF53AF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0.012</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1B18100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1.044</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6DFBFD7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[1.019, 1.068]</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2A5E29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1D272451">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1FA73C8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Australia</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0941476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0.744</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7C4D133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0.017</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7687D3B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2.104</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017D02D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[2.034, 2.177]</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405BBF7">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52C5C779">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79E7F3B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Canada</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3E2684B7">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0.265</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58A3A34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0.012</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72FE3F6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1.304</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15EA455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[1.273, 1.336]</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132DBD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066113A3">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7133964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Spain</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3488105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-0.244</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584244B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0D564A2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0.783</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6D7C326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[0.768, 0.799]</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A63B4B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02F51D8C">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156BA62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Italy</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4086D12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-0.558</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70FC0E6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0.011</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17E166B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0.572</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4C192A9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[0.560, 0.585]</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950B35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690CE5AB">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1683F6B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Brazil</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1262558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-0.953</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0D0016F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0.008</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7D29A5D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0.386</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08BF892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[0.380, 0.392]</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4AD664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61F64A21">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181FBF8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China</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1BDB80C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-0.816</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03A1EA0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0.005</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7F73BEA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0.442</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3537F76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[0.438, 0.447]</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DDE85D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12AF46B5">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1FABC06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Japan</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1B025EC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-1.338</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21A7145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0.009</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40E990B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0.262</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11D7338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[0.258, 0.267]</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4182C6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52724F95">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241D4C9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India</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101C1D4C">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-1.118</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3387316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0.009</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331F785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0.327</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33931B5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[0.321, 0.333]</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488431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1488B454">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40AF506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Indonesia</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281D21F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-1.556</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224C635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0.019</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1A1DF82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0.211</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002F39C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[0.203, 0.219]</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9D017C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62235295">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nil"/>
              <w:right w:val="nil"/>
            </w:tcBorders>
            <w:tcMar>
              <w:top w:w="-1" w:type="dxa"/>
              <w:left w:w="-1" w:type="dxa"/>
              <w:bottom w:w="-1" w:type="dxa"/>
              <w:right w:w="-1" w:type="dxa"/>
            </w:tcMar>
            <w:vAlign w:val="center"/>
          </w:tcPr>
          <w:p w14:paraId="6DC4985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Other countries/regions</w:t>
            </w:r>
          </w:p>
        </w:tc>
        <w:tc>
          <w:tcPr>
            <w:tcW w:w="1500" w:type="dxa"/>
            <w:tcBorders>
              <w:top w:val="single" w:color="auto" w:sz="4" w:space="0"/>
              <w:left w:val="single" w:color="auto" w:sz="4" w:space="0"/>
              <w:bottom w:val="nil"/>
              <w:right w:val="nil"/>
            </w:tcBorders>
            <w:tcMar>
              <w:top w:w="-1" w:type="dxa"/>
              <w:left w:w="-1" w:type="dxa"/>
              <w:bottom w:w="-1" w:type="dxa"/>
              <w:right w:w="-1" w:type="dxa"/>
            </w:tcMar>
            <w:vAlign w:val="center"/>
          </w:tcPr>
          <w:p w14:paraId="52413FBC">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-0.716</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09EB7032">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0.005</w:t>
            </w:r>
          </w:p>
        </w:tc>
        <w:tc>
          <w:tcPr>
            <w:tcW w:w="1063" w:type="dxa"/>
            <w:tcBorders>
              <w:top w:val="single" w:color="auto" w:sz="4" w:space="0"/>
              <w:left w:val="single" w:color="auto" w:sz="4" w:space="0"/>
              <w:bottom w:val="nil"/>
              <w:right w:val="nil"/>
            </w:tcBorders>
            <w:tcMar>
              <w:top w:w="-1" w:type="dxa"/>
              <w:left w:w="-1" w:type="dxa"/>
              <w:bottom w:w="-1" w:type="dxa"/>
              <w:right w:w="-1" w:type="dxa"/>
            </w:tcMar>
            <w:vAlign w:val="center"/>
          </w:tcPr>
          <w:p w14:paraId="130D992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0.489</w:t>
            </w:r>
          </w:p>
        </w:tc>
        <w:tc>
          <w:tcPr>
            <w:tcW w:w="1604" w:type="dxa"/>
            <w:tcBorders>
              <w:top w:val="single" w:color="auto" w:sz="4" w:space="0"/>
              <w:left w:val="single" w:color="auto" w:sz="4" w:space="0"/>
              <w:bottom w:val="nil"/>
              <w:right w:val="nil"/>
            </w:tcBorders>
            <w:tcMar>
              <w:top w:w="-1" w:type="dxa"/>
              <w:left w:w="-1" w:type="dxa"/>
              <w:bottom w:w="-1" w:type="dxa"/>
              <w:right w:w="-1" w:type="dxa"/>
            </w:tcMar>
            <w:vAlign w:val="center"/>
          </w:tcPr>
          <w:p w14:paraId="4C4F7AB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[0.484, 0.493]</w:t>
            </w:r>
          </w:p>
        </w:tc>
        <w:tc>
          <w:tcPr>
            <w:tcW w:w="100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CE9096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112C0585">
        <w:tblPrEx>
          <w:tblCellMar>
            <w:top w:w="0" w:type="dxa"/>
            <w:left w:w="108" w:type="dxa"/>
            <w:bottom w:w="0" w:type="dxa"/>
            <w:right w:w="108" w:type="dxa"/>
          </w:tblCellMar>
        </w:tblPrEx>
        <w:trPr>
          <w:cantSplit/>
          <w:trHeight w:val="283" w:hRule="atLeast"/>
          <w:jc w:val="center"/>
        </w:trPr>
        <w:tc>
          <w:tcPr>
            <w:tcW w:w="280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8093307">
            <w:pPr>
              <w:widowControl/>
              <w:snapToGrid w:val="0"/>
              <w:spacing w:before="0" w:after="0" w:line="240" w:lineRule="auto"/>
              <w:jc w:val="left"/>
              <w:textAlignment w:val="center"/>
              <w:rPr>
                <w:rFonts w:hint="default" w:ascii="Times New Roman" w:hAnsi="Times New Roman" w:eastAsia="宋体" w:cs="Times New Roman"/>
                <w:sz w:val="21"/>
                <w:szCs w:val="21"/>
              </w:rPr>
            </w:pPr>
            <w:r>
              <w:rPr>
                <w:rFonts w:hint="default" w:ascii="Times New Roman" w:hAnsi="Times New Roman" w:cs="Times New Roman"/>
                <w:b/>
                <w:bCs/>
              </w:rPr>
              <w:t>Constant</w:t>
            </w:r>
          </w:p>
        </w:tc>
        <w:tc>
          <w:tcPr>
            <w:tcW w:w="150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39ED7D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0.870</w:t>
            </w:r>
          </w:p>
        </w:tc>
        <w:tc>
          <w:tcPr>
            <w:tcW w:w="120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CB96D7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0.015</w:t>
            </w:r>
          </w:p>
        </w:tc>
        <w:tc>
          <w:tcPr>
            <w:tcW w:w="106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890428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2.387</w:t>
            </w:r>
          </w:p>
        </w:tc>
        <w:tc>
          <w:tcPr>
            <w:tcW w:w="160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4D3268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[2.317, 2.458]</w:t>
            </w:r>
          </w:p>
        </w:tc>
        <w:tc>
          <w:tcPr>
            <w:tcW w:w="1007"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EA8783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bl>
    <w:p w14:paraId="7B44630A">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dependent variable equals one for current employment at an elite university. The model is estimated by logit with heteroskedasticity-robust standard errors. Because the model includes interactions between elite doctoral education and doctoral-completion period, the elite-doctorate main effect represents the association in the 1985–1994 reference period; period main effects represent changes among non-elite doctorate holders relative to 1985–1994; and interaction terms represent additional period-specific changes in the elite-doctorate association. Interaction-term odds ratios are ratios of odds ratios, not the complete period-specific odds ratios. The model controls for gender, discipline, and current employment country/region</w:t>
      </w:r>
      <w:r>
        <w:rPr>
          <w:rFonts w:hint="default" w:ascii="Times New Roman" w:hAnsi="Times New Roman" w:cs="Times New Roman"/>
          <w:b w:val="0"/>
          <w:i w:val="0"/>
          <w:sz w:val="20"/>
          <w:szCs w:val="28"/>
          <w:lang w:val="en-US" w:eastAsia="zh-CN"/>
        </w:rPr>
        <w:t>.</w:t>
      </w:r>
    </w:p>
    <w:p w14:paraId="39833BB6">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Adjusted probabilities and average marginal effects by doctoral-completion period</w:t>
      </w:r>
    </w:p>
    <w:tbl>
      <w:tblPr>
        <w:tblStyle w:val="5"/>
        <w:tblW w:w="0" w:type="auto"/>
        <w:jc w:val="center"/>
        <w:tblLayout w:type="fixed"/>
        <w:tblCellMar>
          <w:top w:w="0" w:type="dxa"/>
          <w:left w:w="108" w:type="dxa"/>
          <w:bottom w:w="0" w:type="dxa"/>
          <w:right w:w="108" w:type="dxa"/>
        </w:tblCellMar>
      </w:tblPr>
      <w:tblGrid>
        <w:gridCol w:w="1289"/>
        <w:gridCol w:w="1929"/>
        <w:gridCol w:w="1791"/>
        <w:gridCol w:w="1523"/>
        <w:gridCol w:w="1569"/>
        <w:gridCol w:w="903"/>
      </w:tblGrid>
      <w:tr w14:paraId="3F5455C4">
        <w:tblPrEx>
          <w:tblCellMar>
            <w:top w:w="0" w:type="dxa"/>
            <w:left w:w="108" w:type="dxa"/>
            <w:bottom w:w="0" w:type="dxa"/>
            <w:right w:w="108" w:type="dxa"/>
          </w:tblCellMar>
        </w:tblPrEx>
        <w:trPr>
          <w:cantSplit/>
          <w:trHeight w:val="283" w:hRule="atLeast"/>
          <w:tblHeader/>
          <w:jc w:val="center"/>
        </w:trPr>
        <w:tc>
          <w:tcPr>
            <w:tcW w:w="1289" w:type="dxa"/>
            <w:tcBorders>
              <w:top w:val="single" w:color="auto" w:sz="4" w:space="0"/>
              <w:left w:val="single" w:color="auto" w:sz="4" w:space="0"/>
              <w:bottom w:val="nil"/>
              <w:right w:val="nil"/>
            </w:tcBorders>
            <w:tcMar>
              <w:top w:w="-1" w:type="dxa"/>
              <w:left w:w="-1" w:type="dxa"/>
              <w:bottom w:w="-1" w:type="dxa"/>
              <w:right w:w="-1" w:type="dxa"/>
            </w:tcMar>
            <w:vAlign w:val="center"/>
          </w:tcPr>
          <w:p w14:paraId="55A3914A">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Period</w:t>
            </w:r>
          </w:p>
        </w:tc>
        <w:tc>
          <w:tcPr>
            <w:tcW w:w="1929" w:type="dxa"/>
            <w:tcBorders>
              <w:top w:val="single" w:color="auto" w:sz="4" w:space="0"/>
              <w:left w:val="single" w:color="auto" w:sz="4" w:space="0"/>
              <w:bottom w:val="nil"/>
              <w:right w:val="nil"/>
            </w:tcBorders>
            <w:tcMar>
              <w:top w:w="-1" w:type="dxa"/>
              <w:left w:w="-1" w:type="dxa"/>
              <w:bottom w:w="-1" w:type="dxa"/>
              <w:right w:w="-1" w:type="dxa"/>
            </w:tcMar>
            <w:vAlign w:val="center"/>
          </w:tcPr>
          <w:p w14:paraId="04A709FF">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Non-elite doctorateaverage predicted probability</w:t>
            </w:r>
          </w:p>
          <w:p w14:paraId="3A98CAE6">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w:t>
            </w:r>
          </w:p>
        </w:tc>
        <w:tc>
          <w:tcPr>
            <w:tcW w:w="1791" w:type="dxa"/>
            <w:tcBorders>
              <w:top w:val="single" w:color="auto" w:sz="4" w:space="0"/>
              <w:left w:val="single" w:color="auto" w:sz="4" w:space="0"/>
              <w:bottom w:val="nil"/>
              <w:right w:val="nil"/>
            </w:tcBorders>
            <w:tcMar>
              <w:top w:w="-1" w:type="dxa"/>
              <w:left w:w="-1" w:type="dxa"/>
              <w:bottom w:w="-1" w:type="dxa"/>
              <w:right w:w="-1" w:type="dxa"/>
            </w:tcMar>
            <w:vAlign w:val="center"/>
          </w:tcPr>
          <w:p w14:paraId="28935163">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Elite doctorateaverage predicted probability</w:t>
            </w:r>
          </w:p>
          <w:p w14:paraId="279477C4">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w:t>
            </w:r>
          </w:p>
        </w:tc>
        <w:tc>
          <w:tcPr>
            <w:tcW w:w="1523" w:type="dxa"/>
            <w:tcBorders>
              <w:top w:val="single" w:color="auto" w:sz="4" w:space="0"/>
              <w:left w:val="single" w:color="auto" w:sz="4" w:space="0"/>
              <w:bottom w:val="nil"/>
              <w:right w:val="nil"/>
            </w:tcBorders>
            <w:tcMar>
              <w:top w:w="-1" w:type="dxa"/>
              <w:left w:w="-1" w:type="dxa"/>
              <w:bottom w:w="-1" w:type="dxa"/>
              <w:right w:w="-1" w:type="dxa"/>
            </w:tcMar>
            <w:vAlign w:val="center"/>
          </w:tcPr>
          <w:p w14:paraId="0B6E6734">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AME of elite doctorate (pp)</w:t>
            </w:r>
          </w:p>
          <w:p w14:paraId="13982FEE">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1569" w:type="dxa"/>
            <w:tcBorders>
              <w:top w:val="single" w:color="auto" w:sz="4" w:space="0"/>
              <w:left w:val="single" w:color="auto" w:sz="4" w:space="0"/>
              <w:bottom w:val="nil"/>
              <w:right w:val="nil"/>
            </w:tcBorders>
            <w:tcMar>
              <w:top w:w="-1" w:type="dxa"/>
              <w:left w:w="-1" w:type="dxa"/>
              <w:bottom w:w="-1" w:type="dxa"/>
              <w:right w:w="-1" w:type="dxa"/>
            </w:tcMar>
            <w:vAlign w:val="center"/>
          </w:tcPr>
          <w:p w14:paraId="6D91217F">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AME 95% CI</w:t>
            </w:r>
          </w:p>
          <w:p w14:paraId="5FD6FBA6">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90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D9588B1">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r>
      <w:tr w14:paraId="23971D1A">
        <w:tblPrEx>
          <w:tblCellMar>
            <w:top w:w="0" w:type="dxa"/>
            <w:left w:w="108" w:type="dxa"/>
            <w:bottom w:w="0" w:type="dxa"/>
            <w:right w:w="108" w:type="dxa"/>
          </w:tblCellMar>
        </w:tblPrEx>
        <w:trPr>
          <w:cantSplit/>
          <w:trHeight w:val="283" w:hRule="atLeast"/>
          <w:jc w:val="center"/>
        </w:trPr>
        <w:tc>
          <w:tcPr>
            <w:tcW w:w="1289" w:type="dxa"/>
            <w:tcBorders>
              <w:top w:val="single" w:color="auto" w:sz="4" w:space="0"/>
              <w:left w:val="single" w:color="auto" w:sz="4" w:space="0"/>
              <w:bottom w:val="nil"/>
              <w:right w:val="nil"/>
            </w:tcBorders>
            <w:tcMar>
              <w:top w:w="-1" w:type="dxa"/>
              <w:left w:w="-1" w:type="dxa"/>
              <w:bottom w:w="-1" w:type="dxa"/>
              <w:right w:w="-1" w:type="dxa"/>
            </w:tcMar>
            <w:vAlign w:val="center"/>
          </w:tcPr>
          <w:p w14:paraId="15C97A7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1985—1994</w:t>
            </w:r>
          </w:p>
        </w:tc>
        <w:tc>
          <w:tcPr>
            <w:tcW w:w="1929" w:type="dxa"/>
            <w:tcBorders>
              <w:top w:val="single" w:color="auto" w:sz="4" w:space="0"/>
              <w:left w:val="single" w:color="auto" w:sz="4" w:space="0"/>
              <w:bottom w:val="nil"/>
              <w:right w:val="nil"/>
            </w:tcBorders>
            <w:tcMar>
              <w:top w:w="-1" w:type="dxa"/>
              <w:left w:w="-1" w:type="dxa"/>
              <w:bottom w:w="-1" w:type="dxa"/>
              <w:right w:w="-1" w:type="dxa"/>
            </w:tcMar>
            <w:vAlign w:val="center"/>
          </w:tcPr>
          <w:p w14:paraId="60AA24C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56.62</w:t>
            </w:r>
          </w:p>
        </w:tc>
        <w:tc>
          <w:tcPr>
            <w:tcW w:w="1791" w:type="dxa"/>
            <w:tcBorders>
              <w:top w:val="single" w:color="auto" w:sz="4" w:space="0"/>
              <w:left w:val="single" w:color="auto" w:sz="4" w:space="0"/>
              <w:bottom w:val="nil"/>
              <w:right w:val="nil"/>
            </w:tcBorders>
            <w:tcMar>
              <w:top w:w="-1" w:type="dxa"/>
              <w:left w:w="-1" w:type="dxa"/>
              <w:bottom w:w="-1" w:type="dxa"/>
              <w:right w:w="-1" w:type="dxa"/>
            </w:tcMar>
            <w:vAlign w:val="center"/>
          </w:tcPr>
          <w:p w14:paraId="68D6C0D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61.22</w:t>
            </w:r>
          </w:p>
        </w:tc>
        <w:tc>
          <w:tcPr>
            <w:tcW w:w="1523" w:type="dxa"/>
            <w:tcBorders>
              <w:top w:val="single" w:color="auto" w:sz="4" w:space="0"/>
              <w:left w:val="single" w:color="auto" w:sz="4" w:space="0"/>
              <w:bottom w:val="nil"/>
              <w:right w:val="nil"/>
            </w:tcBorders>
            <w:tcMar>
              <w:top w:w="-1" w:type="dxa"/>
              <w:left w:w="-1" w:type="dxa"/>
              <w:bottom w:w="-1" w:type="dxa"/>
              <w:right w:w="-1" w:type="dxa"/>
            </w:tcMar>
            <w:vAlign w:val="center"/>
          </w:tcPr>
          <w:p w14:paraId="4E19FD5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4.6</w:t>
            </w:r>
          </w:p>
        </w:tc>
        <w:tc>
          <w:tcPr>
            <w:tcW w:w="1569" w:type="dxa"/>
            <w:tcBorders>
              <w:top w:val="single" w:color="auto" w:sz="4" w:space="0"/>
              <w:left w:val="single" w:color="auto" w:sz="4" w:space="0"/>
              <w:bottom w:val="nil"/>
              <w:right w:val="nil"/>
            </w:tcBorders>
            <w:tcMar>
              <w:top w:w="-1" w:type="dxa"/>
              <w:left w:w="-1" w:type="dxa"/>
              <w:bottom w:w="-1" w:type="dxa"/>
              <w:right w:w="-1" w:type="dxa"/>
            </w:tcMar>
            <w:vAlign w:val="center"/>
          </w:tcPr>
          <w:p w14:paraId="2F7EEED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[3.82, 5.38]</w:t>
            </w:r>
          </w:p>
        </w:tc>
        <w:tc>
          <w:tcPr>
            <w:tcW w:w="90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9026D3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4C0DE50A">
        <w:tblPrEx>
          <w:tblCellMar>
            <w:top w:w="0" w:type="dxa"/>
            <w:left w:w="108" w:type="dxa"/>
            <w:bottom w:w="0" w:type="dxa"/>
            <w:right w:w="108" w:type="dxa"/>
          </w:tblCellMar>
        </w:tblPrEx>
        <w:trPr>
          <w:cantSplit/>
          <w:trHeight w:val="283" w:hRule="atLeast"/>
          <w:jc w:val="center"/>
        </w:trPr>
        <w:tc>
          <w:tcPr>
            <w:tcW w:w="1289" w:type="dxa"/>
            <w:tcBorders>
              <w:top w:val="single" w:color="auto" w:sz="4" w:space="0"/>
              <w:left w:val="single" w:color="auto" w:sz="4" w:space="0"/>
              <w:bottom w:val="nil"/>
              <w:right w:val="nil"/>
            </w:tcBorders>
            <w:tcMar>
              <w:top w:w="-1" w:type="dxa"/>
              <w:left w:w="-1" w:type="dxa"/>
              <w:bottom w:w="-1" w:type="dxa"/>
              <w:right w:w="-1" w:type="dxa"/>
            </w:tcMar>
            <w:vAlign w:val="center"/>
          </w:tcPr>
          <w:p w14:paraId="12225FB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1995—2004</w:t>
            </w:r>
          </w:p>
        </w:tc>
        <w:tc>
          <w:tcPr>
            <w:tcW w:w="1929" w:type="dxa"/>
            <w:tcBorders>
              <w:top w:val="single" w:color="auto" w:sz="4" w:space="0"/>
              <w:left w:val="single" w:color="auto" w:sz="4" w:space="0"/>
              <w:bottom w:val="nil"/>
              <w:right w:val="nil"/>
            </w:tcBorders>
            <w:tcMar>
              <w:top w:w="-1" w:type="dxa"/>
              <w:left w:w="-1" w:type="dxa"/>
              <w:bottom w:w="-1" w:type="dxa"/>
              <w:right w:w="-1" w:type="dxa"/>
            </w:tcMar>
            <w:vAlign w:val="center"/>
          </w:tcPr>
          <w:p w14:paraId="2A2940F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56.44</w:t>
            </w:r>
          </w:p>
        </w:tc>
        <w:tc>
          <w:tcPr>
            <w:tcW w:w="1791" w:type="dxa"/>
            <w:tcBorders>
              <w:top w:val="single" w:color="auto" w:sz="4" w:space="0"/>
              <w:left w:val="single" w:color="auto" w:sz="4" w:space="0"/>
              <w:bottom w:val="nil"/>
              <w:right w:val="nil"/>
            </w:tcBorders>
            <w:tcMar>
              <w:top w:w="-1" w:type="dxa"/>
              <w:left w:w="-1" w:type="dxa"/>
              <w:bottom w:w="-1" w:type="dxa"/>
              <w:right w:w="-1" w:type="dxa"/>
            </w:tcMar>
            <w:vAlign w:val="center"/>
          </w:tcPr>
          <w:p w14:paraId="22BBE2D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61.96</w:t>
            </w:r>
          </w:p>
        </w:tc>
        <w:tc>
          <w:tcPr>
            <w:tcW w:w="1523" w:type="dxa"/>
            <w:tcBorders>
              <w:top w:val="single" w:color="auto" w:sz="4" w:space="0"/>
              <w:left w:val="single" w:color="auto" w:sz="4" w:space="0"/>
              <w:bottom w:val="nil"/>
              <w:right w:val="nil"/>
            </w:tcBorders>
            <w:tcMar>
              <w:top w:w="-1" w:type="dxa"/>
              <w:left w:w="-1" w:type="dxa"/>
              <w:bottom w:w="-1" w:type="dxa"/>
              <w:right w:w="-1" w:type="dxa"/>
            </w:tcMar>
            <w:vAlign w:val="center"/>
          </w:tcPr>
          <w:p w14:paraId="5E42B28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5.52</w:t>
            </w:r>
          </w:p>
        </w:tc>
        <w:tc>
          <w:tcPr>
            <w:tcW w:w="1569" w:type="dxa"/>
            <w:tcBorders>
              <w:top w:val="single" w:color="auto" w:sz="4" w:space="0"/>
              <w:left w:val="single" w:color="auto" w:sz="4" w:space="0"/>
              <w:bottom w:val="nil"/>
              <w:right w:val="nil"/>
            </w:tcBorders>
            <w:tcMar>
              <w:top w:w="-1" w:type="dxa"/>
              <w:left w:w="-1" w:type="dxa"/>
              <w:bottom w:w="-1" w:type="dxa"/>
              <w:right w:w="-1" w:type="dxa"/>
            </w:tcMar>
            <w:vAlign w:val="center"/>
          </w:tcPr>
          <w:p w14:paraId="47B0E11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[5.10, 5.95]</w:t>
            </w:r>
          </w:p>
        </w:tc>
        <w:tc>
          <w:tcPr>
            <w:tcW w:w="90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FAEFEC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3D6B1A7F">
        <w:tblPrEx>
          <w:tblCellMar>
            <w:top w:w="0" w:type="dxa"/>
            <w:left w:w="108" w:type="dxa"/>
            <w:bottom w:w="0" w:type="dxa"/>
            <w:right w:w="108" w:type="dxa"/>
          </w:tblCellMar>
        </w:tblPrEx>
        <w:trPr>
          <w:cantSplit/>
          <w:trHeight w:val="283" w:hRule="atLeast"/>
          <w:jc w:val="center"/>
        </w:trPr>
        <w:tc>
          <w:tcPr>
            <w:tcW w:w="1289" w:type="dxa"/>
            <w:tcBorders>
              <w:top w:val="single" w:color="auto" w:sz="4" w:space="0"/>
              <w:left w:val="single" w:color="auto" w:sz="4" w:space="0"/>
              <w:bottom w:val="nil"/>
              <w:right w:val="nil"/>
            </w:tcBorders>
            <w:tcMar>
              <w:top w:w="-1" w:type="dxa"/>
              <w:left w:w="-1" w:type="dxa"/>
              <w:bottom w:w="-1" w:type="dxa"/>
              <w:right w:w="-1" w:type="dxa"/>
            </w:tcMar>
            <w:vAlign w:val="center"/>
          </w:tcPr>
          <w:p w14:paraId="5433C02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2005—2014</w:t>
            </w:r>
          </w:p>
        </w:tc>
        <w:tc>
          <w:tcPr>
            <w:tcW w:w="1929" w:type="dxa"/>
            <w:tcBorders>
              <w:top w:val="single" w:color="auto" w:sz="4" w:space="0"/>
              <w:left w:val="single" w:color="auto" w:sz="4" w:space="0"/>
              <w:bottom w:val="nil"/>
              <w:right w:val="nil"/>
            </w:tcBorders>
            <w:tcMar>
              <w:top w:w="-1" w:type="dxa"/>
              <w:left w:w="-1" w:type="dxa"/>
              <w:bottom w:w="-1" w:type="dxa"/>
              <w:right w:w="-1" w:type="dxa"/>
            </w:tcMar>
            <w:vAlign w:val="center"/>
          </w:tcPr>
          <w:p w14:paraId="654EF26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55.01</w:t>
            </w:r>
          </w:p>
        </w:tc>
        <w:tc>
          <w:tcPr>
            <w:tcW w:w="1791" w:type="dxa"/>
            <w:tcBorders>
              <w:top w:val="single" w:color="auto" w:sz="4" w:space="0"/>
              <w:left w:val="single" w:color="auto" w:sz="4" w:space="0"/>
              <w:bottom w:val="nil"/>
              <w:right w:val="nil"/>
            </w:tcBorders>
            <w:tcMar>
              <w:top w:w="-1" w:type="dxa"/>
              <w:left w:w="-1" w:type="dxa"/>
              <w:bottom w:w="-1" w:type="dxa"/>
              <w:right w:w="-1" w:type="dxa"/>
            </w:tcMar>
            <w:vAlign w:val="center"/>
          </w:tcPr>
          <w:p w14:paraId="5B71FD7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61.33</w:t>
            </w:r>
          </w:p>
        </w:tc>
        <w:tc>
          <w:tcPr>
            <w:tcW w:w="1523" w:type="dxa"/>
            <w:tcBorders>
              <w:top w:val="single" w:color="auto" w:sz="4" w:space="0"/>
              <w:left w:val="single" w:color="auto" w:sz="4" w:space="0"/>
              <w:bottom w:val="nil"/>
              <w:right w:val="nil"/>
            </w:tcBorders>
            <w:tcMar>
              <w:top w:w="-1" w:type="dxa"/>
              <w:left w:w="-1" w:type="dxa"/>
              <w:bottom w:w="-1" w:type="dxa"/>
              <w:right w:w="-1" w:type="dxa"/>
            </w:tcMar>
            <w:vAlign w:val="center"/>
          </w:tcPr>
          <w:p w14:paraId="426C542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6.31</w:t>
            </w:r>
          </w:p>
        </w:tc>
        <w:tc>
          <w:tcPr>
            <w:tcW w:w="1569" w:type="dxa"/>
            <w:tcBorders>
              <w:top w:val="single" w:color="auto" w:sz="4" w:space="0"/>
              <w:left w:val="single" w:color="auto" w:sz="4" w:space="0"/>
              <w:bottom w:val="nil"/>
              <w:right w:val="nil"/>
            </w:tcBorders>
            <w:tcMar>
              <w:top w:w="-1" w:type="dxa"/>
              <w:left w:w="-1" w:type="dxa"/>
              <w:bottom w:w="-1" w:type="dxa"/>
              <w:right w:w="-1" w:type="dxa"/>
            </w:tcMar>
            <w:vAlign w:val="center"/>
          </w:tcPr>
          <w:p w14:paraId="07903BA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[6.06, 6.57]</w:t>
            </w:r>
          </w:p>
        </w:tc>
        <w:tc>
          <w:tcPr>
            <w:tcW w:w="90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EEDE17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5E8A30F5">
        <w:tblPrEx>
          <w:tblCellMar>
            <w:top w:w="0" w:type="dxa"/>
            <w:left w:w="108" w:type="dxa"/>
            <w:bottom w:w="0" w:type="dxa"/>
            <w:right w:w="108" w:type="dxa"/>
          </w:tblCellMar>
        </w:tblPrEx>
        <w:trPr>
          <w:cantSplit/>
          <w:trHeight w:val="283" w:hRule="atLeast"/>
          <w:jc w:val="center"/>
        </w:trPr>
        <w:tc>
          <w:tcPr>
            <w:tcW w:w="128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4EFF28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2015—2023</w:t>
            </w:r>
          </w:p>
        </w:tc>
        <w:tc>
          <w:tcPr>
            <w:tcW w:w="192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C524E1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56.51</w:t>
            </w:r>
          </w:p>
        </w:tc>
        <w:tc>
          <w:tcPr>
            <w:tcW w:w="179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B0D3F7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63.28</w:t>
            </w:r>
          </w:p>
        </w:tc>
        <w:tc>
          <w:tcPr>
            <w:tcW w:w="152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B604C3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6.77</w:t>
            </w:r>
          </w:p>
        </w:tc>
        <w:tc>
          <w:tcPr>
            <w:tcW w:w="156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629CCF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[6.57, 6.97]</w:t>
            </w:r>
          </w:p>
        </w:tc>
        <w:tc>
          <w:tcPr>
            <w:tcW w:w="903"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C623DA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bl>
    <w:p w14:paraId="0D801F8C">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Average predicted probabilities and average marginal effects are calculated from the logit interaction model in Appendix Table 11, Panel A. Predictions retain observed control-variable values and are averaged across individuals. The p-value tests whether the period-specific average marginal effect of elite versus non-elite doctoral education equals zero.</w:t>
      </w:r>
    </w:p>
    <w:p w14:paraId="577F5474">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C. Pairwise comparisons of period-specific average marginal effects</w:t>
      </w:r>
    </w:p>
    <w:tbl>
      <w:tblPr>
        <w:tblStyle w:val="5"/>
        <w:tblW w:w="8966" w:type="dxa"/>
        <w:jc w:val="center"/>
        <w:tblLayout w:type="fixed"/>
        <w:tblCellMar>
          <w:top w:w="0" w:type="dxa"/>
          <w:left w:w="108" w:type="dxa"/>
          <w:bottom w:w="0" w:type="dxa"/>
          <w:right w:w="108" w:type="dxa"/>
        </w:tblCellMar>
      </w:tblPr>
      <w:tblGrid>
        <w:gridCol w:w="2775"/>
        <w:gridCol w:w="1809"/>
        <w:gridCol w:w="1024"/>
        <w:gridCol w:w="1543"/>
        <w:gridCol w:w="782"/>
        <w:gridCol w:w="1033"/>
      </w:tblGrid>
      <w:tr w14:paraId="73F6A2B4">
        <w:tblPrEx>
          <w:tblCellMar>
            <w:top w:w="0" w:type="dxa"/>
            <w:left w:w="108" w:type="dxa"/>
            <w:bottom w:w="0" w:type="dxa"/>
            <w:right w:w="108" w:type="dxa"/>
          </w:tblCellMar>
        </w:tblPrEx>
        <w:trPr>
          <w:cantSplit/>
          <w:trHeight w:val="283" w:hRule="atLeast"/>
          <w:tblHeader/>
          <w:jc w:val="center"/>
        </w:trPr>
        <w:tc>
          <w:tcPr>
            <w:tcW w:w="2775" w:type="dxa"/>
            <w:tcBorders>
              <w:top w:val="single" w:color="auto" w:sz="4" w:space="0"/>
              <w:left w:val="single" w:color="auto" w:sz="4" w:space="0"/>
              <w:bottom w:val="nil"/>
              <w:right w:val="nil"/>
            </w:tcBorders>
            <w:tcMar>
              <w:top w:w="-1" w:type="dxa"/>
              <w:left w:w="-1" w:type="dxa"/>
              <w:bottom w:w="-1" w:type="dxa"/>
              <w:right w:w="-1" w:type="dxa"/>
            </w:tcMar>
            <w:vAlign w:val="center"/>
          </w:tcPr>
          <w:p w14:paraId="4BEC0D8D">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Period comparison</w:t>
            </w:r>
          </w:p>
        </w:tc>
        <w:tc>
          <w:tcPr>
            <w:tcW w:w="1809" w:type="dxa"/>
            <w:tcBorders>
              <w:top w:val="single" w:color="auto" w:sz="4" w:space="0"/>
              <w:left w:val="single" w:color="auto" w:sz="4" w:space="0"/>
              <w:bottom w:val="nil"/>
              <w:right w:val="nil"/>
            </w:tcBorders>
            <w:tcMar>
              <w:top w:w="-1" w:type="dxa"/>
              <w:left w:w="-1" w:type="dxa"/>
              <w:bottom w:w="-1" w:type="dxa"/>
              <w:right w:w="-1" w:type="dxa"/>
            </w:tcMar>
            <w:vAlign w:val="center"/>
          </w:tcPr>
          <w:p w14:paraId="13DB18BE">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AMEDifference</w:t>
            </w:r>
          </w:p>
          <w:p w14:paraId="70C0B60C">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1024" w:type="dxa"/>
            <w:tcBorders>
              <w:top w:val="single" w:color="auto" w:sz="4" w:space="0"/>
              <w:left w:val="single" w:color="auto" w:sz="4" w:space="0"/>
              <w:bottom w:val="nil"/>
              <w:right w:val="nil"/>
            </w:tcBorders>
            <w:tcMar>
              <w:top w:w="-1" w:type="dxa"/>
              <w:left w:w="-1" w:type="dxa"/>
              <w:bottom w:w="-1" w:type="dxa"/>
              <w:right w:w="-1" w:type="dxa"/>
            </w:tcMar>
            <w:vAlign w:val="center"/>
          </w:tcPr>
          <w:p w14:paraId="273ED85F">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SE</w:t>
            </w:r>
          </w:p>
          <w:p w14:paraId="6FD7A72C">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1543" w:type="dxa"/>
            <w:tcBorders>
              <w:top w:val="single" w:color="auto" w:sz="4" w:space="0"/>
              <w:left w:val="single" w:color="auto" w:sz="4" w:space="0"/>
              <w:bottom w:val="nil"/>
              <w:right w:val="nil"/>
            </w:tcBorders>
            <w:tcMar>
              <w:top w:w="-1" w:type="dxa"/>
              <w:left w:w="-1" w:type="dxa"/>
              <w:bottom w:w="-1" w:type="dxa"/>
              <w:right w:w="-1" w:type="dxa"/>
            </w:tcMar>
            <w:vAlign w:val="center"/>
          </w:tcPr>
          <w:p w14:paraId="63A26161">
            <w:pPr>
              <w:keepNext/>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w:t>
            </w:r>
          </w:p>
          <w:p w14:paraId="753A5D8B">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782" w:type="dxa"/>
            <w:tcBorders>
              <w:top w:val="single" w:color="auto" w:sz="4" w:space="0"/>
              <w:left w:val="single" w:color="auto" w:sz="4" w:space="0"/>
              <w:bottom w:val="nil"/>
              <w:right w:val="nil"/>
            </w:tcBorders>
            <w:tcMar>
              <w:top w:w="-1" w:type="dxa"/>
              <w:left w:w="-1" w:type="dxa"/>
              <w:bottom w:w="-1" w:type="dxa"/>
              <w:right w:w="-1" w:type="dxa"/>
            </w:tcMar>
            <w:vAlign w:val="center"/>
          </w:tcPr>
          <w:p w14:paraId="04073DB4">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z</w:t>
            </w:r>
          </w:p>
        </w:tc>
        <w:tc>
          <w:tcPr>
            <w:tcW w:w="103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081A88A">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r>
      <w:tr w14:paraId="3CEA3BC7">
        <w:tblPrEx>
          <w:tblCellMar>
            <w:top w:w="0" w:type="dxa"/>
            <w:left w:w="108" w:type="dxa"/>
            <w:bottom w:w="0" w:type="dxa"/>
            <w:right w:w="108" w:type="dxa"/>
          </w:tblCellMar>
        </w:tblPrEx>
        <w:trPr>
          <w:cantSplit/>
          <w:trHeight w:val="283" w:hRule="atLeast"/>
          <w:jc w:val="center"/>
        </w:trPr>
        <w:tc>
          <w:tcPr>
            <w:tcW w:w="2775" w:type="dxa"/>
            <w:tcBorders>
              <w:top w:val="single" w:color="auto" w:sz="4" w:space="0"/>
              <w:left w:val="single" w:color="auto" w:sz="4" w:space="0"/>
              <w:bottom w:val="nil"/>
              <w:right w:val="nil"/>
            </w:tcBorders>
            <w:tcMar>
              <w:top w:w="-1" w:type="dxa"/>
              <w:left w:w="-1" w:type="dxa"/>
              <w:bottom w:w="-1" w:type="dxa"/>
              <w:right w:w="-1" w:type="dxa"/>
            </w:tcMar>
            <w:vAlign w:val="center"/>
          </w:tcPr>
          <w:p w14:paraId="5637EF2B">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1995—2004 vs 1985—1994</w:t>
            </w:r>
          </w:p>
        </w:tc>
        <w:tc>
          <w:tcPr>
            <w:tcW w:w="1809" w:type="dxa"/>
            <w:tcBorders>
              <w:top w:val="single" w:color="auto" w:sz="4" w:space="0"/>
              <w:left w:val="single" w:color="auto" w:sz="4" w:space="0"/>
              <w:bottom w:val="nil"/>
              <w:right w:val="nil"/>
            </w:tcBorders>
            <w:tcMar>
              <w:top w:w="-1" w:type="dxa"/>
              <w:left w:w="-1" w:type="dxa"/>
              <w:bottom w:w="-1" w:type="dxa"/>
              <w:right w:w="-1" w:type="dxa"/>
            </w:tcMar>
            <w:vAlign w:val="center"/>
          </w:tcPr>
          <w:p w14:paraId="415A169F">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0.92</w:t>
            </w:r>
          </w:p>
        </w:tc>
        <w:tc>
          <w:tcPr>
            <w:tcW w:w="1024" w:type="dxa"/>
            <w:tcBorders>
              <w:top w:val="single" w:color="auto" w:sz="4" w:space="0"/>
              <w:left w:val="single" w:color="auto" w:sz="4" w:space="0"/>
              <w:bottom w:val="nil"/>
              <w:right w:val="nil"/>
            </w:tcBorders>
            <w:tcMar>
              <w:top w:w="-1" w:type="dxa"/>
              <w:left w:w="-1" w:type="dxa"/>
              <w:bottom w:w="-1" w:type="dxa"/>
              <w:right w:w="-1" w:type="dxa"/>
            </w:tcMar>
            <w:vAlign w:val="center"/>
          </w:tcPr>
          <w:p w14:paraId="6D0E2E23">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0.45</w:t>
            </w:r>
          </w:p>
        </w:tc>
        <w:tc>
          <w:tcPr>
            <w:tcW w:w="1543" w:type="dxa"/>
            <w:tcBorders>
              <w:top w:val="single" w:color="auto" w:sz="4" w:space="0"/>
              <w:left w:val="single" w:color="auto" w:sz="4" w:space="0"/>
              <w:bottom w:val="nil"/>
              <w:right w:val="nil"/>
            </w:tcBorders>
            <w:tcMar>
              <w:top w:w="-1" w:type="dxa"/>
              <w:left w:w="-1" w:type="dxa"/>
              <w:bottom w:w="-1" w:type="dxa"/>
              <w:right w:w="-1" w:type="dxa"/>
            </w:tcMar>
            <w:vAlign w:val="center"/>
          </w:tcPr>
          <w:p w14:paraId="652744E0">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[0.04, 1.81]</w:t>
            </w:r>
          </w:p>
        </w:tc>
        <w:tc>
          <w:tcPr>
            <w:tcW w:w="782" w:type="dxa"/>
            <w:tcBorders>
              <w:top w:val="single" w:color="auto" w:sz="4" w:space="0"/>
              <w:left w:val="single" w:color="auto" w:sz="4" w:space="0"/>
              <w:bottom w:val="nil"/>
              <w:right w:val="nil"/>
            </w:tcBorders>
            <w:tcMar>
              <w:top w:w="-1" w:type="dxa"/>
              <w:left w:w="-1" w:type="dxa"/>
              <w:bottom w:w="-1" w:type="dxa"/>
              <w:right w:w="-1" w:type="dxa"/>
            </w:tcMar>
            <w:vAlign w:val="center"/>
          </w:tcPr>
          <w:p w14:paraId="71599DB9">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2.05</w:t>
            </w:r>
          </w:p>
        </w:tc>
        <w:tc>
          <w:tcPr>
            <w:tcW w:w="103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0C40483">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0.041</w:t>
            </w:r>
          </w:p>
        </w:tc>
      </w:tr>
      <w:tr w14:paraId="21EFD54D">
        <w:tblPrEx>
          <w:tblCellMar>
            <w:top w:w="0" w:type="dxa"/>
            <w:left w:w="108" w:type="dxa"/>
            <w:bottom w:w="0" w:type="dxa"/>
            <w:right w:w="108" w:type="dxa"/>
          </w:tblCellMar>
        </w:tblPrEx>
        <w:trPr>
          <w:cantSplit/>
          <w:trHeight w:val="283" w:hRule="atLeast"/>
          <w:jc w:val="center"/>
        </w:trPr>
        <w:tc>
          <w:tcPr>
            <w:tcW w:w="2775" w:type="dxa"/>
            <w:tcBorders>
              <w:top w:val="single" w:color="auto" w:sz="4" w:space="0"/>
              <w:left w:val="single" w:color="auto" w:sz="4" w:space="0"/>
              <w:bottom w:val="nil"/>
              <w:right w:val="nil"/>
            </w:tcBorders>
            <w:tcMar>
              <w:top w:w="-1" w:type="dxa"/>
              <w:left w:w="-1" w:type="dxa"/>
              <w:bottom w:w="-1" w:type="dxa"/>
              <w:right w:w="-1" w:type="dxa"/>
            </w:tcMar>
            <w:vAlign w:val="center"/>
          </w:tcPr>
          <w:p w14:paraId="72D64442">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2005—2014 vs 1985—1994</w:t>
            </w:r>
          </w:p>
        </w:tc>
        <w:tc>
          <w:tcPr>
            <w:tcW w:w="1809" w:type="dxa"/>
            <w:tcBorders>
              <w:top w:val="single" w:color="auto" w:sz="4" w:space="0"/>
              <w:left w:val="single" w:color="auto" w:sz="4" w:space="0"/>
              <w:bottom w:val="nil"/>
              <w:right w:val="nil"/>
            </w:tcBorders>
            <w:tcMar>
              <w:top w:w="-1" w:type="dxa"/>
              <w:left w:w="-1" w:type="dxa"/>
              <w:bottom w:w="-1" w:type="dxa"/>
              <w:right w:w="-1" w:type="dxa"/>
            </w:tcMar>
            <w:vAlign w:val="center"/>
          </w:tcPr>
          <w:p w14:paraId="0C6C023E">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1.71</w:t>
            </w:r>
          </w:p>
        </w:tc>
        <w:tc>
          <w:tcPr>
            <w:tcW w:w="1024" w:type="dxa"/>
            <w:tcBorders>
              <w:top w:val="single" w:color="auto" w:sz="4" w:space="0"/>
              <w:left w:val="single" w:color="auto" w:sz="4" w:space="0"/>
              <w:bottom w:val="nil"/>
              <w:right w:val="nil"/>
            </w:tcBorders>
            <w:tcMar>
              <w:top w:w="-1" w:type="dxa"/>
              <w:left w:w="-1" w:type="dxa"/>
              <w:bottom w:w="-1" w:type="dxa"/>
              <w:right w:w="-1" w:type="dxa"/>
            </w:tcMar>
            <w:vAlign w:val="center"/>
          </w:tcPr>
          <w:p w14:paraId="6B5647EA">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0.42</w:t>
            </w:r>
          </w:p>
        </w:tc>
        <w:tc>
          <w:tcPr>
            <w:tcW w:w="1543" w:type="dxa"/>
            <w:tcBorders>
              <w:top w:val="single" w:color="auto" w:sz="4" w:space="0"/>
              <w:left w:val="single" w:color="auto" w:sz="4" w:space="0"/>
              <w:bottom w:val="nil"/>
              <w:right w:val="nil"/>
            </w:tcBorders>
            <w:tcMar>
              <w:top w:w="-1" w:type="dxa"/>
              <w:left w:w="-1" w:type="dxa"/>
              <w:bottom w:w="-1" w:type="dxa"/>
              <w:right w:w="-1" w:type="dxa"/>
            </w:tcMar>
            <w:vAlign w:val="center"/>
          </w:tcPr>
          <w:p w14:paraId="0B05987D">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[0.90, 2.53]</w:t>
            </w:r>
          </w:p>
        </w:tc>
        <w:tc>
          <w:tcPr>
            <w:tcW w:w="782" w:type="dxa"/>
            <w:tcBorders>
              <w:top w:val="single" w:color="auto" w:sz="4" w:space="0"/>
              <w:left w:val="single" w:color="auto" w:sz="4" w:space="0"/>
              <w:bottom w:val="nil"/>
              <w:right w:val="nil"/>
            </w:tcBorders>
            <w:tcMar>
              <w:top w:w="-1" w:type="dxa"/>
              <w:left w:w="-1" w:type="dxa"/>
              <w:bottom w:w="-1" w:type="dxa"/>
              <w:right w:w="-1" w:type="dxa"/>
            </w:tcMar>
            <w:vAlign w:val="center"/>
          </w:tcPr>
          <w:p w14:paraId="236DC57F">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4.11</w:t>
            </w:r>
          </w:p>
        </w:tc>
        <w:tc>
          <w:tcPr>
            <w:tcW w:w="103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82D1C8A">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7299E2FF">
        <w:tblPrEx>
          <w:tblCellMar>
            <w:top w:w="0" w:type="dxa"/>
            <w:left w:w="108" w:type="dxa"/>
            <w:bottom w:w="0" w:type="dxa"/>
            <w:right w:w="108" w:type="dxa"/>
          </w:tblCellMar>
        </w:tblPrEx>
        <w:trPr>
          <w:cantSplit/>
          <w:trHeight w:val="283" w:hRule="atLeast"/>
          <w:jc w:val="center"/>
        </w:trPr>
        <w:tc>
          <w:tcPr>
            <w:tcW w:w="2775" w:type="dxa"/>
            <w:tcBorders>
              <w:top w:val="single" w:color="auto" w:sz="4" w:space="0"/>
              <w:left w:val="single" w:color="auto" w:sz="4" w:space="0"/>
              <w:bottom w:val="nil"/>
              <w:right w:val="nil"/>
            </w:tcBorders>
            <w:tcMar>
              <w:top w:w="-1" w:type="dxa"/>
              <w:left w:w="-1" w:type="dxa"/>
              <w:bottom w:w="-1" w:type="dxa"/>
              <w:right w:w="-1" w:type="dxa"/>
            </w:tcMar>
            <w:vAlign w:val="center"/>
          </w:tcPr>
          <w:p w14:paraId="7724D589">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2015—2023 vs 1985—1994</w:t>
            </w:r>
          </w:p>
        </w:tc>
        <w:tc>
          <w:tcPr>
            <w:tcW w:w="1809" w:type="dxa"/>
            <w:tcBorders>
              <w:top w:val="single" w:color="auto" w:sz="4" w:space="0"/>
              <w:left w:val="single" w:color="auto" w:sz="4" w:space="0"/>
              <w:bottom w:val="nil"/>
              <w:right w:val="nil"/>
            </w:tcBorders>
            <w:tcMar>
              <w:top w:w="-1" w:type="dxa"/>
              <w:left w:w="-1" w:type="dxa"/>
              <w:bottom w:w="-1" w:type="dxa"/>
              <w:right w:w="-1" w:type="dxa"/>
            </w:tcMar>
            <w:vAlign w:val="center"/>
          </w:tcPr>
          <w:p w14:paraId="51EA4AF1">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2.17</w:t>
            </w:r>
          </w:p>
        </w:tc>
        <w:tc>
          <w:tcPr>
            <w:tcW w:w="1024" w:type="dxa"/>
            <w:tcBorders>
              <w:top w:val="single" w:color="auto" w:sz="4" w:space="0"/>
              <w:left w:val="single" w:color="auto" w:sz="4" w:space="0"/>
              <w:bottom w:val="nil"/>
              <w:right w:val="nil"/>
            </w:tcBorders>
            <w:tcMar>
              <w:top w:w="-1" w:type="dxa"/>
              <w:left w:w="-1" w:type="dxa"/>
              <w:bottom w:w="-1" w:type="dxa"/>
              <w:right w:w="-1" w:type="dxa"/>
            </w:tcMar>
            <w:vAlign w:val="center"/>
          </w:tcPr>
          <w:p w14:paraId="19E4844C">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0.41</w:t>
            </w:r>
          </w:p>
        </w:tc>
        <w:tc>
          <w:tcPr>
            <w:tcW w:w="1543" w:type="dxa"/>
            <w:tcBorders>
              <w:top w:val="single" w:color="auto" w:sz="4" w:space="0"/>
              <w:left w:val="single" w:color="auto" w:sz="4" w:space="0"/>
              <w:bottom w:val="nil"/>
              <w:right w:val="nil"/>
            </w:tcBorders>
            <w:tcMar>
              <w:top w:w="-1" w:type="dxa"/>
              <w:left w:w="-1" w:type="dxa"/>
              <w:bottom w:w="-1" w:type="dxa"/>
              <w:right w:w="-1" w:type="dxa"/>
            </w:tcMar>
            <w:vAlign w:val="center"/>
          </w:tcPr>
          <w:p w14:paraId="7E4FE05B">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[1.37, 2.97]</w:t>
            </w:r>
          </w:p>
        </w:tc>
        <w:tc>
          <w:tcPr>
            <w:tcW w:w="782" w:type="dxa"/>
            <w:tcBorders>
              <w:top w:val="single" w:color="auto" w:sz="4" w:space="0"/>
              <w:left w:val="single" w:color="auto" w:sz="4" w:space="0"/>
              <w:bottom w:val="nil"/>
              <w:right w:val="nil"/>
            </w:tcBorders>
            <w:tcMar>
              <w:top w:w="-1" w:type="dxa"/>
              <w:left w:w="-1" w:type="dxa"/>
              <w:bottom w:w="-1" w:type="dxa"/>
              <w:right w:w="-1" w:type="dxa"/>
            </w:tcMar>
            <w:vAlign w:val="center"/>
          </w:tcPr>
          <w:p w14:paraId="4E8CEF73">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5.31</w:t>
            </w:r>
          </w:p>
        </w:tc>
        <w:tc>
          <w:tcPr>
            <w:tcW w:w="103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B9965CC">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7D086695">
        <w:tblPrEx>
          <w:tblCellMar>
            <w:top w:w="0" w:type="dxa"/>
            <w:left w:w="108" w:type="dxa"/>
            <w:bottom w:w="0" w:type="dxa"/>
            <w:right w:w="108" w:type="dxa"/>
          </w:tblCellMar>
        </w:tblPrEx>
        <w:trPr>
          <w:cantSplit/>
          <w:trHeight w:val="283" w:hRule="atLeast"/>
          <w:jc w:val="center"/>
        </w:trPr>
        <w:tc>
          <w:tcPr>
            <w:tcW w:w="2775" w:type="dxa"/>
            <w:tcBorders>
              <w:top w:val="single" w:color="auto" w:sz="4" w:space="0"/>
              <w:left w:val="single" w:color="auto" w:sz="4" w:space="0"/>
              <w:bottom w:val="nil"/>
              <w:right w:val="nil"/>
            </w:tcBorders>
            <w:tcMar>
              <w:top w:w="-1" w:type="dxa"/>
              <w:left w:w="-1" w:type="dxa"/>
              <w:bottom w:w="-1" w:type="dxa"/>
              <w:right w:w="-1" w:type="dxa"/>
            </w:tcMar>
            <w:vAlign w:val="center"/>
          </w:tcPr>
          <w:p w14:paraId="50CFF068">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2005—2014 vs 1995—2004</w:t>
            </w:r>
          </w:p>
        </w:tc>
        <w:tc>
          <w:tcPr>
            <w:tcW w:w="1809" w:type="dxa"/>
            <w:tcBorders>
              <w:top w:val="single" w:color="auto" w:sz="4" w:space="0"/>
              <w:left w:val="single" w:color="auto" w:sz="4" w:space="0"/>
              <w:bottom w:val="nil"/>
              <w:right w:val="nil"/>
            </w:tcBorders>
            <w:tcMar>
              <w:top w:w="-1" w:type="dxa"/>
              <w:left w:w="-1" w:type="dxa"/>
              <w:bottom w:w="-1" w:type="dxa"/>
              <w:right w:w="-1" w:type="dxa"/>
            </w:tcMar>
            <w:vAlign w:val="center"/>
          </w:tcPr>
          <w:p w14:paraId="162F0D99">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0.79</w:t>
            </w:r>
          </w:p>
        </w:tc>
        <w:tc>
          <w:tcPr>
            <w:tcW w:w="1024" w:type="dxa"/>
            <w:tcBorders>
              <w:top w:val="single" w:color="auto" w:sz="4" w:space="0"/>
              <w:left w:val="single" w:color="auto" w:sz="4" w:space="0"/>
              <w:bottom w:val="nil"/>
              <w:right w:val="nil"/>
            </w:tcBorders>
            <w:tcMar>
              <w:top w:w="-1" w:type="dxa"/>
              <w:left w:w="-1" w:type="dxa"/>
              <w:bottom w:w="-1" w:type="dxa"/>
              <w:right w:w="-1" w:type="dxa"/>
            </w:tcMar>
            <w:vAlign w:val="center"/>
          </w:tcPr>
          <w:p w14:paraId="2353770A">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0.25</w:t>
            </w:r>
          </w:p>
        </w:tc>
        <w:tc>
          <w:tcPr>
            <w:tcW w:w="1543" w:type="dxa"/>
            <w:tcBorders>
              <w:top w:val="single" w:color="auto" w:sz="4" w:space="0"/>
              <w:left w:val="single" w:color="auto" w:sz="4" w:space="0"/>
              <w:bottom w:val="nil"/>
              <w:right w:val="nil"/>
            </w:tcBorders>
            <w:tcMar>
              <w:top w:w="-1" w:type="dxa"/>
              <w:left w:w="-1" w:type="dxa"/>
              <w:bottom w:w="-1" w:type="dxa"/>
              <w:right w:w="-1" w:type="dxa"/>
            </w:tcMar>
            <w:vAlign w:val="center"/>
          </w:tcPr>
          <w:p w14:paraId="1D2A8B42">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[0.29, 1.29]</w:t>
            </w:r>
          </w:p>
        </w:tc>
        <w:tc>
          <w:tcPr>
            <w:tcW w:w="782" w:type="dxa"/>
            <w:tcBorders>
              <w:top w:val="single" w:color="auto" w:sz="4" w:space="0"/>
              <w:left w:val="single" w:color="auto" w:sz="4" w:space="0"/>
              <w:bottom w:val="nil"/>
              <w:right w:val="nil"/>
            </w:tcBorders>
            <w:tcMar>
              <w:top w:w="-1" w:type="dxa"/>
              <w:left w:w="-1" w:type="dxa"/>
              <w:bottom w:w="-1" w:type="dxa"/>
              <w:right w:w="-1" w:type="dxa"/>
            </w:tcMar>
            <w:vAlign w:val="center"/>
          </w:tcPr>
          <w:p w14:paraId="5A172275">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3.12</w:t>
            </w:r>
          </w:p>
        </w:tc>
        <w:tc>
          <w:tcPr>
            <w:tcW w:w="103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C12E363">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0.002</w:t>
            </w:r>
          </w:p>
        </w:tc>
      </w:tr>
      <w:tr w14:paraId="67F7A102">
        <w:tblPrEx>
          <w:tblCellMar>
            <w:top w:w="0" w:type="dxa"/>
            <w:left w:w="108" w:type="dxa"/>
            <w:bottom w:w="0" w:type="dxa"/>
            <w:right w:w="108" w:type="dxa"/>
          </w:tblCellMar>
        </w:tblPrEx>
        <w:trPr>
          <w:cantSplit/>
          <w:trHeight w:val="283" w:hRule="atLeast"/>
          <w:jc w:val="center"/>
        </w:trPr>
        <w:tc>
          <w:tcPr>
            <w:tcW w:w="2775" w:type="dxa"/>
            <w:tcBorders>
              <w:top w:val="single" w:color="auto" w:sz="4" w:space="0"/>
              <w:left w:val="single" w:color="auto" w:sz="4" w:space="0"/>
              <w:bottom w:val="nil"/>
              <w:right w:val="nil"/>
            </w:tcBorders>
            <w:tcMar>
              <w:top w:w="-1" w:type="dxa"/>
              <w:left w:w="-1" w:type="dxa"/>
              <w:bottom w:w="-1" w:type="dxa"/>
              <w:right w:w="-1" w:type="dxa"/>
            </w:tcMar>
            <w:vAlign w:val="center"/>
          </w:tcPr>
          <w:p w14:paraId="0C1B6438">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2015—2023 vs 1995—2004</w:t>
            </w:r>
          </w:p>
        </w:tc>
        <w:tc>
          <w:tcPr>
            <w:tcW w:w="1809" w:type="dxa"/>
            <w:tcBorders>
              <w:top w:val="single" w:color="auto" w:sz="4" w:space="0"/>
              <w:left w:val="single" w:color="auto" w:sz="4" w:space="0"/>
              <w:bottom w:val="nil"/>
              <w:right w:val="nil"/>
            </w:tcBorders>
            <w:tcMar>
              <w:top w:w="-1" w:type="dxa"/>
              <w:left w:w="-1" w:type="dxa"/>
              <w:bottom w:w="-1" w:type="dxa"/>
              <w:right w:w="-1" w:type="dxa"/>
            </w:tcMar>
            <w:vAlign w:val="center"/>
          </w:tcPr>
          <w:p w14:paraId="14E78250">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1.25</w:t>
            </w:r>
          </w:p>
        </w:tc>
        <w:tc>
          <w:tcPr>
            <w:tcW w:w="1024" w:type="dxa"/>
            <w:tcBorders>
              <w:top w:val="single" w:color="auto" w:sz="4" w:space="0"/>
              <w:left w:val="single" w:color="auto" w:sz="4" w:space="0"/>
              <w:bottom w:val="nil"/>
              <w:right w:val="nil"/>
            </w:tcBorders>
            <w:tcMar>
              <w:top w:w="-1" w:type="dxa"/>
              <w:left w:w="-1" w:type="dxa"/>
              <w:bottom w:w="-1" w:type="dxa"/>
              <w:right w:w="-1" w:type="dxa"/>
            </w:tcMar>
            <w:vAlign w:val="center"/>
          </w:tcPr>
          <w:p w14:paraId="3EF803C9">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0.24</w:t>
            </w:r>
          </w:p>
        </w:tc>
        <w:tc>
          <w:tcPr>
            <w:tcW w:w="1543" w:type="dxa"/>
            <w:tcBorders>
              <w:top w:val="single" w:color="auto" w:sz="4" w:space="0"/>
              <w:left w:val="single" w:color="auto" w:sz="4" w:space="0"/>
              <w:bottom w:val="nil"/>
              <w:right w:val="nil"/>
            </w:tcBorders>
            <w:tcMar>
              <w:top w:w="-1" w:type="dxa"/>
              <w:left w:w="-1" w:type="dxa"/>
              <w:bottom w:w="-1" w:type="dxa"/>
              <w:right w:w="-1" w:type="dxa"/>
            </w:tcMar>
            <w:vAlign w:val="center"/>
          </w:tcPr>
          <w:p w14:paraId="50DF2F42">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[0.78, 1.72]</w:t>
            </w:r>
          </w:p>
        </w:tc>
        <w:tc>
          <w:tcPr>
            <w:tcW w:w="782" w:type="dxa"/>
            <w:tcBorders>
              <w:top w:val="single" w:color="auto" w:sz="4" w:space="0"/>
              <w:left w:val="single" w:color="auto" w:sz="4" w:space="0"/>
              <w:bottom w:val="nil"/>
              <w:right w:val="nil"/>
            </w:tcBorders>
            <w:tcMar>
              <w:top w:w="-1" w:type="dxa"/>
              <w:left w:w="-1" w:type="dxa"/>
              <w:bottom w:w="-1" w:type="dxa"/>
              <w:right w:w="-1" w:type="dxa"/>
            </w:tcMar>
            <w:vAlign w:val="center"/>
          </w:tcPr>
          <w:p w14:paraId="266970D1">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5.2</w:t>
            </w:r>
          </w:p>
        </w:tc>
        <w:tc>
          <w:tcPr>
            <w:tcW w:w="103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7268818">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7DF2F297">
        <w:tblPrEx>
          <w:tblCellMar>
            <w:top w:w="0" w:type="dxa"/>
            <w:left w:w="108" w:type="dxa"/>
            <w:bottom w:w="0" w:type="dxa"/>
            <w:right w:w="108" w:type="dxa"/>
          </w:tblCellMar>
        </w:tblPrEx>
        <w:trPr>
          <w:cantSplit/>
          <w:trHeight w:val="283" w:hRule="atLeast"/>
          <w:jc w:val="center"/>
        </w:trPr>
        <w:tc>
          <w:tcPr>
            <w:tcW w:w="277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BAC4D6A">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2015—2023 vs 2005—2014</w:t>
            </w:r>
          </w:p>
        </w:tc>
        <w:tc>
          <w:tcPr>
            <w:tcW w:w="18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AB4342A">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0.46</w:t>
            </w:r>
          </w:p>
        </w:tc>
        <w:tc>
          <w:tcPr>
            <w:tcW w:w="102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96EC4C8">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0.17</w:t>
            </w:r>
          </w:p>
        </w:tc>
        <w:tc>
          <w:tcPr>
            <w:tcW w:w="154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B08E421">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[0.13, 0.78]</w:t>
            </w:r>
          </w:p>
        </w:tc>
        <w:tc>
          <w:tcPr>
            <w:tcW w:w="78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E8DD44B">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2.73</w:t>
            </w:r>
          </w:p>
        </w:tc>
        <w:tc>
          <w:tcPr>
            <w:tcW w:w="1033"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C1241F9">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0.006</w:t>
            </w:r>
          </w:p>
        </w:tc>
      </w:tr>
    </w:tbl>
    <w:p w14:paraId="7C6D03E1">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table reports pairwise comparisons of the average marginal effects of elite doctoral education across doctoral-completion periods. Differences are expressed in percentage points; positive values indicate a larger advantage in the later period. Confidence intervals and p-values are not adjusted for multiple comparisons</w:t>
      </w:r>
      <w:r>
        <w:rPr>
          <w:rFonts w:hint="default" w:ascii="Times New Roman" w:hAnsi="Times New Roman" w:cs="Times New Roman"/>
          <w:b w:val="0"/>
          <w:i w:val="0"/>
          <w:sz w:val="20"/>
          <w:szCs w:val="28"/>
          <w:lang w:val="en-US" w:eastAsia="zh-CN"/>
        </w:rPr>
        <w:t>.</w:t>
      </w:r>
    </w:p>
    <w:p w14:paraId="0E91B178">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D. Continuous-year robustness model</w:t>
      </w:r>
    </w:p>
    <w:p w14:paraId="07316C02">
      <w:pPr>
        <w:pStyle w:val="4"/>
        <w:widowControl/>
        <w:spacing w:beforeAutospacing="0" w:afterAutospacing="0" w:line="300" w:lineRule="auto"/>
        <w:ind w:firstLine="420"/>
        <w:jc w:val="both"/>
        <w:rPr>
          <w:rFonts w:hint="default" w:ascii="Times New Roman" w:hAnsi="Times New Roman" w:eastAsia="宋体" w:cs="Times New Roman"/>
          <w:b w:val="0"/>
          <w:i w:val="0"/>
          <w:szCs w:val="32"/>
          <w:lang w:val="en-US" w:eastAsia="zh-CN"/>
        </w:rPr>
      </w:pPr>
      <w:r>
        <w:rPr>
          <w:rFonts w:hint="default" w:ascii="Times New Roman" w:hAnsi="Times New Roman" w:eastAsia="宋体" w:cs="Times New Roman"/>
          <w:b w:val="0"/>
          <w:i w:val="0"/>
          <w:szCs w:val="32"/>
          <w:lang w:eastAsia="zh-CN"/>
        </w:rPr>
        <w:t>As a robustness check, doctoral-completion year was modeled continuously. The elite-doctorate-by-year interaction was positive (β = 0.0027, OR = 1.0027, 95% CI [1.0019, 1.0035], p &lt; 0.001; Wald χ²(1) = 45.89), implying an average annual increase of approximately 0.27% in the relative odds advantage of elite doctoral education. The continuous-year model also increased the AME from 4.74 percentage points in 1985 to 7.01 percentage points in 2023, indicating that the widening advantage is not driven by the chosen period cutoffs</w:t>
      </w:r>
      <w:r>
        <w:rPr>
          <w:rFonts w:hint="default" w:ascii="Times New Roman" w:hAnsi="Times New Roman" w:eastAsia="宋体" w:cs="Times New Roman"/>
          <w:b w:val="0"/>
          <w:i w:val="0"/>
          <w:szCs w:val="32"/>
          <w:lang w:val="en-US" w:eastAsia="zh-CN"/>
        </w:rPr>
        <w:t>.</w:t>
      </w:r>
    </w:p>
    <w:p w14:paraId="11B7348C">
      <w:pPr>
        <w:widowControl/>
        <w:spacing w:line="300" w:lineRule="auto"/>
        <w:rPr>
          <w:rFonts w:hint="default" w:ascii="Times New Roman" w:hAnsi="Times New Roman" w:eastAsia="宋体" w:cs="Times New Roman"/>
          <w:kern w:val="0"/>
          <w:sz w:val="24"/>
          <w:lang w:bidi="ar"/>
        </w:rPr>
      </w:pPr>
    </w:p>
    <w:p w14:paraId="0877B15A">
      <w:pPr>
        <w:rPr>
          <w:rFonts w:hint="default" w:ascii="Times New Roman" w:hAnsi="Times New Roman" w:cs="Times New Roman"/>
          <w:b/>
        </w:rPr>
      </w:pPr>
      <w:r>
        <w:rPr>
          <w:rFonts w:hint="default" w:ascii="Times New Roman" w:hAnsi="Times New Roman" w:cs="Times New Roman"/>
          <w:b/>
        </w:rPr>
        <w:br w:type="page"/>
      </w:r>
    </w:p>
    <w:p w14:paraId="28924235">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12. Temporal variation in the association between elite doctoral education and elite-university employment in the global faculty CV sample</w:t>
      </w:r>
    </w:p>
    <w:p w14:paraId="4C0195A0">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Logit interaction model</w:t>
      </w:r>
    </w:p>
    <w:p w14:paraId="5B299A3E">
      <w:pPr>
        <w:pStyle w:val="20"/>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t>N=768,286；Pseudo R²=0.2193</w:t>
      </w:r>
    </w:p>
    <w:tbl>
      <w:tblPr>
        <w:tblStyle w:val="5"/>
        <w:tblW w:w="0" w:type="auto"/>
        <w:jc w:val="center"/>
        <w:tblLayout w:type="fixed"/>
        <w:tblCellMar>
          <w:top w:w="0" w:type="dxa"/>
          <w:left w:w="108" w:type="dxa"/>
          <w:bottom w:w="0" w:type="dxa"/>
          <w:right w:w="108" w:type="dxa"/>
        </w:tblCellMar>
      </w:tblPr>
      <w:tblGrid>
        <w:gridCol w:w="2954"/>
        <w:gridCol w:w="1393"/>
        <w:gridCol w:w="1302"/>
        <w:gridCol w:w="822"/>
        <w:gridCol w:w="1479"/>
        <w:gridCol w:w="938"/>
      </w:tblGrid>
      <w:tr w14:paraId="2A6A8923">
        <w:tblPrEx>
          <w:tblCellMar>
            <w:top w:w="0" w:type="dxa"/>
            <w:left w:w="108" w:type="dxa"/>
            <w:bottom w:w="0" w:type="dxa"/>
            <w:right w:w="108" w:type="dxa"/>
          </w:tblCellMar>
        </w:tblPrEx>
        <w:trPr>
          <w:cantSplit/>
          <w:trHeight w:val="283" w:hRule="atLeast"/>
          <w:tblHeader/>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6FDC8D88">
            <w:pPr>
              <w:keepNext/>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Variable</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1556EB04">
            <w:pPr>
              <w:keepNext/>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Coefficient β</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45BAFB9C">
            <w:pPr>
              <w:keepNext/>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Robust SE</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0499AFFC">
            <w:pPr>
              <w:keepNext/>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OR</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62B0DB97">
            <w:pPr>
              <w:keepNext/>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eastAsia="宋体" w:cs="Times New Roman"/>
                <w:b/>
                <w:bCs/>
                <w:kern w:val="0"/>
                <w:sz w:val="21"/>
                <w:szCs w:val="21"/>
                <w:lang w:bidi="ar"/>
              </w:rPr>
              <w:t>95% CI</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6A612AB">
            <w:pPr>
              <w:keepNext/>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p-value</w:t>
            </w:r>
          </w:p>
        </w:tc>
      </w:tr>
      <w:tr w14:paraId="365C7C13">
        <w:tblPrEx>
          <w:tblCellMar>
            <w:top w:w="0" w:type="dxa"/>
            <w:left w:w="108" w:type="dxa"/>
            <w:bottom w:w="0" w:type="dxa"/>
            <w:right w:w="108" w:type="dxa"/>
          </w:tblCellMar>
        </w:tblPrEx>
        <w:trPr>
          <w:cantSplit/>
          <w:trHeight w:val="283" w:hRule="atLeast"/>
          <w:jc w:val="center"/>
        </w:trPr>
        <w:tc>
          <w:tcPr>
            <w:tcW w:w="8888"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2BEA259">
            <w:pPr>
              <w:keepNext/>
              <w:snapToGrid w:val="0"/>
              <w:spacing w:before="0" w:after="0" w:line="240" w:lineRule="auto"/>
              <w:jc w:val="left"/>
              <w:rPr>
                <w:rFonts w:hint="default" w:ascii="Times New Roman" w:hAnsi="Times New Roman" w:eastAsia="宋体" w:cs="Times New Roman"/>
                <w:sz w:val="21"/>
                <w:szCs w:val="21"/>
              </w:rPr>
            </w:pPr>
            <w:r>
              <w:rPr>
                <w:rFonts w:hint="default" w:ascii="Times New Roman" w:hAnsi="Times New Roman" w:cs="Times New Roman"/>
                <w:b/>
                <w:bCs/>
              </w:rPr>
              <w:t>Doctoral-background main effect (1985–1994; ref: non-elite doctorate)</w:t>
            </w:r>
          </w:p>
        </w:tc>
      </w:tr>
      <w:tr w14:paraId="0A77D3F4">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1BFAC75B">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 doctorate</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5C0D75D3">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0.973</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10931BCF">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0.019</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7559FAF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2.646</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4D8EBBEA">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[2.549, 2.747]</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986C3EA">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35E39C2F">
        <w:tblPrEx>
          <w:tblCellMar>
            <w:top w:w="0" w:type="dxa"/>
            <w:left w:w="108" w:type="dxa"/>
            <w:bottom w:w="0" w:type="dxa"/>
            <w:right w:w="108" w:type="dxa"/>
          </w:tblCellMar>
        </w:tblPrEx>
        <w:trPr>
          <w:cantSplit/>
          <w:trHeight w:val="283" w:hRule="atLeast"/>
          <w:jc w:val="center"/>
        </w:trPr>
        <w:tc>
          <w:tcPr>
            <w:tcW w:w="8888"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F3C07E4">
            <w:pPr>
              <w:keepNext/>
              <w:snapToGrid w:val="0"/>
              <w:spacing w:before="0" w:after="0" w:line="240" w:lineRule="auto"/>
              <w:jc w:val="left"/>
              <w:rPr>
                <w:rFonts w:hint="default" w:ascii="Times New Roman" w:hAnsi="Times New Roman" w:eastAsia="宋体" w:cs="Times New Roman"/>
                <w:sz w:val="21"/>
                <w:szCs w:val="21"/>
              </w:rPr>
            </w:pPr>
            <w:r>
              <w:rPr>
                <w:rFonts w:hint="default" w:ascii="Times New Roman" w:hAnsi="Times New Roman" w:cs="Times New Roman"/>
                <w:b/>
                <w:bCs/>
              </w:rPr>
              <w:t>Period main effects among non-elite doctorates (ref: 1985–1994)</w:t>
            </w:r>
          </w:p>
        </w:tc>
      </w:tr>
      <w:tr w14:paraId="70117A52">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7A34F8B9">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1995—2004</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4189FF94">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-0.152</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01E3420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0.016</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700D77F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0.859</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3E87043B">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[0.832, 0.887]</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78138C5">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2DF14F3F">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72EEC68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2005—2014</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07FC161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-0.429</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4FBEE56A">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0.015</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237F7675">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0.651</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23B4958B">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[0.632, 0.671]</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F3B7D06">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29BCB88F">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6918A9D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2015—2023</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607979C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-0.503</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2068A81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0.015</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690BEBDA">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0.605</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148B7315">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[0.587, 0.623]</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0986E9A">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79B379A1">
        <w:tblPrEx>
          <w:tblCellMar>
            <w:top w:w="0" w:type="dxa"/>
            <w:left w:w="108" w:type="dxa"/>
            <w:bottom w:w="0" w:type="dxa"/>
            <w:right w:w="108" w:type="dxa"/>
          </w:tblCellMar>
        </w:tblPrEx>
        <w:trPr>
          <w:cantSplit/>
          <w:trHeight w:val="283" w:hRule="atLeast"/>
          <w:jc w:val="center"/>
        </w:trPr>
        <w:tc>
          <w:tcPr>
            <w:tcW w:w="8888"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CDDD582">
            <w:pPr>
              <w:keepNext/>
              <w:snapToGrid w:val="0"/>
              <w:spacing w:before="0" w:after="0" w:line="240" w:lineRule="auto"/>
              <w:jc w:val="left"/>
              <w:rPr>
                <w:rFonts w:hint="default" w:ascii="Times New Roman" w:hAnsi="Times New Roman" w:eastAsia="宋体" w:cs="Times New Roman"/>
                <w:sz w:val="21"/>
                <w:szCs w:val="21"/>
              </w:rPr>
            </w:pPr>
            <w:r>
              <w:rPr>
                <w:rFonts w:hint="default" w:ascii="Times New Roman" w:hAnsi="Times New Roman" w:cs="Times New Roman"/>
                <w:b/>
                <w:bCs/>
              </w:rPr>
              <w:t>Elite doctorate × period interactions (ref: elite doctorate × 1985–1994)</w:t>
            </w:r>
          </w:p>
        </w:tc>
      </w:tr>
      <w:tr w14:paraId="71586D98">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0FB0BE8B">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 doctorate × 1995—2004</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5D9122C0">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0.145</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1EE649E2">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0.023</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4CC5A10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1.156</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0108B05B">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[1.105, 1.209]</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0AD7F6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02CD9C6B">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2E4C4203">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 doctorate × 2005—2014</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30B41EFE">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0.251</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38CBBDA1">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0.021</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5AD5DCF3">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1.285</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7B5A0EB5">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[1.233, 1.340]</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B30BBC5">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5E8CCB13">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6E9F8D66">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 doctorate × 2015—2023</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0FD6DED2">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0.280</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4F543271">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0.021</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588E3349">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1.323</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26027986">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[1.269, 1.379]</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1508020">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32F69342">
        <w:tblPrEx>
          <w:tblCellMar>
            <w:top w:w="0" w:type="dxa"/>
            <w:left w:w="108" w:type="dxa"/>
            <w:bottom w:w="0" w:type="dxa"/>
            <w:right w:w="108" w:type="dxa"/>
          </w:tblCellMar>
        </w:tblPrEx>
        <w:trPr>
          <w:cantSplit/>
          <w:trHeight w:val="283" w:hRule="atLeast"/>
          <w:jc w:val="center"/>
        </w:trPr>
        <w:tc>
          <w:tcPr>
            <w:tcW w:w="8888"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A647370">
            <w:pPr>
              <w:keepNext/>
              <w:snapToGrid w:val="0"/>
              <w:spacing w:before="0" w:after="0" w:line="240" w:lineRule="auto"/>
              <w:jc w:val="left"/>
              <w:rPr>
                <w:rFonts w:hint="default" w:ascii="Times New Roman" w:hAnsi="Times New Roman" w:eastAsia="宋体" w:cs="Times New Roman"/>
                <w:sz w:val="21"/>
                <w:szCs w:val="21"/>
              </w:rPr>
            </w:pPr>
            <w:r>
              <w:rPr>
                <w:rFonts w:hint="default" w:ascii="Times New Roman" w:hAnsi="Times New Roman" w:cs="Times New Roman"/>
                <w:b/>
                <w:bCs/>
              </w:rPr>
              <w:t>Undergraduate background (ref: non-elite bachelor’s degree)</w:t>
            </w:r>
          </w:p>
        </w:tc>
      </w:tr>
      <w:tr w14:paraId="34D3D9EC">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1E8F373A">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 bachelor’s degree</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12E695C5">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0.822</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028134E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0.007</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373C28A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2.275</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255C36F5">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[2.243, 2.306]</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4600212">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08580BAC">
        <w:tblPrEx>
          <w:tblCellMar>
            <w:top w:w="0" w:type="dxa"/>
            <w:left w:w="108" w:type="dxa"/>
            <w:bottom w:w="0" w:type="dxa"/>
            <w:right w:w="108" w:type="dxa"/>
          </w:tblCellMar>
        </w:tblPrEx>
        <w:trPr>
          <w:cantSplit/>
          <w:trHeight w:val="283" w:hRule="atLeast"/>
          <w:jc w:val="center"/>
        </w:trPr>
        <w:tc>
          <w:tcPr>
            <w:tcW w:w="8888"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A5F2634">
            <w:pPr>
              <w:keepNext/>
              <w:snapToGrid w:val="0"/>
              <w:spacing w:before="0" w:after="0" w:line="240" w:lineRule="auto"/>
              <w:jc w:val="left"/>
              <w:rPr>
                <w:rFonts w:hint="default" w:ascii="Times New Roman" w:hAnsi="Times New Roman" w:eastAsia="宋体" w:cs="Times New Roman"/>
                <w:sz w:val="21"/>
                <w:szCs w:val="21"/>
              </w:rPr>
            </w:pPr>
            <w:r>
              <w:rPr>
                <w:rFonts w:hint="default" w:ascii="Times New Roman" w:hAnsi="Times New Roman" w:cs="Times New Roman"/>
                <w:b/>
                <w:bCs/>
              </w:rPr>
              <w:t>Gender (ref: Female)</w:t>
            </w:r>
          </w:p>
        </w:tc>
      </w:tr>
      <w:tr w14:paraId="032A226D">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496FC503">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Male</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201AE830">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0.166</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2C469EE2">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0.006</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14842AA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1.181</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163605F9">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[1.166, 1.195]</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FE15D81">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5B6FEC48">
        <w:tblPrEx>
          <w:tblCellMar>
            <w:top w:w="0" w:type="dxa"/>
            <w:left w:w="108" w:type="dxa"/>
            <w:bottom w:w="0" w:type="dxa"/>
            <w:right w:w="108" w:type="dxa"/>
          </w:tblCellMar>
        </w:tblPrEx>
        <w:trPr>
          <w:cantSplit/>
          <w:trHeight w:val="283" w:hRule="atLeast"/>
          <w:jc w:val="center"/>
        </w:trPr>
        <w:tc>
          <w:tcPr>
            <w:tcW w:w="8888"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1B08F49">
            <w:pPr>
              <w:keepNext/>
              <w:snapToGrid w:val="0"/>
              <w:spacing w:before="0" w:after="0" w:line="240" w:lineRule="auto"/>
              <w:jc w:val="left"/>
              <w:rPr>
                <w:rFonts w:hint="default" w:ascii="Times New Roman" w:hAnsi="Times New Roman" w:eastAsia="宋体" w:cs="Times New Roman"/>
                <w:sz w:val="21"/>
                <w:szCs w:val="21"/>
              </w:rPr>
            </w:pPr>
            <w:r>
              <w:rPr>
                <w:rFonts w:hint="default" w:ascii="Times New Roman" w:hAnsi="Times New Roman" w:eastAsia="宋体" w:cs="Times New Roman"/>
                <w:b/>
                <w:bCs/>
                <w:kern w:val="0"/>
                <w:sz w:val="21"/>
                <w:szCs w:val="21"/>
                <w:lang w:bidi="ar"/>
              </w:rPr>
              <w:t>Discipline（Ref：AS）</w:t>
            </w:r>
          </w:p>
        </w:tc>
      </w:tr>
      <w:tr w14:paraId="6A537BD1">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4EBF718D">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ENG</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109E5286">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0.419</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052D9D9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0.02</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5918F109">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1.520</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2D59539F">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[1.461, 1.581]</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83CCDEE">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06D82D9B">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1E4B4FEB">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HU</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01F5B7BE">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0.361</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31E7C78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0.021</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785E8D60">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1.435</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7F69DE12">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[1.377, 1.496]</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AF46450">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7D12CFB0">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2F4DDDA1">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MC</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2C140B00">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-0.091</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0806BFF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0.037</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30F7E6F3">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0.913</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0CD5C9F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[0.849, 0.982]</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4154DCA">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0.014</w:t>
            </w:r>
          </w:p>
        </w:tc>
      </w:tr>
      <w:tr w14:paraId="282B1B25">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684C0D11">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MH</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56EE4663">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0.789</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4C5B5CC8">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0.021</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6CFFDCA5">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2.202</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3E9FC2C0">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[2.114, 2.293]</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0CB6FE0">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1AF48F0E">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043D34A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NS</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12B5AB5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0.481</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72F78B0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0.021</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7FFC841A">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1.618</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262F1FCD">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[1.554, 1.685]</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EEA1C09">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7DB32ECF">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55FF0E66">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SS</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34B9986F">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0.216</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14DDCBE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0.020</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13CCBB18">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1.241</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69D8E8B3">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[1.192, 1.291]</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164236E">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57B5D6DE">
        <w:tblPrEx>
          <w:tblCellMar>
            <w:top w:w="0" w:type="dxa"/>
            <w:left w:w="108" w:type="dxa"/>
            <w:bottom w:w="0" w:type="dxa"/>
            <w:right w:w="108" w:type="dxa"/>
          </w:tblCellMar>
        </w:tblPrEx>
        <w:trPr>
          <w:cantSplit/>
          <w:trHeight w:val="283" w:hRule="atLeast"/>
          <w:jc w:val="center"/>
        </w:trPr>
        <w:tc>
          <w:tcPr>
            <w:tcW w:w="8888"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AEBA26C">
            <w:pPr>
              <w:keepNext/>
              <w:snapToGrid w:val="0"/>
              <w:spacing w:before="0" w:after="0" w:line="240" w:lineRule="auto"/>
              <w:jc w:val="left"/>
              <w:rPr>
                <w:rFonts w:hint="default" w:ascii="Times New Roman" w:hAnsi="Times New Roman" w:eastAsia="宋体" w:cs="Times New Roman"/>
                <w:sz w:val="21"/>
                <w:szCs w:val="21"/>
              </w:rPr>
            </w:pPr>
            <w:r>
              <w:rPr>
                <w:rFonts w:hint="default" w:ascii="Times New Roman" w:hAnsi="Times New Roman" w:eastAsia="宋体" w:cs="Times New Roman"/>
                <w:b/>
                <w:bCs/>
                <w:kern w:val="0"/>
                <w:sz w:val="21"/>
                <w:szCs w:val="21"/>
                <w:lang w:bidi="ar"/>
              </w:rPr>
              <w:t>Country/region（Ref：Australia）</w:t>
            </w:r>
          </w:p>
        </w:tc>
      </w:tr>
      <w:tr w14:paraId="4AF8E6BC">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133D8E53">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Brazil</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1F9FB47B">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-3.489</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5BA17215">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0.054</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40D8A3B9">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0.031</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193D324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[0.027, 0.034]</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F1CE01E">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31FA609E">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77F96354">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Canada</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21E50BE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-0.780</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7380F8DF">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0.035</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4AA45FF0">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0.458</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70A6FD53">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[0.428, 0.490]</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F0FCAE2">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1BF9EFE0">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7D5F4A02">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China</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6CA25A8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-1.217</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28BC8656">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0.029</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343F002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0.296</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1226D476">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[0.280, 0.313]</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95FB5C3">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1F5D5486">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2385DF54">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Germany</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63E9D55D">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-1.215</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0626817B">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0.036</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3880AB6D">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0.297</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478BD838">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[0.277, 0.318]</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B8039D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47D2515C">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6D98A944">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India</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382052A9">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-4.977</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051C7693">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0.080</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3BBE7BB2">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0.007</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77ABA363">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[0.006, 0.008]</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D4EAC8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05659988">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4CFEDC46">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Japan</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1AE8F780">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-3.034</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23D3AD60">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0.034</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5315949E">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0.048</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780EC6B1">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[0.045, 0.051]</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B89CD3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0839E8E2">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35429CD5">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Others</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493B2605">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-2.392</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7BC427F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0.029</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05AAE73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0.091</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78DF6A74">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[0.086, 0.097]</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E7B066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04CB9F4F">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706CA74B">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Russia</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5080AC7D">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-4.718</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1F1FCCC9">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0.081</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06B4F1D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0.009</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7FF0EA63">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[0.008, 0.010]</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E2E7B08">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41594119">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6A7B73B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South Korea</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3F965008">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-1.335</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4446F889">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0.039</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618B5536">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0.263</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11F23740">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[0.244, 0.284]</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42305FD">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3B35C032">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77E51A44">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Spain</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47838F0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-2.166</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60F3A48A">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0.037</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71D4C046">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0.115</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48F3C395">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[0.107, 0.123]</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7CCCBC4">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77F8519C">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45ED498E">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Türkiye</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1E92C8E8">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-3.717</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49028891">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0.049</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750E7F19">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0.024</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1CBB7B54">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[0.022, 0.027]</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E98DE2B">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3BE031D4">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2053A1E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United Kingdom</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0717DCCC">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-0.137</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24E0DA01">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0.032</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0C16A33F">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0.872</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549021A8">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[0.818, 0.929]</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7246BC5">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16AEB659">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nil"/>
              <w:right w:val="nil"/>
            </w:tcBorders>
            <w:tcMar>
              <w:top w:w="-1" w:type="dxa"/>
              <w:left w:w="-1" w:type="dxa"/>
              <w:bottom w:w="-1" w:type="dxa"/>
              <w:right w:w="-1" w:type="dxa"/>
            </w:tcMar>
            <w:vAlign w:val="center"/>
          </w:tcPr>
          <w:p w14:paraId="52D6B814">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United States</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55BFA171">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-1.087</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5EA24766">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0.029</w:t>
            </w:r>
          </w:p>
        </w:tc>
        <w:tc>
          <w:tcPr>
            <w:tcW w:w="822" w:type="dxa"/>
            <w:tcBorders>
              <w:top w:val="single" w:color="auto" w:sz="4" w:space="0"/>
              <w:left w:val="single" w:color="auto" w:sz="4" w:space="0"/>
              <w:bottom w:val="nil"/>
              <w:right w:val="nil"/>
            </w:tcBorders>
            <w:tcMar>
              <w:top w:w="-1" w:type="dxa"/>
              <w:left w:w="-1" w:type="dxa"/>
              <w:bottom w:w="-1" w:type="dxa"/>
              <w:right w:w="-1" w:type="dxa"/>
            </w:tcMar>
            <w:vAlign w:val="center"/>
          </w:tcPr>
          <w:p w14:paraId="12CC5458">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0.337</w:t>
            </w:r>
          </w:p>
        </w:tc>
        <w:tc>
          <w:tcPr>
            <w:tcW w:w="1479" w:type="dxa"/>
            <w:tcBorders>
              <w:top w:val="single" w:color="auto" w:sz="4" w:space="0"/>
              <w:left w:val="single" w:color="auto" w:sz="4" w:space="0"/>
              <w:bottom w:val="nil"/>
              <w:right w:val="nil"/>
            </w:tcBorders>
            <w:tcMar>
              <w:top w:w="-1" w:type="dxa"/>
              <w:left w:w="-1" w:type="dxa"/>
              <w:bottom w:w="-1" w:type="dxa"/>
              <w:right w:w="-1" w:type="dxa"/>
            </w:tcMar>
            <w:vAlign w:val="center"/>
          </w:tcPr>
          <w:p w14:paraId="20222142">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[0.319, 0.357]</w:t>
            </w:r>
          </w:p>
        </w:tc>
        <w:tc>
          <w:tcPr>
            <w:tcW w:w="9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FD6BBF0">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r w14:paraId="732E6EBF">
        <w:tblPrEx>
          <w:tblCellMar>
            <w:top w:w="0" w:type="dxa"/>
            <w:left w:w="108" w:type="dxa"/>
            <w:bottom w:w="0" w:type="dxa"/>
            <w:right w:w="108" w:type="dxa"/>
          </w:tblCellMar>
        </w:tblPrEx>
        <w:trPr>
          <w:cantSplit/>
          <w:trHeight w:val="283" w:hRule="atLeast"/>
          <w:jc w:val="center"/>
        </w:trPr>
        <w:tc>
          <w:tcPr>
            <w:tcW w:w="295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F8F035D">
            <w:pPr>
              <w:keepNext/>
              <w:widowControl/>
              <w:snapToGrid w:val="0"/>
              <w:spacing w:before="0" w:after="0" w:line="240" w:lineRule="auto"/>
              <w:jc w:val="left"/>
              <w:textAlignment w:val="center"/>
              <w:rPr>
                <w:rFonts w:hint="default" w:ascii="Times New Roman" w:hAnsi="Times New Roman" w:eastAsia="宋体" w:cs="Times New Roman"/>
                <w:sz w:val="21"/>
                <w:szCs w:val="21"/>
              </w:rPr>
            </w:pPr>
            <w:r>
              <w:rPr>
                <w:rFonts w:hint="default" w:ascii="Times New Roman" w:hAnsi="Times New Roman" w:cs="Times New Roman"/>
                <w:b/>
                <w:bCs/>
              </w:rPr>
              <w:t>Constant</w:t>
            </w:r>
          </w:p>
        </w:tc>
        <w:tc>
          <w:tcPr>
            <w:tcW w:w="139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CB6CA3A">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-0.251</w:t>
            </w:r>
          </w:p>
        </w:tc>
        <w:tc>
          <w:tcPr>
            <w:tcW w:w="130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3F2C66D">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0.037</w:t>
            </w:r>
          </w:p>
        </w:tc>
        <w:tc>
          <w:tcPr>
            <w:tcW w:w="82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1A4E0D7">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0.778</w:t>
            </w:r>
          </w:p>
        </w:tc>
        <w:tc>
          <w:tcPr>
            <w:tcW w:w="147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8D25EDA">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[0.723, 0.836]</w:t>
            </w:r>
          </w:p>
        </w:tc>
        <w:tc>
          <w:tcPr>
            <w:tcW w:w="93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5496892">
            <w:pPr>
              <w:keepNext/>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&lt;0.001</w:t>
            </w:r>
          </w:p>
        </w:tc>
      </w:tr>
    </w:tbl>
    <w:p w14:paraId="537CDC07">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dependent variable equals one for current employment at an elite university. The model is estimated by logit with heteroskedasticity-robust standard errors. The elite-doctorate main effect represents the association in the 1985–1994 reference period; period main effects represent changes among non-elite doctorate holders; and interaction terms represent additional period-specific changes in the elite-doctorate association. Interaction-term odds ratios are ratios of odds ratios, not complete period-specific odds ratios. The model also controls for elite undergraduate education, gender, discipline, and country/region. Because the missing-country category perfectly predicted non-employment at an elite university, 17,465 observations were excluded automatically</w:t>
      </w:r>
      <w:r>
        <w:rPr>
          <w:rFonts w:hint="default" w:ascii="Times New Roman" w:hAnsi="Times New Roman" w:cs="Times New Roman"/>
          <w:b w:val="0"/>
          <w:i w:val="0"/>
          <w:sz w:val="20"/>
          <w:szCs w:val="28"/>
          <w:lang w:val="en-US" w:eastAsia="zh-CN"/>
        </w:rPr>
        <w:t>.</w:t>
      </w:r>
    </w:p>
    <w:p w14:paraId="2AB67783">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Adjusted probabilities and average marginal effects by doctoral-completion period</w:t>
      </w:r>
    </w:p>
    <w:tbl>
      <w:tblPr>
        <w:tblStyle w:val="5"/>
        <w:tblW w:w="0" w:type="auto"/>
        <w:jc w:val="center"/>
        <w:tblLayout w:type="fixed"/>
        <w:tblCellMar>
          <w:top w:w="0" w:type="dxa"/>
          <w:left w:w="108" w:type="dxa"/>
          <w:bottom w:w="0" w:type="dxa"/>
          <w:right w:w="108" w:type="dxa"/>
        </w:tblCellMar>
      </w:tblPr>
      <w:tblGrid>
        <w:gridCol w:w="1404"/>
        <w:gridCol w:w="1819"/>
        <w:gridCol w:w="1790"/>
        <w:gridCol w:w="1404"/>
        <w:gridCol w:w="1448"/>
        <w:gridCol w:w="945"/>
      </w:tblGrid>
      <w:tr w14:paraId="4FCF3086">
        <w:tblPrEx>
          <w:tblCellMar>
            <w:top w:w="0" w:type="dxa"/>
            <w:left w:w="108" w:type="dxa"/>
            <w:bottom w:w="0" w:type="dxa"/>
            <w:right w:w="108" w:type="dxa"/>
          </w:tblCellMar>
        </w:tblPrEx>
        <w:trPr>
          <w:cantSplit/>
          <w:trHeight w:val="283" w:hRule="atLeast"/>
          <w:tblHeader/>
          <w:jc w:val="center"/>
        </w:trPr>
        <w:tc>
          <w:tcPr>
            <w:tcW w:w="1404" w:type="dxa"/>
            <w:tcBorders>
              <w:top w:val="single" w:color="auto" w:sz="4" w:space="0"/>
              <w:left w:val="single" w:color="auto" w:sz="4" w:space="0"/>
              <w:bottom w:val="nil"/>
              <w:right w:val="nil"/>
            </w:tcBorders>
            <w:tcMar>
              <w:top w:w="-1" w:type="dxa"/>
              <w:left w:w="-1" w:type="dxa"/>
              <w:bottom w:w="-1" w:type="dxa"/>
              <w:right w:w="-1" w:type="dxa"/>
            </w:tcMar>
            <w:vAlign w:val="center"/>
          </w:tcPr>
          <w:p w14:paraId="57BD9807">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Period</w:t>
            </w:r>
          </w:p>
        </w:tc>
        <w:tc>
          <w:tcPr>
            <w:tcW w:w="1819" w:type="dxa"/>
            <w:tcBorders>
              <w:top w:val="single" w:color="auto" w:sz="4" w:space="0"/>
              <w:left w:val="single" w:color="auto" w:sz="4" w:space="0"/>
              <w:bottom w:val="nil"/>
              <w:right w:val="nil"/>
            </w:tcBorders>
            <w:tcMar>
              <w:top w:w="-1" w:type="dxa"/>
              <w:left w:w="-1" w:type="dxa"/>
              <w:bottom w:w="-1" w:type="dxa"/>
              <w:right w:w="-1" w:type="dxa"/>
            </w:tcMar>
            <w:vAlign w:val="center"/>
          </w:tcPr>
          <w:p w14:paraId="6800201C">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Non-elite doctorateaverage predicted probability</w:t>
            </w:r>
          </w:p>
          <w:p w14:paraId="5F93F247">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w:t>
            </w:r>
          </w:p>
        </w:tc>
        <w:tc>
          <w:tcPr>
            <w:tcW w:w="1790" w:type="dxa"/>
            <w:tcBorders>
              <w:top w:val="single" w:color="auto" w:sz="4" w:space="0"/>
              <w:left w:val="single" w:color="auto" w:sz="4" w:space="0"/>
              <w:bottom w:val="nil"/>
              <w:right w:val="nil"/>
            </w:tcBorders>
            <w:tcMar>
              <w:top w:w="-1" w:type="dxa"/>
              <w:left w:w="-1" w:type="dxa"/>
              <w:bottom w:w="-1" w:type="dxa"/>
              <w:right w:w="-1" w:type="dxa"/>
            </w:tcMar>
            <w:vAlign w:val="center"/>
          </w:tcPr>
          <w:p w14:paraId="2FF2B083">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Elite doctorateaverage predicted probability</w:t>
            </w:r>
          </w:p>
          <w:p w14:paraId="05429B78">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w:t>
            </w:r>
          </w:p>
        </w:tc>
        <w:tc>
          <w:tcPr>
            <w:tcW w:w="1404" w:type="dxa"/>
            <w:tcBorders>
              <w:top w:val="single" w:color="auto" w:sz="4" w:space="0"/>
              <w:left w:val="single" w:color="auto" w:sz="4" w:space="0"/>
              <w:bottom w:val="nil"/>
              <w:right w:val="nil"/>
            </w:tcBorders>
            <w:tcMar>
              <w:top w:w="-1" w:type="dxa"/>
              <w:left w:w="-1" w:type="dxa"/>
              <w:bottom w:w="-1" w:type="dxa"/>
              <w:right w:w="-1" w:type="dxa"/>
            </w:tcMar>
            <w:vAlign w:val="center"/>
          </w:tcPr>
          <w:p w14:paraId="3DDA17D0">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AME of elite doctorate (pp)</w:t>
            </w:r>
          </w:p>
          <w:p w14:paraId="7B48D5A4">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1448" w:type="dxa"/>
            <w:tcBorders>
              <w:top w:val="single" w:color="auto" w:sz="4" w:space="0"/>
              <w:left w:val="single" w:color="auto" w:sz="4" w:space="0"/>
              <w:bottom w:val="nil"/>
              <w:right w:val="nil"/>
            </w:tcBorders>
            <w:tcMar>
              <w:top w:w="-1" w:type="dxa"/>
              <w:left w:w="-1" w:type="dxa"/>
              <w:bottom w:w="-1" w:type="dxa"/>
              <w:right w:w="-1" w:type="dxa"/>
            </w:tcMar>
            <w:vAlign w:val="center"/>
          </w:tcPr>
          <w:p w14:paraId="1778FC32">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AME 95% CI</w:t>
            </w:r>
          </w:p>
          <w:p w14:paraId="584E9B3B">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94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FC01174">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r>
      <w:tr w14:paraId="3C3258CD">
        <w:tblPrEx>
          <w:tblCellMar>
            <w:top w:w="0" w:type="dxa"/>
            <w:left w:w="108" w:type="dxa"/>
            <w:bottom w:w="0" w:type="dxa"/>
            <w:right w:w="108" w:type="dxa"/>
          </w:tblCellMar>
        </w:tblPrEx>
        <w:trPr>
          <w:cantSplit/>
          <w:trHeight w:val="283" w:hRule="atLeast"/>
          <w:jc w:val="center"/>
        </w:trPr>
        <w:tc>
          <w:tcPr>
            <w:tcW w:w="1404" w:type="dxa"/>
            <w:tcBorders>
              <w:top w:val="single" w:color="auto" w:sz="4" w:space="0"/>
              <w:left w:val="single" w:color="auto" w:sz="4" w:space="0"/>
              <w:bottom w:val="nil"/>
              <w:right w:val="nil"/>
            </w:tcBorders>
            <w:tcMar>
              <w:top w:w="-1" w:type="dxa"/>
              <w:left w:w="-1" w:type="dxa"/>
              <w:bottom w:w="-1" w:type="dxa"/>
              <w:right w:w="-1" w:type="dxa"/>
            </w:tcMar>
            <w:vAlign w:val="center"/>
          </w:tcPr>
          <w:p w14:paraId="6EF846C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1985—1994</w:t>
            </w:r>
          </w:p>
        </w:tc>
        <w:tc>
          <w:tcPr>
            <w:tcW w:w="1819" w:type="dxa"/>
            <w:tcBorders>
              <w:top w:val="single" w:color="auto" w:sz="4" w:space="0"/>
              <w:left w:val="single" w:color="auto" w:sz="4" w:space="0"/>
              <w:bottom w:val="nil"/>
              <w:right w:val="nil"/>
            </w:tcBorders>
            <w:tcMar>
              <w:top w:w="-1" w:type="dxa"/>
              <w:left w:w="-1" w:type="dxa"/>
              <w:bottom w:w="-1" w:type="dxa"/>
              <w:right w:w="-1" w:type="dxa"/>
            </w:tcMar>
            <w:vAlign w:val="center"/>
          </w:tcPr>
          <w:p w14:paraId="69298CF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25.34</w:t>
            </w:r>
          </w:p>
        </w:tc>
        <w:tc>
          <w:tcPr>
            <w:tcW w:w="1790" w:type="dxa"/>
            <w:tcBorders>
              <w:top w:val="single" w:color="auto" w:sz="4" w:space="0"/>
              <w:left w:val="single" w:color="auto" w:sz="4" w:space="0"/>
              <w:bottom w:val="nil"/>
              <w:right w:val="nil"/>
            </w:tcBorders>
            <w:tcMar>
              <w:top w:w="-1" w:type="dxa"/>
              <w:left w:w="-1" w:type="dxa"/>
              <w:bottom w:w="-1" w:type="dxa"/>
              <w:right w:w="-1" w:type="dxa"/>
            </w:tcMar>
            <w:vAlign w:val="center"/>
          </w:tcPr>
          <w:p w14:paraId="3C445A5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43.13</w:t>
            </w:r>
          </w:p>
        </w:tc>
        <w:tc>
          <w:tcPr>
            <w:tcW w:w="1404" w:type="dxa"/>
            <w:tcBorders>
              <w:top w:val="single" w:color="auto" w:sz="4" w:space="0"/>
              <w:left w:val="single" w:color="auto" w:sz="4" w:space="0"/>
              <w:bottom w:val="nil"/>
              <w:right w:val="nil"/>
            </w:tcBorders>
            <w:tcMar>
              <w:top w:w="-1" w:type="dxa"/>
              <w:left w:w="-1" w:type="dxa"/>
              <w:bottom w:w="-1" w:type="dxa"/>
              <w:right w:w="-1" w:type="dxa"/>
            </w:tcMar>
            <w:vAlign w:val="center"/>
          </w:tcPr>
          <w:p w14:paraId="7BCD80D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17.80</w:t>
            </w:r>
          </w:p>
        </w:tc>
        <w:tc>
          <w:tcPr>
            <w:tcW w:w="1448" w:type="dxa"/>
            <w:tcBorders>
              <w:top w:val="single" w:color="auto" w:sz="4" w:space="0"/>
              <w:left w:val="single" w:color="auto" w:sz="4" w:space="0"/>
              <w:bottom w:val="nil"/>
              <w:right w:val="nil"/>
            </w:tcBorders>
            <w:tcMar>
              <w:top w:w="-1" w:type="dxa"/>
              <w:left w:w="-1" w:type="dxa"/>
              <w:bottom w:w="-1" w:type="dxa"/>
              <w:right w:w="-1" w:type="dxa"/>
            </w:tcMar>
            <w:vAlign w:val="center"/>
          </w:tcPr>
          <w:p w14:paraId="3AC3450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[17.13, 18.47]</w:t>
            </w:r>
          </w:p>
        </w:tc>
        <w:tc>
          <w:tcPr>
            <w:tcW w:w="94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93AD13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6A51D698">
        <w:tblPrEx>
          <w:tblCellMar>
            <w:top w:w="0" w:type="dxa"/>
            <w:left w:w="108" w:type="dxa"/>
            <w:bottom w:w="0" w:type="dxa"/>
            <w:right w:w="108" w:type="dxa"/>
          </w:tblCellMar>
        </w:tblPrEx>
        <w:trPr>
          <w:cantSplit/>
          <w:trHeight w:val="283" w:hRule="atLeast"/>
          <w:jc w:val="center"/>
        </w:trPr>
        <w:tc>
          <w:tcPr>
            <w:tcW w:w="1404" w:type="dxa"/>
            <w:tcBorders>
              <w:top w:val="single" w:color="auto" w:sz="4" w:space="0"/>
              <w:left w:val="single" w:color="auto" w:sz="4" w:space="0"/>
              <w:bottom w:val="nil"/>
              <w:right w:val="nil"/>
            </w:tcBorders>
            <w:tcMar>
              <w:top w:w="-1" w:type="dxa"/>
              <w:left w:w="-1" w:type="dxa"/>
              <w:bottom w:w="-1" w:type="dxa"/>
              <w:right w:w="-1" w:type="dxa"/>
            </w:tcMar>
            <w:vAlign w:val="center"/>
          </w:tcPr>
          <w:p w14:paraId="541AE07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1995—2004</w:t>
            </w:r>
          </w:p>
        </w:tc>
        <w:tc>
          <w:tcPr>
            <w:tcW w:w="1819" w:type="dxa"/>
            <w:tcBorders>
              <w:top w:val="single" w:color="auto" w:sz="4" w:space="0"/>
              <w:left w:val="single" w:color="auto" w:sz="4" w:space="0"/>
              <w:bottom w:val="nil"/>
              <w:right w:val="nil"/>
            </w:tcBorders>
            <w:tcMar>
              <w:top w:w="-1" w:type="dxa"/>
              <w:left w:w="-1" w:type="dxa"/>
              <w:bottom w:w="-1" w:type="dxa"/>
              <w:right w:w="-1" w:type="dxa"/>
            </w:tcMar>
            <w:vAlign w:val="center"/>
          </w:tcPr>
          <w:p w14:paraId="6E3F969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22.94</w:t>
            </w:r>
          </w:p>
        </w:tc>
        <w:tc>
          <w:tcPr>
            <w:tcW w:w="1790" w:type="dxa"/>
            <w:tcBorders>
              <w:top w:val="single" w:color="auto" w:sz="4" w:space="0"/>
              <w:left w:val="single" w:color="auto" w:sz="4" w:space="0"/>
              <w:bottom w:val="nil"/>
              <w:right w:val="nil"/>
            </w:tcBorders>
            <w:tcMar>
              <w:top w:w="-1" w:type="dxa"/>
              <w:left w:w="-1" w:type="dxa"/>
              <w:bottom w:w="-1" w:type="dxa"/>
              <w:right w:w="-1" w:type="dxa"/>
            </w:tcMar>
            <w:vAlign w:val="center"/>
          </w:tcPr>
          <w:p w14:paraId="1A90872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42.99</w:t>
            </w:r>
          </w:p>
        </w:tc>
        <w:tc>
          <w:tcPr>
            <w:tcW w:w="1404" w:type="dxa"/>
            <w:tcBorders>
              <w:top w:val="single" w:color="auto" w:sz="4" w:space="0"/>
              <w:left w:val="single" w:color="auto" w:sz="4" w:space="0"/>
              <w:bottom w:val="nil"/>
              <w:right w:val="nil"/>
            </w:tcBorders>
            <w:tcMar>
              <w:top w:w="-1" w:type="dxa"/>
              <w:left w:w="-1" w:type="dxa"/>
              <w:bottom w:w="-1" w:type="dxa"/>
              <w:right w:w="-1" w:type="dxa"/>
            </w:tcMar>
            <w:vAlign w:val="center"/>
          </w:tcPr>
          <w:p w14:paraId="42E3770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20.05</w:t>
            </w:r>
          </w:p>
        </w:tc>
        <w:tc>
          <w:tcPr>
            <w:tcW w:w="1448" w:type="dxa"/>
            <w:tcBorders>
              <w:top w:val="single" w:color="auto" w:sz="4" w:space="0"/>
              <w:left w:val="single" w:color="auto" w:sz="4" w:space="0"/>
              <w:bottom w:val="nil"/>
              <w:right w:val="nil"/>
            </w:tcBorders>
            <w:tcMar>
              <w:top w:w="-1" w:type="dxa"/>
              <w:left w:w="-1" w:type="dxa"/>
              <w:bottom w:w="-1" w:type="dxa"/>
              <w:right w:w="-1" w:type="dxa"/>
            </w:tcMar>
            <w:vAlign w:val="center"/>
          </w:tcPr>
          <w:p w14:paraId="37D62FC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[19.59, 20.51]</w:t>
            </w:r>
          </w:p>
        </w:tc>
        <w:tc>
          <w:tcPr>
            <w:tcW w:w="94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FA5877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73F150E2">
        <w:tblPrEx>
          <w:tblCellMar>
            <w:top w:w="0" w:type="dxa"/>
            <w:left w:w="108" w:type="dxa"/>
            <w:bottom w:w="0" w:type="dxa"/>
            <w:right w:w="108" w:type="dxa"/>
          </w:tblCellMar>
        </w:tblPrEx>
        <w:trPr>
          <w:cantSplit/>
          <w:trHeight w:val="283" w:hRule="atLeast"/>
          <w:jc w:val="center"/>
        </w:trPr>
        <w:tc>
          <w:tcPr>
            <w:tcW w:w="1404" w:type="dxa"/>
            <w:tcBorders>
              <w:top w:val="single" w:color="auto" w:sz="4" w:space="0"/>
              <w:left w:val="single" w:color="auto" w:sz="4" w:space="0"/>
              <w:bottom w:val="nil"/>
              <w:right w:val="nil"/>
            </w:tcBorders>
            <w:tcMar>
              <w:top w:w="-1" w:type="dxa"/>
              <w:left w:w="-1" w:type="dxa"/>
              <w:bottom w:w="-1" w:type="dxa"/>
              <w:right w:w="-1" w:type="dxa"/>
            </w:tcMar>
            <w:vAlign w:val="center"/>
          </w:tcPr>
          <w:p w14:paraId="6FE03F2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2005—2014</w:t>
            </w:r>
          </w:p>
        </w:tc>
        <w:tc>
          <w:tcPr>
            <w:tcW w:w="1819" w:type="dxa"/>
            <w:tcBorders>
              <w:top w:val="single" w:color="auto" w:sz="4" w:space="0"/>
              <w:left w:val="single" w:color="auto" w:sz="4" w:space="0"/>
              <w:bottom w:val="nil"/>
              <w:right w:val="nil"/>
            </w:tcBorders>
            <w:tcMar>
              <w:top w:w="-1" w:type="dxa"/>
              <w:left w:w="-1" w:type="dxa"/>
              <w:bottom w:w="-1" w:type="dxa"/>
              <w:right w:w="-1" w:type="dxa"/>
            </w:tcMar>
            <w:vAlign w:val="center"/>
          </w:tcPr>
          <w:p w14:paraId="3E7C64F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18.95</w:t>
            </w:r>
          </w:p>
        </w:tc>
        <w:tc>
          <w:tcPr>
            <w:tcW w:w="1790" w:type="dxa"/>
            <w:tcBorders>
              <w:top w:val="single" w:color="auto" w:sz="4" w:space="0"/>
              <w:left w:val="single" w:color="auto" w:sz="4" w:space="0"/>
              <w:bottom w:val="nil"/>
              <w:right w:val="nil"/>
            </w:tcBorders>
            <w:tcMar>
              <w:top w:w="-1" w:type="dxa"/>
              <w:left w:w="-1" w:type="dxa"/>
              <w:bottom w:w="-1" w:type="dxa"/>
              <w:right w:w="-1" w:type="dxa"/>
            </w:tcMar>
            <w:vAlign w:val="center"/>
          </w:tcPr>
          <w:p w14:paraId="61303D8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39.67</w:t>
            </w:r>
          </w:p>
        </w:tc>
        <w:tc>
          <w:tcPr>
            <w:tcW w:w="1404" w:type="dxa"/>
            <w:tcBorders>
              <w:top w:val="single" w:color="auto" w:sz="4" w:space="0"/>
              <w:left w:val="single" w:color="auto" w:sz="4" w:space="0"/>
              <w:bottom w:val="nil"/>
              <w:right w:val="nil"/>
            </w:tcBorders>
            <w:tcMar>
              <w:top w:w="-1" w:type="dxa"/>
              <w:left w:w="-1" w:type="dxa"/>
              <w:bottom w:w="-1" w:type="dxa"/>
              <w:right w:w="-1" w:type="dxa"/>
            </w:tcMar>
            <w:vAlign w:val="center"/>
          </w:tcPr>
          <w:p w14:paraId="38665DA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20.72</w:t>
            </w:r>
          </w:p>
        </w:tc>
        <w:tc>
          <w:tcPr>
            <w:tcW w:w="1448" w:type="dxa"/>
            <w:tcBorders>
              <w:top w:val="single" w:color="auto" w:sz="4" w:space="0"/>
              <w:left w:val="single" w:color="auto" w:sz="4" w:space="0"/>
              <w:bottom w:val="nil"/>
              <w:right w:val="nil"/>
            </w:tcBorders>
            <w:tcMar>
              <w:top w:w="-1" w:type="dxa"/>
              <w:left w:w="-1" w:type="dxa"/>
              <w:bottom w:w="-1" w:type="dxa"/>
              <w:right w:w="-1" w:type="dxa"/>
            </w:tcMar>
            <w:vAlign w:val="center"/>
          </w:tcPr>
          <w:p w14:paraId="0E9D844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[20.40, 21.04]</w:t>
            </w:r>
          </w:p>
        </w:tc>
        <w:tc>
          <w:tcPr>
            <w:tcW w:w="94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116DC4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42F00B82">
        <w:tblPrEx>
          <w:tblCellMar>
            <w:top w:w="0" w:type="dxa"/>
            <w:left w:w="108" w:type="dxa"/>
            <w:bottom w:w="0" w:type="dxa"/>
            <w:right w:w="108" w:type="dxa"/>
          </w:tblCellMar>
        </w:tblPrEx>
        <w:trPr>
          <w:cantSplit/>
          <w:trHeight w:val="283" w:hRule="atLeast"/>
          <w:jc w:val="center"/>
        </w:trPr>
        <w:tc>
          <w:tcPr>
            <w:tcW w:w="140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080CE4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2015—2023</w:t>
            </w:r>
          </w:p>
        </w:tc>
        <w:tc>
          <w:tcPr>
            <w:tcW w:w="181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523169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17.96</w:t>
            </w:r>
          </w:p>
        </w:tc>
        <w:tc>
          <w:tcPr>
            <w:tcW w:w="179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4FA71F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38.80</w:t>
            </w:r>
          </w:p>
        </w:tc>
        <w:tc>
          <w:tcPr>
            <w:tcW w:w="140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A8D571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20.84</w:t>
            </w:r>
          </w:p>
        </w:tc>
        <w:tc>
          <w:tcPr>
            <w:tcW w:w="144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EE7B44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[20.50, 21.17]</w:t>
            </w:r>
          </w:p>
        </w:tc>
        <w:tc>
          <w:tcPr>
            <w:tcW w:w="94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3D9ABC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bl>
    <w:p w14:paraId="6192A046">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Average predicted probabilities and average marginal effects are calculated from the logit interaction model in Appendix Table 12, Panel A. Predictions retain observed control-variable values and are averaged across individuals. The p-value tests whether the period-specific average marginal effect of elite versus non-elite doctoral education equals zero</w:t>
      </w:r>
      <w:r>
        <w:rPr>
          <w:rFonts w:hint="default" w:ascii="Times New Roman" w:hAnsi="Times New Roman" w:cs="Times New Roman"/>
          <w:b w:val="0"/>
          <w:i w:val="0"/>
          <w:sz w:val="20"/>
          <w:szCs w:val="28"/>
          <w:lang w:val="en-US" w:eastAsia="zh-CN"/>
        </w:rPr>
        <w:t>.</w:t>
      </w:r>
    </w:p>
    <w:p w14:paraId="3D32DE23">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C. Pairwise comparisons of period-specific average marginal effects</w:t>
      </w:r>
    </w:p>
    <w:tbl>
      <w:tblPr>
        <w:tblStyle w:val="5"/>
        <w:tblW w:w="0" w:type="auto"/>
        <w:jc w:val="center"/>
        <w:tblLayout w:type="fixed"/>
        <w:tblCellMar>
          <w:top w:w="0" w:type="dxa"/>
          <w:left w:w="108" w:type="dxa"/>
          <w:bottom w:w="0" w:type="dxa"/>
          <w:right w:w="108" w:type="dxa"/>
        </w:tblCellMar>
      </w:tblPr>
      <w:tblGrid>
        <w:gridCol w:w="2571"/>
        <w:gridCol w:w="1763"/>
        <w:gridCol w:w="951"/>
        <w:gridCol w:w="1533"/>
        <w:gridCol w:w="867"/>
        <w:gridCol w:w="967"/>
      </w:tblGrid>
      <w:tr w14:paraId="596998A9">
        <w:tblPrEx>
          <w:tblCellMar>
            <w:top w:w="0" w:type="dxa"/>
            <w:left w:w="108" w:type="dxa"/>
            <w:bottom w:w="0" w:type="dxa"/>
            <w:right w:w="108" w:type="dxa"/>
          </w:tblCellMar>
        </w:tblPrEx>
        <w:trPr>
          <w:cantSplit/>
          <w:trHeight w:val="283" w:hRule="atLeast"/>
          <w:tblHeader/>
          <w:jc w:val="center"/>
        </w:trPr>
        <w:tc>
          <w:tcPr>
            <w:tcW w:w="2571" w:type="dxa"/>
            <w:tcBorders>
              <w:top w:val="single" w:color="auto" w:sz="4" w:space="0"/>
              <w:left w:val="single" w:color="auto" w:sz="4" w:space="0"/>
              <w:bottom w:val="nil"/>
              <w:right w:val="nil"/>
            </w:tcBorders>
            <w:tcMar>
              <w:top w:w="-1" w:type="dxa"/>
              <w:left w:w="-1" w:type="dxa"/>
              <w:bottom w:w="-1" w:type="dxa"/>
              <w:right w:w="-1" w:type="dxa"/>
            </w:tcMar>
            <w:vAlign w:val="center"/>
          </w:tcPr>
          <w:p w14:paraId="6BE1BC70">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Period comparison</w:t>
            </w:r>
          </w:p>
        </w:tc>
        <w:tc>
          <w:tcPr>
            <w:tcW w:w="1763" w:type="dxa"/>
            <w:tcBorders>
              <w:top w:val="single" w:color="auto" w:sz="4" w:space="0"/>
              <w:left w:val="single" w:color="auto" w:sz="4" w:space="0"/>
              <w:bottom w:val="nil"/>
              <w:right w:val="nil"/>
            </w:tcBorders>
            <w:tcMar>
              <w:top w:w="-1" w:type="dxa"/>
              <w:left w:w="-1" w:type="dxa"/>
              <w:bottom w:w="-1" w:type="dxa"/>
              <w:right w:w="-1" w:type="dxa"/>
            </w:tcMar>
            <w:vAlign w:val="center"/>
          </w:tcPr>
          <w:p w14:paraId="390AA1F6">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AMEDifference</w:t>
            </w:r>
          </w:p>
          <w:p w14:paraId="350BCA56">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951" w:type="dxa"/>
            <w:tcBorders>
              <w:top w:val="single" w:color="auto" w:sz="4" w:space="0"/>
              <w:left w:val="single" w:color="auto" w:sz="4" w:space="0"/>
              <w:bottom w:val="nil"/>
              <w:right w:val="nil"/>
            </w:tcBorders>
            <w:tcMar>
              <w:top w:w="-1" w:type="dxa"/>
              <w:left w:w="-1" w:type="dxa"/>
              <w:bottom w:w="-1" w:type="dxa"/>
              <w:right w:w="-1" w:type="dxa"/>
            </w:tcMar>
            <w:vAlign w:val="center"/>
          </w:tcPr>
          <w:p w14:paraId="687208D4">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SE</w:t>
            </w:r>
          </w:p>
          <w:p w14:paraId="3EF6FD3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1533" w:type="dxa"/>
            <w:tcBorders>
              <w:top w:val="single" w:color="auto" w:sz="4" w:space="0"/>
              <w:left w:val="single" w:color="auto" w:sz="4" w:space="0"/>
              <w:bottom w:val="nil"/>
              <w:right w:val="nil"/>
            </w:tcBorders>
            <w:tcMar>
              <w:top w:w="-1" w:type="dxa"/>
              <w:left w:w="-1" w:type="dxa"/>
              <w:bottom w:w="-1" w:type="dxa"/>
              <w:right w:w="-1" w:type="dxa"/>
            </w:tcMar>
            <w:vAlign w:val="center"/>
          </w:tcPr>
          <w:p w14:paraId="623D5494">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w:t>
            </w:r>
          </w:p>
          <w:p w14:paraId="17DA7F6C">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867" w:type="dxa"/>
            <w:tcBorders>
              <w:top w:val="single" w:color="auto" w:sz="4" w:space="0"/>
              <w:left w:val="single" w:color="auto" w:sz="4" w:space="0"/>
              <w:bottom w:val="nil"/>
              <w:right w:val="nil"/>
            </w:tcBorders>
            <w:tcMar>
              <w:top w:w="-1" w:type="dxa"/>
              <w:left w:w="-1" w:type="dxa"/>
              <w:bottom w:w="-1" w:type="dxa"/>
              <w:right w:w="-1" w:type="dxa"/>
            </w:tcMar>
            <w:vAlign w:val="center"/>
          </w:tcPr>
          <w:p w14:paraId="1F8F7619">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z</w:t>
            </w:r>
          </w:p>
        </w:tc>
        <w:tc>
          <w:tcPr>
            <w:tcW w:w="9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BD7286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r>
      <w:tr w14:paraId="04BA7F0C">
        <w:tblPrEx>
          <w:tblCellMar>
            <w:top w:w="0" w:type="dxa"/>
            <w:left w:w="108" w:type="dxa"/>
            <w:bottom w:w="0" w:type="dxa"/>
            <w:right w:w="108" w:type="dxa"/>
          </w:tblCellMar>
        </w:tblPrEx>
        <w:trPr>
          <w:cantSplit/>
          <w:trHeight w:val="283" w:hRule="atLeast"/>
          <w:jc w:val="center"/>
        </w:trPr>
        <w:tc>
          <w:tcPr>
            <w:tcW w:w="2571" w:type="dxa"/>
            <w:tcBorders>
              <w:top w:val="single" w:color="auto" w:sz="4" w:space="0"/>
              <w:left w:val="single" w:color="auto" w:sz="4" w:space="0"/>
              <w:bottom w:val="nil"/>
              <w:right w:val="nil"/>
            </w:tcBorders>
            <w:tcMar>
              <w:top w:w="-1" w:type="dxa"/>
              <w:left w:w="-1" w:type="dxa"/>
              <w:bottom w:w="-1" w:type="dxa"/>
              <w:right w:w="-1" w:type="dxa"/>
            </w:tcMar>
            <w:vAlign w:val="center"/>
          </w:tcPr>
          <w:p w14:paraId="572C973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1995–2004 vs 1985–1994</w:t>
            </w:r>
          </w:p>
        </w:tc>
        <w:tc>
          <w:tcPr>
            <w:tcW w:w="1763" w:type="dxa"/>
            <w:tcBorders>
              <w:top w:val="single" w:color="auto" w:sz="4" w:space="0"/>
              <w:left w:val="single" w:color="auto" w:sz="4" w:space="0"/>
              <w:bottom w:val="nil"/>
              <w:right w:val="nil"/>
            </w:tcBorders>
            <w:tcMar>
              <w:top w:w="-1" w:type="dxa"/>
              <w:left w:w="-1" w:type="dxa"/>
              <w:bottom w:w="-1" w:type="dxa"/>
              <w:right w:w="-1" w:type="dxa"/>
            </w:tcMar>
            <w:vAlign w:val="center"/>
          </w:tcPr>
          <w:p w14:paraId="1B2F3FC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2.25</w:t>
            </w:r>
          </w:p>
        </w:tc>
        <w:tc>
          <w:tcPr>
            <w:tcW w:w="951" w:type="dxa"/>
            <w:tcBorders>
              <w:top w:val="single" w:color="auto" w:sz="4" w:space="0"/>
              <w:left w:val="single" w:color="auto" w:sz="4" w:space="0"/>
              <w:bottom w:val="nil"/>
              <w:right w:val="nil"/>
            </w:tcBorders>
            <w:tcMar>
              <w:top w:w="-1" w:type="dxa"/>
              <w:left w:w="-1" w:type="dxa"/>
              <w:bottom w:w="-1" w:type="dxa"/>
              <w:right w:w="-1" w:type="dxa"/>
            </w:tcMar>
            <w:vAlign w:val="center"/>
          </w:tcPr>
          <w:p w14:paraId="111A569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0.41</w:t>
            </w:r>
          </w:p>
        </w:tc>
        <w:tc>
          <w:tcPr>
            <w:tcW w:w="1533" w:type="dxa"/>
            <w:tcBorders>
              <w:top w:val="single" w:color="auto" w:sz="4" w:space="0"/>
              <w:left w:val="single" w:color="auto" w:sz="4" w:space="0"/>
              <w:bottom w:val="nil"/>
              <w:right w:val="nil"/>
            </w:tcBorders>
            <w:tcMar>
              <w:top w:w="-1" w:type="dxa"/>
              <w:left w:w="-1" w:type="dxa"/>
              <w:bottom w:w="-1" w:type="dxa"/>
              <w:right w:w="-1" w:type="dxa"/>
            </w:tcMar>
            <w:vAlign w:val="center"/>
          </w:tcPr>
          <w:p w14:paraId="4AF77C4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[1.44, 3.05]</w:t>
            </w:r>
          </w:p>
        </w:tc>
        <w:tc>
          <w:tcPr>
            <w:tcW w:w="867" w:type="dxa"/>
            <w:tcBorders>
              <w:top w:val="single" w:color="auto" w:sz="4" w:space="0"/>
              <w:left w:val="single" w:color="auto" w:sz="4" w:space="0"/>
              <w:bottom w:val="nil"/>
              <w:right w:val="nil"/>
            </w:tcBorders>
            <w:tcMar>
              <w:top w:w="-1" w:type="dxa"/>
              <w:left w:w="-1" w:type="dxa"/>
              <w:bottom w:w="-1" w:type="dxa"/>
              <w:right w:w="-1" w:type="dxa"/>
            </w:tcMar>
            <w:vAlign w:val="center"/>
          </w:tcPr>
          <w:p w14:paraId="24900E6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5.48</w:t>
            </w:r>
          </w:p>
        </w:tc>
        <w:tc>
          <w:tcPr>
            <w:tcW w:w="9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4B49FF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6BA3C9F5">
        <w:tblPrEx>
          <w:tblCellMar>
            <w:top w:w="0" w:type="dxa"/>
            <w:left w:w="108" w:type="dxa"/>
            <w:bottom w:w="0" w:type="dxa"/>
            <w:right w:w="108" w:type="dxa"/>
          </w:tblCellMar>
        </w:tblPrEx>
        <w:trPr>
          <w:cantSplit/>
          <w:trHeight w:val="283" w:hRule="atLeast"/>
          <w:jc w:val="center"/>
        </w:trPr>
        <w:tc>
          <w:tcPr>
            <w:tcW w:w="2571" w:type="dxa"/>
            <w:tcBorders>
              <w:top w:val="single" w:color="auto" w:sz="4" w:space="0"/>
              <w:left w:val="single" w:color="auto" w:sz="4" w:space="0"/>
              <w:bottom w:val="nil"/>
              <w:right w:val="nil"/>
            </w:tcBorders>
            <w:tcMar>
              <w:top w:w="-1" w:type="dxa"/>
              <w:left w:w="-1" w:type="dxa"/>
              <w:bottom w:w="-1" w:type="dxa"/>
              <w:right w:w="-1" w:type="dxa"/>
            </w:tcMar>
            <w:vAlign w:val="center"/>
          </w:tcPr>
          <w:p w14:paraId="4EFA1FA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2005–2014 vs 1985–1994</w:t>
            </w:r>
          </w:p>
        </w:tc>
        <w:tc>
          <w:tcPr>
            <w:tcW w:w="1763" w:type="dxa"/>
            <w:tcBorders>
              <w:top w:val="single" w:color="auto" w:sz="4" w:space="0"/>
              <w:left w:val="single" w:color="auto" w:sz="4" w:space="0"/>
              <w:bottom w:val="nil"/>
              <w:right w:val="nil"/>
            </w:tcBorders>
            <w:tcMar>
              <w:top w:w="-1" w:type="dxa"/>
              <w:left w:w="-1" w:type="dxa"/>
              <w:bottom w:w="-1" w:type="dxa"/>
              <w:right w:w="-1" w:type="dxa"/>
            </w:tcMar>
            <w:vAlign w:val="center"/>
          </w:tcPr>
          <w:p w14:paraId="4C37E55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2.92</w:t>
            </w:r>
          </w:p>
        </w:tc>
        <w:tc>
          <w:tcPr>
            <w:tcW w:w="951" w:type="dxa"/>
            <w:tcBorders>
              <w:top w:val="single" w:color="auto" w:sz="4" w:space="0"/>
              <w:left w:val="single" w:color="auto" w:sz="4" w:space="0"/>
              <w:bottom w:val="nil"/>
              <w:right w:val="nil"/>
            </w:tcBorders>
            <w:tcMar>
              <w:top w:w="-1" w:type="dxa"/>
              <w:left w:w="-1" w:type="dxa"/>
              <w:bottom w:w="-1" w:type="dxa"/>
              <w:right w:w="-1" w:type="dxa"/>
            </w:tcMar>
            <w:vAlign w:val="center"/>
          </w:tcPr>
          <w:p w14:paraId="5DAAD30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0.38</w:t>
            </w:r>
          </w:p>
        </w:tc>
        <w:tc>
          <w:tcPr>
            <w:tcW w:w="1533" w:type="dxa"/>
            <w:tcBorders>
              <w:top w:val="single" w:color="auto" w:sz="4" w:space="0"/>
              <w:left w:val="single" w:color="auto" w:sz="4" w:space="0"/>
              <w:bottom w:val="nil"/>
              <w:right w:val="nil"/>
            </w:tcBorders>
            <w:tcMar>
              <w:top w:w="-1" w:type="dxa"/>
              <w:left w:w="-1" w:type="dxa"/>
              <w:bottom w:w="-1" w:type="dxa"/>
              <w:right w:w="-1" w:type="dxa"/>
            </w:tcMar>
            <w:vAlign w:val="center"/>
          </w:tcPr>
          <w:p w14:paraId="5109192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[2.18, 3.66]</w:t>
            </w:r>
          </w:p>
        </w:tc>
        <w:tc>
          <w:tcPr>
            <w:tcW w:w="867" w:type="dxa"/>
            <w:tcBorders>
              <w:top w:val="single" w:color="auto" w:sz="4" w:space="0"/>
              <w:left w:val="single" w:color="auto" w:sz="4" w:space="0"/>
              <w:bottom w:val="nil"/>
              <w:right w:val="nil"/>
            </w:tcBorders>
            <w:tcMar>
              <w:top w:w="-1" w:type="dxa"/>
              <w:left w:w="-1" w:type="dxa"/>
              <w:bottom w:w="-1" w:type="dxa"/>
              <w:right w:w="-1" w:type="dxa"/>
            </w:tcMar>
            <w:vAlign w:val="center"/>
          </w:tcPr>
          <w:p w14:paraId="05D09B1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7.77</w:t>
            </w:r>
          </w:p>
        </w:tc>
        <w:tc>
          <w:tcPr>
            <w:tcW w:w="9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47D5BC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441AE234">
        <w:tblPrEx>
          <w:tblCellMar>
            <w:top w:w="0" w:type="dxa"/>
            <w:left w:w="108" w:type="dxa"/>
            <w:bottom w:w="0" w:type="dxa"/>
            <w:right w:w="108" w:type="dxa"/>
          </w:tblCellMar>
        </w:tblPrEx>
        <w:trPr>
          <w:cantSplit/>
          <w:trHeight w:val="283" w:hRule="atLeast"/>
          <w:jc w:val="center"/>
        </w:trPr>
        <w:tc>
          <w:tcPr>
            <w:tcW w:w="2571" w:type="dxa"/>
            <w:tcBorders>
              <w:top w:val="single" w:color="auto" w:sz="4" w:space="0"/>
              <w:left w:val="single" w:color="auto" w:sz="4" w:space="0"/>
              <w:bottom w:val="nil"/>
              <w:right w:val="nil"/>
            </w:tcBorders>
            <w:tcMar>
              <w:top w:w="-1" w:type="dxa"/>
              <w:left w:w="-1" w:type="dxa"/>
              <w:bottom w:w="-1" w:type="dxa"/>
              <w:right w:w="-1" w:type="dxa"/>
            </w:tcMar>
            <w:vAlign w:val="center"/>
          </w:tcPr>
          <w:p w14:paraId="6169063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2015–2023 vs 1985–1994</w:t>
            </w:r>
          </w:p>
        </w:tc>
        <w:tc>
          <w:tcPr>
            <w:tcW w:w="1763" w:type="dxa"/>
            <w:tcBorders>
              <w:top w:val="single" w:color="auto" w:sz="4" w:space="0"/>
              <w:left w:val="single" w:color="auto" w:sz="4" w:space="0"/>
              <w:bottom w:val="nil"/>
              <w:right w:val="nil"/>
            </w:tcBorders>
            <w:tcMar>
              <w:top w:w="-1" w:type="dxa"/>
              <w:left w:w="-1" w:type="dxa"/>
              <w:bottom w:w="-1" w:type="dxa"/>
              <w:right w:w="-1" w:type="dxa"/>
            </w:tcMar>
            <w:vAlign w:val="center"/>
          </w:tcPr>
          <w:p w14:paraId="07F5336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3.04</w:t>
            </w:r>
          </w:p>
        </w:tc>
        <w:tc>
          <w:tcPr>
            <w:tcW w:w="951" w:type="dxa"/>
            <w:tcBorders>
              <w:top w:val="single" w:color="auto" w:sz="4" w:space="0"/>
              <w:left w:val="single" w:color="auto" w:sz="4" w:space="0"/>
              <w:bottom w:val="nil"/>
              <w:right w:val="nil"/>
            </w:tcBorders>
            <w:tcMar>
              <w:top w:w="-1" w:type="dxa"/>
              <w:left w:w="-1" w:type="dxa"/>
              <w:bottom w:w="-1" w:type="dxa"/>
              <w:right w:w="-1" w:type="dxa"/>
            </w:tcMar>
            <w:vAlign w:val="center"/>
          </w:tcPr>
          <w:p w14:paraId="7E79224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0.38</w:t>
            </w:r>
          </w:p>
        </w:tc>
        <w:tc>
          <w:tcPr>
            <w:tcW w:w="1533" w:type="dxa"/>
            <w:tcBorders>
              <w:top w:val="single" w:color="auto" w:sz="4" w:space="0"/>
              <w:left w:val="single" w:color="auto" w:sz="4" w:space="0"/>
              <w:bottom w:val="nil"/>
              <w:right w:val="nil"/>
            </w:tcBorders>
            <w:tcMar>
              <w:top w:w="-1" w:type="dxa"/>
              <w:left w:w="-1" w:type="dxa"/>
              <w:bottom w:w="-1" w:type="dxa"/>
              <w:right w:w="-1" w:type="dxa"/>
            </w:tcMar>
            <w:vAlign w:val="center"/>
          </w:tcPr>
          <w:p w14:paraId="01E6B4C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[2.30, 3.78]</w:t>
            </w:r>
          </w:p>
        </w:tc>
        <w:tc>
          <w:tcPr>
            <w:tcW w:w="867" w:type="dxa"/>
            <w:tcBorders>
              <w:top w:val="single" w:color="auto" w:sz="4" w:space="0"/>
              <w:left w:val="single" w:color="auto" w:sz="4" w:space="0"/>
              <w:bottom w:val="nil"/>
              <w:right w:val="nil"/>
            </w:tcBorders>
            <w:tcMar>
              <w:top w:w="-1" w:type="dxa"/>
              <w:left w:w="-1" w:type="dxa"/>
              <w:bottom w:w="-1" w:type="dxa"/>
              <w:right w:w="-1" w:type="dxa"/>
            </w:tcMar>
            <w:vAlign w:val="center"/>
          </w:tcPr>
          <w:p w14:paraId="46E3569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8.04</w:t>
            </w:r>
          </w:p>
        </w:tc>
        <w:tc>
          <w:tcPr>
            <w:tcW w:w="9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7D6BC0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069C12AF">
        <w:tblPrEx>
          <w:tblCellMar>
            <w:top w:w="0" w:type="dxa"/>
            <w:left w:w="108" w:type="dxa"/>
            <w:bottom w:w="0" w:type="dxa"/>
            <w:right w:w="108" w:type="dxa"/>
          </w:tblCellMar>
        </w:tblPrEx>
        <w:trPr>
          <w:cantSplit/>
          <w:trHeight w:val="283" w:hRule="atLeast"/>
          <w:jc w:val="center"/>
        </w:trPr>
        <w:tc>
          <w:tcPr>
            <w:tcW w:w="2571" w:type="dxa"/>
            <w:tcBorders>
              <w:top w:val="single" w:color="auto" w:sz="4" w:space="0"/>
              <w:left w:val="single" w:color="auto" w:sz="4" w:space="0"/>
              <w:bottom w:val="nil"/>
              <w:right w:val="nil"/>
            </w:tcBorders>
            <w:tcMar>
              <w:top w:w="-1" w:type="dxa"/>
              <w:left w:w="-1" w:type="dxa"/>
              <w:bottom w:w="-1" w:type="dxa"/>
              <w:right w:w="-1" w:type="dxa"/>
            </w:tcMar>
            <w:vAlign w:val="center"/>
          </w:tcPr>
          <w:p w14:paraId="4C95CE2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2005–2014 vs 1995–2004</w:t>
            </w:r>
          </w:p>
        </w:tc>
        <w:tc>
          <w:tcPr>
            <w:tcW w:w="1763" w:type="dxa"/>
            <w:tcBorders>
              <w:top w:val="single" w:color="auto" w:sz="4" w:space="0"/>
              <w:left w:val="single" w:color="auto" w:sz="4" w:space="0"/>
              <w:bottom w:val="nil"/>
              <w:right w:val="nil"/>
            </w:tcBorders>
            <w:tcMar>
              <w:top w:w="-1" w:type="dxa"/>
              <w:left w:w="-1" w:type="dxa"/>
              <w:bottom w:w="-1" w:type="dxa"/>
              <w:right w:w="-1" w:type="dxa"/>
            </w:tcMar>
            <w:vAlign w:val="center"/>
          </w:tcPr>
          <w:p w14:paraId="1A965EA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0.67</w:t>
            </w:r>
          </w:p>
        </w:tc>
        <w:tc>
          <w:tcPr>
            <w:tcW w:w="951" w:type="dxa"/>
            <w:tcBorders>
              <w:top w:val="single" w:color="auto" w:sz="4" w:space="0"/>
              <w:left w:val="single" w:color="auto" w:sz="4" w:space="0"/>
              <w:bottom w:val="nil"/>
              <w:right w:val="nil"/>
            </w:tcBorders>
            <w:tcMar>
              <w:top w:w="-1" w:type="dxa"/>
              <w:left w:w="-1" w:type="dxa"/>
              <w:bottom w:w="-1" w:type="dxa"/>
              <w:right w:w="-1" w:type="dxa"/>
            </w:tcMar>
            <w:vAlign w:val="center"/>
          </w:tcPr>
          <w:p w14:paraId="442FFA5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0.28</w:t>
            </w:r>
          </w:p>
        </w:tc>
        <w:tc>
          <w:tcPr>
            <w:tcW w:w="1533" w:type="dxa"/>
            <w:tcBorders>
              <w:top w:val="single" w:color="auto" w:sz="4" w:space="0"/>
              <w:left w:val="single" w:color="auto" w:sz="4" w:space="0"/>
              <w:bottom w:val="nil"/>
              <w:right w:val="nil"/>
            </w:tcBorders>
            <w:tcMar>
              <w:top w:w="-1" w:type="dxa"/>
              <w:left w:w="-1" w:type="dxa"/>
              <w:bottom w:w="-1" w:type="dxa"/>
              <w:right w:w="-1" w:type="dxa"/>
            </w:tcMar>
            <w:vAlign w:val="center"/>
          </w:tcPr>
          <w:p w14:paraId="24A7A67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[0.12, 1.22]</w:t>
            </w:r>
          </w:p>
        </w:tc>
        <w:tc>
          <w:tcPr>
            <w:tcW w:w="867" w:type="dxa"/>
            <w:tcBorders>
              <w:top w:val="single" w:color="auto" w:sz="4" w:space="0"/>
              <w:left w:val="single" w:color="auto" w:sz="4" w:space="0"/>
              <w:bottom w:val="nil"/>
              <w:right w:val="nil"/>
            </w:tcBorders>
            <w:tcMar>
              <w:top w:w="-1" w:type="dxa"/>
              <w:left w:w="-1" w:type="dxa"/>
              <w:bottom w:w="-1" w:type="dxa"/>
              <w:right w:w="-1" w:type="dxa"/>
            </w:tcMar>
            <w:vAlign w:val="center"/>
          </w:tcPr>
          <w:p w14:paraId="4B68C8E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2.39</w:t>
            </w:r>
          </w:p>
        </w:tc>
        <w:tc>
          <w:tcPr>
            <w:tcW w:w="9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67AA00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0.017</w:t>
            </w:r>
          </w:p>
        </w:tc>
      </w:tr>
      <w:tr w14:paraId="409E1D52">
        <w:tblPrEx>
          <w:tblCellMar>
            <w:top w:w="0" w:type="dxa"/>
            <w:left w:w="108" w:type="dxa"/>
            <w:bottom w:w="0" w:type="dxa"/>
            <w:right w:w="108" w:type="dxa"/>
          </w:tblCellMar>
        </w:tblPrEx>
        <w:trPr>
          <w:cantSplit/>
          <w:trHeight w:val="283" w:hRule="atLeast"/>
          <w:jc w:val="center"/>
        </w:trPr>
        <w:tc>
          <w:tcPr>
            <w:tcW w:w="2571" w:type="dxa"/>
            <w:tcBorders>
              <w:top w:val="single" w:color="auto" w:sz="4" w:space="0"/>
              <w:left w:val="single" w:color="auto" w:sz="4" w:space="0"/>
              <w:bottom w:val="nil"/>
              <w:right w:val="nil"/>
            </w:tcBorders>
            <w:tcMar>
              <w:top w:w="-1" w:type="dxa"/>
              <w:left w:w="-1" w:type="dxa"/>
              <w:bottom w:w="-1" w:type="dxa"/>
              <w:right w:w="-1" w:type="dxa"/>
            </w:tcMar>
            <w:vAlign w:val="center"/>
          </w:tcPr>
          <w:p w14:paraId="7235140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2015–2023 vs 1995–2004</w:t>
            </w:r>
          </w:p>
        </w:tc>
        <w:tc>
          <w:tcPr>
            <w:tcW w:w="1763" w:type="dxa"/>
            <w:tcBorders>
              <w:top w:val="single" w:color="auto" w:sz="4" w:space="0"/>
              <w:left w:val="single" w:color="auto" w:sz="4" w:space="0"/>
              <w:bottom w:val="nil"/>
              <w:right w:val="nil"/>
            </w:tcBorders>
            <w:tcMar>
              <w:top w:w="-1" w:type="dxa"/>
              <w:left w:w="-1" w:type="dxa"/>
              <w:bottom w:w="-1" w:type="dxa"/>
              <w:right w:w="-1" w:type="dxa"/>
            </w:tcMar>
            <w:vAlign w:val="center"/>
          </w:tcPr>
          <w:p w14:paraId="4A84A70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0.79</w:t>
            </w:r>
          </w:p>
        </w:tc>
        <w:tc>
          <w:tcPr>
            <w:tcW w:w="951" w:type="dxa"/>
            <w:tcBorders>
              <w:top w:val="single" w:color="auto" w:sz="4" w:space="0"/>
              <w:left w:val="single" w:color="auto" w:sz="4" w:space="0"/>
              <w:bottom w:val="nil"/>
              <w:right w:val="nil"/>
            </w:tcBorders>
            <w:tcMar>
              <w:top w:w="-1" w:type="dxa"/>
              <w:left w:w="-1" w:type="dxa"/>
              <w:bottom w:w="-1" w:type="dxa"/>
              <w:right w:w="-1" w:type="dxa"/>
            </w:tcMar>
            <w:vAlign w:val="center"/>
          </w:tcPr>
          <w:p w14:paraId="3D7A686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0.28</w:t>
            </w:r>
          </w:p>
        </w:tc>
        <w:tc>
          <w:tcPr>
            <w:tcW w:w="1533" w:type="dxa"/>
            <w:tcBorders>
              <w:top w:val="single" w:color="auto" w:sz="4" w:space="0"/>
              <w:left w:val="single" w:color="auto" w:sz="4" w:space="0"/>
              <w:bottom w:val="nil"/>
              <w:right w:val="nil"/>
            </w:tcBorders>
            <w:tcMar>
              <w:top w:w="-1" w:type="dxa"/>
              <w:left w:w="-1" w:type="dxa"/>
              <w:bottom w:w="-1" w:type="dxa"/>
              <w:right w:w="-1" w:type="dxa"/>
            </w:tcMar>
            <w:vAlign w:val="center"/>
          </w:tcPr>
          <w:p w14:paraId="148F503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[0.23, 1.34]</w:t>
            </w:r>
          </w:p>
        </w:tc>
        <w:tc>
          <w:tcPr>
            <w:tcW w:w="867" w:type="dxa"/>
            <w:tcBorders>
              <w:top w:val="single" w:color="auto" w:sz="4" w:space="0"/>
              <w:left w:val="single" w:color="auto" w:sz="4" w:space="0"/>
              <w:bottom w:val="nil"/>
              <w:right w:val="nil"/>
            </w:tcBorders>
            <w:tcMar>
              <w:top w:w="-1" w:type="dxa"/>
              <w:left w:w="-1" w:type="dxa"/>
              <w:bottom w:w="-1" w:type="dxa"/>
              <w:right w:w="-1" w:type="dxa"/>
            </w:tcMar>
            <w:vAlign w:val="center"/>
          </w:tcPr>
          <w:p w14:paraId="7F9F99C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2.79</w:t>
            </w:r>
          </w:p>
        </w:tc>
        <w:tc>
          <w:tcPr>
            <w:tcW w:w="9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5E70E6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0.005</w:t>
            </w:r>
          </w:p>
        </w:tc>
      </w:tr>
      <w:tr w14:paraId="68218270">
        <w:tblPrEx>
          <w:tblCellMar>
            <w:top w:w="0" w:type="dxa"/>
            <w:left w:w="108" w:type="dxa"/>
            <w:bottom w:w="0" w:type="dxa"/>
            <w:right w:w="108" w:type="dxa"/>
          </w:tblCellMar>
        </w:tblPrEx>
        <w:trPr>
          <w:cantSplit/>
          <w:trHeight w:val="283" w:hRule="atLeast"/>
          <w:jc w:val="center"/>
        </w:trPr>
        <w:tc>
          <w:tcPr>
            <w:tcW w:w="257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2D387B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2015–2023 vs 2005–2014</w:t>
            </w:r>
          </w:p>
        </w:tc>
        <w:tc>
          <w:tcPr>
            <w:tcW w:w="176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2BF045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0.12</w:t>
            </w:r>
          </w:p>
        </w:tc>
        <w:tc>
          <w:tcPr>
            <w:tcW w:w="95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314A8B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0.23</w:t>
            </w:r>
          </w:p>
        </w:tc>
        <w:tc>
          <w:tcPr>
            <w:tcW w:w="153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A72B0A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[-0.33, 0.57]</w:t>
            </w:r>
          </w:p>
        </w:tc>
        <w:tc>
          <w:tcPr>
            <w:tcW w:w="86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81BAFC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0.51</w:t>
            </w:r>
          </w:p>
        </w:tc>
        <w:tc>
          <w:tcPr>
            <w:tcW w:w="967"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5681DE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0.610</w:t>
            </w:r>
          </w:p>
        </w:tc>
      </w:tr>
    </w:tbl>
    <w:p w14:paraId="651BC2EA">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table reports pairwise comparisons of the average marginal effects of elite doctoral education across doctoral-completion periods. Differences are expressed in percentage points; positive values indicate a larger advantage in the later period. The p-value tests equality of the two period-specific average marginal effects</w:t>
      </w:r>
      <w:r>
        <w:rPr>
          <w:rFonts w:hint="default" w:ascii="Times New Roman" w:hAnsi="Times New Roman" w:cs="Times New Roman"/>
          <w:b w:val="0"/>
          <w:i w:val="0"/>
          <w:sz w:val="20"/>
          <w:szCs w:val="28"/>
          <w:lang w:val="en-US" w:eastAsia="zh-CN"/>
        </w:rPr>
        <w:t>.</w:t>
      </w:r>
    </w:p>
    <w:p w14:paraId="65EC918A">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D. Continuous-year robustness model</w:t>
      </w:r>
    </w:p>
    <w:p w14:paraId="3D1C7A75">
      <w:pPr>
        <w:pStyle w:val="4"/>
        <w:widowControl/>
        <w:spacing w:beforeAutospacing="0" w:afterAutospacing="0" w:line="300" w:lineRule="auto"/>
        <w:ind w:firstLine="420"/>
        <w:jc w:val="both"/>
        <w:rPr>
          <w:rFonts w:hint="default" w:ascii="Times New Roman" w:hAnsi="Times New Roman" w:eastAsia="宋体" w:cs="Times New Roman"/>
          <w:b w:val="0"/>
          <w:i w:val="0"/>
          <w:szCs w:val="32"/>
          <w:lang w:val="en-US" w:eastAsia="zh-CN"/>
        </w:rPr>
      </w:pPr>
      <w:r>
        <w:rPr>
          <w:rFonts w:hint="default" w:ascii="Times New Roman" w:hAnsi="Times New Roman" w:eastAsia="宋体" w:cs="Times New Roman"/>
          <w:b w:val="0"/>
          <w:i w:val="0"/>
          <w:szCs w:val="32"/>
          <w:lang w:eastAsia="zh-CN"/>
        </w:rPr>
        <w:t>As a robustness check, doctoral-completion year was modeled continuously. The elite-doctorate-by-year interaction was positive (β = 0.008, OR = 1.008, 95% CI [1.007, 1.010], p &lt; 0.001; Wald χ²(1) = 177.68), implying an average annual increase of approximately 0.8% in the relative odds advantage. The odds of elite-university employment declined by approximately 1.8% per year among non-elite doctorate holders (OR = 0.982, p &lt; 0.001) and by approximately 1.0% per year among elite doctorate holders. Thus, employment odds declined in both groups, but more rapidly among non-elite doctorate holders, widening the relative advantage of elite doctoral education</w:t>
      </w:r>
      <w:r>
        <w:rPr>
          <w:rFonts w:hint="default" w:ascii="Times New Roman" w:hAnsi="Times New Roman" w:eastAsia="宋体" w:cs="Times New Roman"/>
          <w:b w:val="0"/>
          <w:i w:val="0"/>
          <w:szCs w:val="32"/>
          <w:lang w:val="en-US" w:eastAsia="zh-CN"/>
        </w:rPr>
        <w:t>.</w:t>
      </w:r>
    </w:p>
    <w:p w14:paraId="46A349BA">
      <w:pPr>
        <w:rPr>
          <w:rFonts w:hint="default" w:ascii="Times New Roman" w:hAnsi="Times New Roman" w:cs="Times New Roman"/>
          <w:b/>
        </w:rPr>
      </w:pPr>
      <w:r>
        <w:rPr>
          <w:rFonts w:hint="default" w:ascii="Times New Roman" w:hAnsi="Times New Roman" w:cs="Times New Roman"/>
          <w:b/>
        </w:rPr>
        <w:br w:type="page"/>
      </w:r>
    </w:p>
    <w:p w14:paraId="1A2864D4">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13. Temporal variation in the association between elite undergraduate education and senior corporate-position attainment in the LinkedIn corporate sample</w:t>
      </w:r>
    </w:p>
    <w:p w14:paraId="2B4A6A33">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Position-record-level logit model (outcome: senior corporate position)</w:t>
      </w:r>
    </w:p>
    <w:tbl>
      <w:tblPr>
        <w:tblStyle w:val="5"/>
        <w:tblW w:w="0" w:type="auto"/>
        <w:jc w:val="center"/>
        <w:tblLayout w:type="fixed"/>
        <w:tblCellMar>
          <w:top w:w="0" w:type="dxa"/>
          <w:left w:w="108" w:type="dxa"/>
          <w:bottom w:w="0" w:type="dxa"/>
          <w:right w:w="108" w:type="dxa"/>
        </w:tblCellMar>
      </w:tblPr>
      <w:tblGrid>
        <w:gridCol w:w="2540"/>
        <w:gridCol w:w="1985"/>
        <w:gridCol w:w="2311"/>
        <w:gridCol w:w="2178"/>
      </w:tblGrid>
      <w:tr w14:paraId="2CC538B0">
        <w:tblPrEx>
          <w:tblCellMar>
            <w:top w:w="0" w:type="dxa"/>
            <w:left w:w="108" w:type="dxa"/>
            <w:bottom w:w="0" w:type="dxa"/>
            <w:right w:w="108" w:type="dxa"/>
          </w:tblCellMar>
        </w:tblPrEx>
        <w:trPr>
          <w:cantSplit/>
          <w:trHeight w:val="283" w:hRule="atLeast"/>
          <w:tblHeader/>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239A034B">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Variable</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08184D77">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Model 1: baseline</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235AC317">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Model 2: career-stage adjustment</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62CAA7A">
            <w:pPr>
              <w:widowControl/>
              <w:snapToGrid w:val="0"/>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Model 3: excluding elite master’s degree</w:t>
            </w:r>
          </w:p>
        </w:tc>
      </w:tr>
      <w:tr w14:paraId="3EB8BFCC">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1AAFB697">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 bachelor’s degree</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61122D5B">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1.066 </w:t>
            </w:r>
          </w:p>
          <w:p w14:paraId="2754DFB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[0.915, 1.242]</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4D0FB65D">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1.037 </w:t>
            </w:r>
          </w:p>
          <w:p w14:paraId="2AA311A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[0.888, 1.211]</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AA811A4">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1.090 </w:t>
            </w:r>
          </w:p>
          <w:p w14:paraId="052749D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[0.934, 1.272]</w:t>
            </w:r>
          </w:p>
        </w:tc>
      </w:tr>
      <w:tr w14:paraId="71CB09C1">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0EA903A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 bachelor’s degree × 1995—2004</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2EC61104">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0.975 </w:t>
            </w:r>
          </w:p>
          <w:p w14:paraId="3ACC427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[0.824, 1.153]</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635EE069">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0.968 </w:t>
            </w:r>
          </w:p>
          <w:p w14:paraId="08E0B307">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[0.817, 1.148]</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F396382">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0.970 </w:t>
            </w:r>
          </w:p>
          <w:p w14:paraId="3BF2150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[0.819, 1.150]</w:t>
            </w:r>
          </w:p>
        </w:tc>
      </w:tr>
      <w:tr w14:paraId="2275B5FF">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3715D1F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 bachelor’s degree × 2005—2014</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2F1CDA69">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1.053 </w:t>
            </w:r>
          </w:p>
          <w:p w14:paraId="5CBB7C9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[0.898, 1.234]</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6BDA6A52">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1.077 </w:t>
            </w:r>
          </w:p>
          <w:p w14:paraId="311A32F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[0.917, 1.265]</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FA0F568">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1.081 </w:t>
            </w:r>
          </w:p>
          <w:p w14:paraId="65E0D8A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[0.921, 1.270]</w:t>
            </w:r>
          </w:p>
        </w:tc>
      </w:tr>
      <w:tr w14:paraId="03ABEB0A">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4651731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 bachelor’s degree × 2015—2023</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611CF6F3">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1.068 </w:t>
            </w:r>
          </w:p>
          <w:p w14:paraId="28CFF48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[0.913, 1.248]</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0535F21A">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1.100 </w:t>
            </w:r>
          </w:p>
          <w:p w14:paraId="7E9F4DC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[0.940, 1.288]</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4BA610C">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1.107 </w:t>
            </w:r>
          </w:p>
          <w:p w14:paraId="661D84A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[0.945, 1.296]</w:t>
            </w:r>
          </w:p>
        </w:tc>
      </w:tr>
      <w:tr w14:paraId="0610AE5B">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5623C80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 master’s degree</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0C33BE8F">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1.124*** </w:t>
            </w:r>
          </w:p>
          <w:p w14:paraId="16AA49E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[1.087, 1.162]</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13BDE11C">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1.159*** </w:t>
            </w:r>
          </w:p>
          <w:p w14:paraId="7CE175F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[1.121, 1.197]</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0A7023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w:t>
            </w:r>
          </w:p>
        </w:tc>
      </w:tr>
      <w:tr w14:paraId="2A012F29">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54E238D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Female</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60363F75">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0.622***</w:t>
            </w:r>
          </w:p>
          <w:p w14:paraId="42514CD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[0.604, 0.641]</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20656F00">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0.698*** </w:t>
            </w:r>
          </w:p>
          <w:p w14:paraId="6D612C2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[0.678, 0.719]</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A17AF81">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0.697*** </w:t>
            </w:r>
          </w:p>
          <w:p w14:paraId="191ECAE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[0.676, 0.718]</w:t>
            </w:r>
          </w:p>
        </w:tc>
      </w:tr>
      <w:tr w14:paraId="12D823D3">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518B66E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Observed career duration</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11EDF78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36A09B64">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1.225*** </w:t>
            </w:r>
          </w:p>
          <w:p w14:paraId="37AE9D0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[1.219, 1.231]</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6459B81">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1.225*** </w:t>
            </w:r>
          </w:p>
          <w:p w14:paraId="5914D536">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[1.219, 1.231]</w:t>
            </w:r>
          </w:p>
        </w:tc>
      </w:tr>
      <w:tr w14:paraId="23B31CFA">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2DE0CD8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Observed career duration²/100</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4A1B800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1293A6F4">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0.711*** </w:t>
            </w:r>
          </w:p>
          <w:p w14:paraId="7CF294E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[0.699, 0.723]</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5A8D290">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0.711*** </w:t>
            </w:r>
          </w:p>
          <w:p w14:paraId="7347A43C">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[0.699, 0.723]</w:t>
            </w:r>
          </w:p>
        </w:tc>
      </w:tr>
      <w:tr w14:paraId="10BFD43F">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75B580E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1995—2004Period</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4953AE24">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0.997 </w:t>
            </w:r>
          </w:p>
          <w:p w14:paraId="1E82200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[0.904, 1.100]</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09CD0FD2">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0.572*** </w:t>
            </w:r>
          </w:p>
          <w:p w14:paraId="42A21A0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[0.517, 0.632]</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B10F823">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0.571*** </w:t>
            </w:r>
          </w:p>
          <w:p w14:paraId="034D9AD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[0.516, 0.631]</w:t>
            </w:r>
          </w:p>
        </w:tc>
      </w:tr>
      <w:tr w14:paraId="6359BE7A">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761E0EC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2005—2014Period</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66DCCF51">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0.739*** </w:t>
            </w:r>
          </w:p>
          <w:p w14:paraId="1DA11DD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[0.673, 0.812]</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6E671EFF">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0.282*** </w:t>
            </w:r>
          </w:p>
          <w:p w14:paraId="0536D02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[0.256, 0.310]</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E94811D">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0.281*** </w:t>
            </w:r>
          </w:p>
          <w:p w14:paraId="0064EC7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[0.255, 0.310]</w:t>
            </w:r>
          </w:p>
        </w:tc>
      </w:tr>
      <w:tr w14:paraId="067058EF">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4B824ED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2015—2023Period</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48A0431A">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0.957 </w:t>
            </w:r>
          </w:p>
          <w:p w14:paraId="0AE2F7B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[0.872, 1.050]</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496CBE6C">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0.256*** </w:t>
            </w:r>
          </w:p>
          <w:p w14:paraId="772B210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[0.232, 0.282]</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9C77963">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0.256*** </w:t>
            </w:r>
          </w:p>
          <w:p w14:paraId="72BE037A">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[0.232, 0.282]</w:t>
            </w:r>
          </w:p>
        </w:tc>
      </w:tr>
      <w:tr w14:paraId="04060615">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0FA2433F">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Constant</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33808930">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0.013*** </w:t>
            </w:r>
          </w:p>
          <w:p w14:paraId="0814EA4C">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[0.011, 0.016]</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76045D5A">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0.015*** </w:t>
            </w:r>
          </w:p>
          <w:p w14:paraId="4B2EB6B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[0.012, 0.018]</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708313C">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 xml:space="preserve">0.016*** </w:t>
            </w:r>
          </w:p>
          <w:p w14:paraId="57B6296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[0.013, 0.019]</w:t>
            </w:r>
          </w:p>
        </w:tc>
      </w:tr>
      <w:tr w14:paraId="2DDB75B3">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0CF3AD4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Industry fixed effects</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0C1F8DEE">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Yes</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4E2CBDD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Yes</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3CB0C6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Yes</w:t>
            </w:r>
          </w:p>
        </w:tc>
      </w:tr>
      <w:tr w14:paraId="13E34F14">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5399868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Country fixed effects</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0A21B89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Yes</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1F2E4DB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Yes</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2B94EA1">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Yes</w:t>
            </w:r>
          </w:p>
        </w:tc>
      </w:tr>
      <w:tr w14:paraId="1E6B65FF">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1FE283F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Position records</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53119E5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1,749,886</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507696C7">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1,749,886</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9877BE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1,749,886</w:t>
            </w:r>
          </w:p>
        </w:tc>
      </w:tr>
      <w:tr w14:paraId="0D9BEFC1">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49CACC18">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Individuals</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5C6EF43B">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504,861</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3AC5DC2C">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504,861</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D0D2AF7">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504,861</w:t>
            </w:r>
          </w:p>
        </w:tc>
      </w:tr>
      <w:tr w14:paraId="21580FF1">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nil"/>
              <w:right w:val="nil"/>
            </w:tcBorders>
            <w:tcMar>
              <w:top w:w="-1" w:type="dxa"/>
              <w:left w:w="-1" w:type="dxa"/>
              <w:bottom w:w="-1" w:type="dxa"/>
              <w:right w:w="-1" w:type="dxa"/>
            </w:tcMar>
            <w:vAlign w:val="center"/>
          </w:tcPr>
          <w:p w14:paraId="23FAFF9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Joint test: elite bachelor’s × period</w:t>
            </w:r>
          </w:p>
        </w:tc>
        <w:tc>
          <w:tcPr>
            <w:tcW w:w="1985" w:type="dxa"/>
            <w:tcBorders>
              <w:top w:val="single" w:color="auto" w:sz="4" w:space="0"/>
              <w:left w:val="single" w:color="auto" w:sz="4" w:space="0"/>
              <w:bottom w:val="nil"/>
              <w:right w:val="nil"/>
            </w:tcBorders>
            <w:tcMar>
              <w:top w:w="-1" w:type="dxa"/>
              <w:left w:w="-1" w:type="dxa"/>
              <w:bottom w:w="-1" w:type="dxa"/>
              <w:right w:w="-1" w:type="dxa"/>
            </w:tcMar>
            <w:vAlign w:val="center"/>
          </w:tcPr>
          <w:p w14:paraId="157598C9">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χ²(3)=4.51, p=0.211</w:t>
            </w:r>
          </w:p>
        </w:tc>
        <w:tc>
          <w:tcPr>
            <w:tcW w:w="2311" w:type="dxa"/>
            <w:tcBorders>
              <w:top w:val="single" w:color="auto" w:sz="4" w:space="0"/>
              <w:left w:val="single" w:color="auto" w:sz="4" w:space="0"/>
              <w:bottom w:val="nil"/>
              <w:right w:val="nil"/>
            </w:tcBorders>
            <w:tcMar>
              <w:top w:w="-1" w:type="dxa"/>
              <w:left w:w="-1" w:type="dxa"/>
              <w:bottom w:w="-1" w:type="dxa"/>
              <w:right w:w="-1" w:type="dxa"/>
            </w:tcMar>
            <w:vAlign w:val="center"/>
          </w:tcPr>
          <w:p w14:paraId="3513B915">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χ²(3)=8.65, p=0.034</w:t>
            </w:r>
          </w:p>
        </w:tc>
        <w:tc>
          <w:tcPr>
            <w:tcW w:w="21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869279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χ²(3)=9.30, p=0.026</w:t>
            </w:r>
          </w:p>
        </w:tc>
      </w:tr>
      <w:tr w14:paraId="07A50F7F">
        <w:tblPrEx>
          <w:tblCellMar>
            <w:top w:w="0" w:type="dxa"/>
            <w:left w:w="108" w:type="dxa"/>
            <w:bottom w:w="0" w:type="dxa"/>
            <w:right w:w="108" w:type="dxa"/>
          </w:tblCellMar>
        </w:tblPrEx>
        <w:trPr>
          <w:cantSplit/>
          <w:trHeight w:val="283" w:hRule="atLeast"/>
          <w:jc w:val="center"/>
        </w:trPr>
        <w:tc>
          <w:tcPr>
            <w:tcW w:w="254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4C3F714">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Pseudo R²</w:t>
            </w:r>
          </w:p>
        </w:tc>
        <w:tc>
          <w:tcPr>
            <w:tcW w:w="198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8D4983D">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0.0415</w:t>
            </w:r>
          </w:p>
        </w:tc>
        <w:tc>
          <w:tcPr>
            <w:tcW w:w="231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D5585D0">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0.1142</w:t>
            </w:r>
          </w:p>
        </w:tc>
        <w:tc>
          <w:tcPr>
            <w:tcW w:w="217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AAF8153">
            <w:pPr>
              <w:widowControl/>
              <w:snapToGrid w:val="0"/>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0.1138</w:t>
            </w:r>
          </w:p>
        </w:tc>
      </w:tr>
    </w:tbl>
    <w:p w14:paraId="015FEEF1">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Period-specific effects of elite undergraduate education</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914"/>
        <w:gridCol w:w="1616"/>
        <w:gridCol w:w="1633"/>
        <w:gridCol w:w="855"/>
        <w:gridCol w:w="1309"/>
        <w:gridCol w:w="991"/>
      </w:tblGrid>
      <w:tr w14:paraId="7C58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blHeader/>
          <w:jc w:val="center"/>
        </w:trPr>
        <w:tc>
          <w:tcPr>
            <w:tcW w:w="1465" w:type="dxa"/>
            <w:vAlign w:val="center"/>
          </w:tcPr>
          <w:p w14:paraId="3A7C38A9">
            <w:pPr>
              <w:widowControl/>
              <w:snapToGrid w:val="0"/>
              <w:spacing w:before="0" w:after="0" w:line="240" w:lineRule="auto"/>
              <w:jc w:val="center"/>
              <w:textAlignment w:val="center"/>
              <w:rPr>
                <w:rFonts w:hint="default" w:ascii="Times New Roman" w:hAnsi="Times New Roman" w:cs="Times New Roman"/>
                <w:b/>
                <w:bCs/>
              </w:rPr>
            </w:pPr>
            <w:r>
              <w:rPr>
                <w:rFonts w:hint="default" w:ascii="Times New Roman" w:hAnsi="Times New Roman" w:cs="Times New Roman"/>
                <w:b/>
                <w:bCs/>
              </w:rPr>
              <w:t>Position-</w:t>
            </w:r>
          </w:p>
          <w:p w14:paraId="6BE289A0">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record period</w:t>
            </w:r>
          </w:p>
        </w:tc>
        <w:tc>
          <w:tcPr>
            <w:tcW w:w="914" w:type="dxa"/>
            <w:vAlign w:val="center"/>
          </w:tcPr>
          <w:p w14:paraId="7FAA3BE2">
            <w:pPr>
              <w:widowControl/>
              <w:snapToGrid w:val="0"/>
              <w:spacing w:before="0" w:after="0" w:line="240" w:lineRule="auto"/>
              <w:jc w:val="center"/>
              <w:textAlignment w:val="center"/>
              <w:rPr>
                <w:rFonts w:hint="default" w:ascii="Times New Roman" w:hAnsi="Times New Roman" w:cs="Times New Roman"/>
                <w:b/>
                <w:bCs/>
              </w:rPr>
            </w:pPr>
            <w:r>
              <w:rPr>
                <w:rFonts w:hint="default" w:ascii="Times New Roman" w:hAnsi="Times New Roman" w:cs="Times New Roman"/>
                <w:b/>
                <w:bCs/>
              </w:rPr>
              <w:t>Period-</w:t>
            </w:r>
          </w:p>
          <w:p w14:paraId="421269B4">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specific OR</w:t>
            </w:r>
          </w:p>
        </w:tc>
        <w:tc>
          <w:tcPr>
            <w:tcW w:w="1616" w:type="dxa"/>
            <w:vAlign w:val="center"/>
          </w:tcPr>
          <w:p w14:paraId="189F328E">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Predicted probability, non-elite bachelor’s (%)</w:t>
            </w:r>
          </w:p>
        </w:tc>
        <w:tc>
          <w:tcPr>
            <w:tcW w:w="1633" w:type="dxa"/>
            <w:vAlign w:val="center"/>
          </w:tcPr>
          <w:p w14:paraId="64A6DD37">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Predicted probability, elite bachelor’s (%)</w:t>
            </w:r>
          </w:p>
        </w:tc>
        <w:tc>
          <w:tcPr>
            <w:tcW w:w="855" w:type="dxa"/>
            <w:vAlign w:val="center"/>
          </w:tcPr>
          <w:p w14:paraId="1E2AC239">
            <w:pPr>
              <w:spacing w:before="0" w:after="0" w:line="240" w:lineRule="auto"/>
              <w:jc w:val="center"/>
              <w:rPr>
                <w:rFonts w:hint="default" w:ascii="Times New Roman" w:hAnsi="Times New Roman" w:cs="Times New Roman"/>
                <w:b/>
                <w:bCs/>
              </w:rPr>
            </w:pPr>
            <w:r>
              <w:rPr>
                <w:rFonts w:hint="default" w:ascii="Times New Roman" w:hAnsi="Times New Roman" w:eastAsia="宋体" w:cs="Times New Roman"/>
                <w:b/>
                <w:bCs/>
              </w:rPr>
              <w:t>AME</w:t>
            </w:r>
            <w:r>
              <w:rPr>
                <w:rFonts w:hint="default" w:ascii="Times New Roman" w:hAnsi="Times New Roman" w:eastAsia="宋体" w:cs="Times New Roman"/>
                <w:b/>
                <w:bCs/>
              </w:rPr>
              <w:br w:type="textWrapping"/>
            </w:r>
            <w:r>
              <w:rPr>
                <w:rFonts w:hint="default" w:ascii="Times New Roman" w:hAnsi="Times New Roman" w:eastAsia="宋体" w:cs="Times New Roman"/>
                <w:b/>
                <w:bCs/>
              </w:rPr>
              <w:t>（%）</w:t>
            </w:r>
          </w:p>
        </w:tc>
        <w:tc>
          <w:tcPr>
            <w:tcW w:w="1309" w:type="dxa"/>
            <w:vAlign w:val="center"/>
          </w:tcPr>
          <w:p w14:paraId="29778164">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w:t>
            </w:r>
          </w:p>
        </w:tc>
        <w:tc>
          <w:tcPr>
            <w:tcW w:w="991" w:type="dxa"/>
            <w:vAlign w:val="center"/>
          </w:tcPr>
          <w:p w14:paraId="047D5B4B">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r>
      <w:tr w14:paraId="352B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65" w:type="dxa"/>
            <w:vAlign w:val="center"/>
          </w:tcPr>
          <w:p w14:paraId="4388FA5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1985—1994</w:t>
            </w:r>
          </w:p>
        </w:tc>
        <w:tc>
          <w:tcPr>
            <w:tcW w:w="914" w:type="dxa"/>
            <w:vAlign w:val="center"/>
          </w:tcPr>
          <w:p w14:paraId="2AFE557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1.037</w:t>
            </w:r>
          </w:p>
        </w:tc>
        <w:tc>
          <w:tcPr>
            <w:tcW w:w="1616" w:type="dxa"/>
            <w:vAlign w:val="center"/>
          </w:tcPr>
          <w:p w14:paraId="4C7F85AF">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2.58</w:t>
            </w:r>
          </w:p>
        </w:tc>
        <w:tc>
          <w:tcPr>
            <w:tcW w:w="1633" w:type="dxa"/>
            <w:vAlign w:val="center"/>
          </w:tcPr>
          <w:p w14:paraId="043260A9">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2.67</w:t>
            </w:r>
          </w:p>
        </w:tc>
        <w:tc>
          <w:tcPr>
            <w:tcW w:w="855" w:type="dxa"/>
            <w:vAlign w:val="center"/>
          </w:tcPr>
          <w:p w14:paraId="4B3C4162">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0.09</w:t>
            </w:r>
          </w:p>
        </w:tc>
        <w:tc>
          <w:tcPr>
            <w:tcW w:w="1309" w:type="dxa"/>
            <w:vAlign w:val="center"/>
          </w:tcPr>
          <w:p w14:paraId="00EF17B8">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[-0.30, 0.48]</w:t>
            </w:r>
          </w:p>
        </w:tc>
        <w:tc>
          <w:tcPr>
            <w:tcW w:w="991" w:type="dxa"/>
            <w:vAlign w:val="center"/>
          </w:tcPr>
          <w:p w14:paraId="608F0294">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0.646</w:t>
            </w:r>
          </w:p>
        </w:tc>
      </w:tr>
      <w:tr w14:paraId="4D33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65" w:type="dxa"/>
            <w:vAlign w:val="center"/>
          </w:tcPr>
          <w:p w14:paraId="3379F25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1995—2004</w:t>
            </w:r>
          </w:p>
        </w:tc>
        <w:tc>
          <w:tcPr>
            <w:tcW w:w="914" w:type="dxa"/>
            <w:vAlign w:val="center"/>
          </w:tcPr>
          <w:p w14:paraId="39FBF39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1.004</w:t>
            </w:r>
          </w:p>
        </w:tc>
        <w:tc>
          <w:tcPr>
            <w:tcW w:w="1616" w:type="dxa"/>
            <w:vAlign w:val="center"/>
          </w:tcPr>
          <w:p w14:paraId="11A70699">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2.46</w:t>
            </w:r>
          </w:p>
        </w:tc>
        <w:tc>
          <w:tcPr>
            <w:tcW w:w="1633" w:type="dxa"/>
            <w:vAlign w:val="center"/>
          </w:tcPr>
          <w:p w14:paraId="0A618716">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2.47</w:t>
            </w:r>
          </w:p>
        </w:tc>
        <w:tc>
          <w:tcPr>
            <w:tcW w:w="855" w:type="dxa"/>
            <w:vAlign w:val="center"/>
          </w:tcPr>
          <w:p w14:paraId="3A7649F6">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0.01</w:t>
            </w:r>
          </w:p>
        </w:tc>
        <w:tc>
          <w:tcPr>
            <w:tcW w:w="1309" w:type="dxa"/>
            <w:vAlign w:val="center"/>
          </w:tcPr>
          <w:p w14:paraId="602169BE">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[-0.19, 0.21]</w:t>
            </w:r>
          </w:p>
        </w:tc>
        <w:tc>
          <w:tcPr>
            <w:tcW w:w="991" w:type="dxa"/>
            <w:vAlign w:val="center"/>
          </w:tcPr>
          <w:p w14:paraId="0075BB41">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0.918</w:t>
            </w:r>
          </w:p>
        </w:tc>
      </w:tr>
      <w:tr w14:paraId="302E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65" w:type="dxa"/>
            <w:vAlign w:val="center"/>
          </w:tcPr>
          <w:p w14:paraId="3EA83C8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2005—2014</w:t>
            </w:r>
          </w:p>
        </w:tc>
        <w:tc>
          <w:tcPr>
            <w:tcW w:w="914" w:type="dxa"/>
            <w:vAlign w:val="center"/>
          </w:tcPr>
          <w:p w14:paraId="4EA52E8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1.117</w:t>
            </w:r>
          </w:p>
        </w:tc>
        <w:tc>
          <w:tcPr>
            <w:tcW w:w="1616" w:type="dxa"/>
            <w:vAlign w:val="center"/>
          </w:tcPr>
          <w:p w14:paraId="03AD74E8">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1.52</w:t>
            </w:r>
          </w:p>
        </w:tc>
        <w:tc>
          <w:tcPr>
            <w:tcW w:w="1633" w:type="dxa"/>
            <w:vAlign w:val="center"/>
          </w:tcPr>
          <w:p w14:paraId="3679D07F">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1.69</w:t>
            </w:r>
          </w:p>
        </w:tc>
        <w:tc>
          <w:tcPr>
            <w:tcW w:w="855" w:type="dxa"/>
            <w:vAlign w:val="center"/>
          </w:tcPr>
          <w:p w14:paraId="2D2B000C">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0.17</w:t>
            </w:r>
          </w:p>
        </w:tc>
        <w:tc>
          <w:tcPr>
            <w:tcW w:w="1309" w:type="dxa"/>
            <w:vAlign w:val="center"/>
          </w:tcPr>
          <w:p w14:paraId="76DE662D">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[0.09, 0.25]</w:t>
            </w:r>
          </w:p>
        </w:tc>
        <w:tc>
          <w:tcPr>
            <w:tcW w:w="991" w:type="dxa"/>
            <w:vAlign w:val="center"/>
          </w:tcPr>
          <w:p w14:paraId="45F36D8E">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&lt;0.001</w:t>
            </w:r>
          </w:p>
        </w:tc>
      </w:tr>
      <w:tr w14:paraId="474A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465" w:type="dxa"/>
            <w:vAlign w:val="center"/>
          </w:tcPr>
          <w:p w14:paraId="47E5316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2015—2023</w:t>
            </w:r>
          </w:p>
        </w:tc>
        <w:tc>
          <w:tcPr>
            <w:tcW w:w="914" w:type="dxa"/>
            <w:vAlign w:val="center"/>
          </w:tcPr>
          <w:p w14:paraId="6C166C1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1.141</w:t>
            </w:r>
          </w:p>
        </w:tc>
        <w:tc>
          <w:tcPr>
            <w:tcW w:w="1616" w:type="dxa"/>
            <w:vAlign w:val="center"/>
          </w:tcPr>
          <w:p w14:paraId="3ED3E234">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1.84</w:t>
            </w:r>
          </w:p>
        </w:tc>
        <w:tc>
          <w:tcPr>
            <w:tcW w:w="1633" w:type="dxa"/>
            <w:vAlign w:val="center"/>
          </w:tcPr>
          <w:p w14:paraId="3CB3B773">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2.09</w:t>
            </w:r>
          </w:p>
        </w:tc>
        <w:tc>
          <w:tcPr>
            <w:tcW w:w="855" w:type="dxa"/>
            <w:vAlign w:val="center"/>
          </w:tcPr>
          <w:p w14:paraId="1CDBB04C">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0.25</w:t>
            </w:r>
          </w:p>
        </w:tc>
        <w:tc>
          <w:tcPr>
            <w:tcW w:w="1309" w:type="dxa"/>
            <w:vAlign w:val="center"/>
          </w:tcPr>
          <w:p w14:paraId="3FEE7B32">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[0.17, 0.32]</w:t>
            </w:r>
          </w:p>
        </w:tc>
        <w:tc>
          <w:tcPr>
            <w:tcW w:w="991" w:type="dxa"/>
            <w:vAlign w:val="center"/>
          </w:tcPr>
          <w:p w14:paraId="2E767173">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&lt;0.001</w:t>
            </w:r>
          </w:p>
        </w:tc>
      </w:tr>
    </w:tbl>
    <w:p w14:paraId="2A6161AD">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 xml:space="preserve">Note. The unit of analysis is a LinkedIn corporate position record. The outcome equals one for Revelio seniority levels </w:t>
      </w:r>
      <w:r>
        <w:rPr>
          <w:rFonts w:hint="eastAsia" w:cs="Times New Roman"/>
          <w:b w:val="0"/>
          <w:i w:val="0"/>
          <w:sz w:val="20"/>
          <w:szCs w:val="28"/>
          <w:lang w:val="en-US" w:eastAsia="zh-CN"/>
        </w:rPr>
        <w:t>6</w:t>
      </w:r>
      <w:r>
        <w:rPr>
          <w:rFonts w:hint="default" w:ascii="Times New Roman" w:hAnsi="Times New Roman" w:cs="Times New Roman"/>
          <w:b w:val="0"/>
          <w:i w:val="0"/>
          <w:sz w:val="20"/>
          <w:szCs w:val="28"/>
        </w:rPr>
        <w:t>–7 and zero for lower levels. Periods are based on position-record year, with 1985–1994 as the reference. Observed career duration is position year minus the user’s first observed employment year; its squared term is divided by 100. Model 1 controls for elite master’s education, gender, period, industry, and country; Model 2 adds observed career duration and its square; Model 3 omits elite master’s education from Model 2. Because of computational constraints, users were randomly sampled and all position records for selected users were retained; standard errors are clustered by user ID. Panel B is based on Model 2. Period-specific ORs combine the elite-bachelor’s main effect with the corresponding interaction, and predicted probabilities and AMEs average over the observed covariate distribution. *** p &lt; 0.001, ** p &lt; 0.01, * p &lt; 0.05</w:t>
      </w:r>
      <w:r>
        <w:rPr>
          <w:rFonts w:hint="default" w:ascii="Times New Roman" w:hAnsi="Times New Roman" w:cs="Times New Roman"/>
          <w:b w:val="0"/>
          <w:i w:val="0"/>
          <w:sz w:val="20"/>
          <w:szCs w:val="28"/>
          <w:lang w:val="en-US" w:eastAsia="zh-CN"/>
        </w:rPr>
        <w:t>.</w:t>
      </w:r>
    </w:p>
    <w:p w14:paraId="633659E2">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C. Individual-level logit model of senior-position attainment within ten years of first observed employment</w:t>
      </w:r>
    </w:p>
    <w:tbl>
      <w:tblPr>
        <w:tblStyle w:val="5"/>
        <w:tblW w:w="0" w:type="auto"/>
        <w:jc w:val="center"/>
        <w:tblLayout w:type="fixed"/>
        <w:tblCellMar>
          <w:top w:w="0" w:type="dxa"/>
          <w:left w:w="108" w:type="dxa"/>
          <w:bottom w:w="0" w:type="dxa"/>
          <w:right w:w="108" w:type="dxa"/>
        </w:tblCellMar>
      </w:tblPr>
      <w:tblGrid>
        <w:gridCol w:w="4522"/>
        <w:gridCol w:w="4338"/>
      </w:tblGrid>
      <w:tr w14:paraId="10FBC951">
        <w:trPr>
          <w:cantSplit/>
          <w:trHeight w:val="283" w:hRule="atLeast"/>
          <w:tblHeader/>
          <w:jc w:val="center"/>
        </w:trPr>
        <w:tc>
          <w:tcPr>
            <w:tcW w:w="4522"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72B25535">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Variable</w:t>
            </w:r>
          </w:p>
        </w:tc>
        <w:tc>
          <w:tcPr>
            <w:tcW w:w="433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3EF76A4">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Corporate domain: senior corporate position</w:t>
            </w:r>
          </w:p>
        </w:tc>
      </w:tr>
      <w:tr w14:paraId="33660F56">
        <w:tblPrEx>
          <w:tblCellMar>
            <w:top w:w="0" w:type="dxa"/>
            <w:left w:w="108" w:type="dxa"/>
            <w:bottom w:w="0" w:type="dxa"/>
            <w:right w:w="108" w:type="dxa"/>
          </w:tblCellMar>
        </w:tblPrEx>
        <w:trPr>
          <w:cantSplit/>
          <w:trHeight w:val="283" w:hRule="atLeast"/>
          <w:jc w:val="center"/>
        </w:trPr>
        <w:tc>
          <w:tcPr>
            <w:tcW w:w="452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A800B5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bachelor’s degree</w:t>
            </w:r>
          </w:p>
        </w:tc>
        <w:tc>
          <w:tcPr>
            <w:tcW w:w="433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5B6CDC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1.106*** [1.077, 1.135]</w:t>
            </w:r>
          </w:p>
        </w:tc>
      </w:tr>
      <w:tr w14:paraId="0D7B88CD">
        <w:tblPrEx>
          <w:tblCellMar>
            <w:top w:w="0" w:type="dxa"/>
            <w:left w:w="108" w:type="dxa"/>
            <w:bottom w:w="0" w:type="dxa"/>
            <w:right w:w="108" w:type="dxa"/>
          </w:tblCellMar>
        </w:tblPrEx>
        <w:trPr>
          <w:cantSplit/>
          <w:trHeight w:val="283" w:hRule="atLeast"/>
          <w:jc w:val="center"/>
        </w:trPr>
        <w:tc>
          <w:tcPr>
            <w:tcW w:w="452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AD620A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bachelor’s degree × 1995—2004 entry cohort</w:t>
            </w:r>
          </w:p>
        </w:tc>
        <w:tc>
          <w:tcPr>
            <w:tcW w:w="433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678FB9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0.997 [0.966, 1.029]</w:t>
            </w:r>
          </w:p>
        </w:tc>
      </w:tr>
      <w:tr w14:paraId="5EBF18BE">
        <w:tblPrEx>
          <w:tblCellMar>
            <w:top w:w="0" w:type="dxa"/>
            <w:left w:w="108" w:type="dxa"/>
            <w:bottom w:w="0" w:type="dxa"/>
            <w:right w:w="108" w:type="dxa"/>
          </w:tblCellMar>
        </w:tblPrEx>
        <w:trPr>
          <w:cantSplit/>
          <w:trHeight w:val="283" w:hRule="atLeast"/>
          <w:jc w:val="center"/>
        </w:trPr>
        <w:tc>
          <w:tcPr>
            <w:tcW w:w="452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59B8C4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bachelor’s degree × 2005—2014 entry cohort</w:t>
            </w:r>
          </w:p>
        </w:tc>
        <w:tc>
          <w:tcPr>
            <w:tcW w:w="433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701B09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1.030 [0.999, 1.062]</w:t>
            </w:r>
          </w:p>
        </w:tc>
      </w:tr>
      <w:tr w14:paraId="1587CA6F">
        <w:tblPrEx>
          <w:tblCellMar>
            <w:top w:w="0" w:type="dxa"/>
            <w:left w:w="108" w:type="dxa"/>
            <w:bottom w:w="0" w:type="dxa"/>
            <w:right w:w="108" w:type="dxa"/>
          </w:tblCellMar>
        </w:tblPrEx>
        <w:trPr>
          <w:cantSplit/>
          <w:trHeight w:val="283" w:hRule="atLeast"/>
          <w:jc w:val="center"/>
        </w:trPr>
        <w:tc>
          <w:tcPr>
            <w:tcW w:w="452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7CA8CE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master’s degree</w:t>
            </w:r>
          </w:p>
        </w:tc>
        <w:tc>
          <w:tcPr>
            <w:tcW w:w="433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57FBB4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1.214*** [1.200, 1.228]</w:t>
            </w:r>
          </w:p>
        </w:tc>
      </w:tr>
      <w:tr w14:paraId="22065CA1">
        <w:tblPrEx>
          <w:tblCellMar>
            <w:top w:w="0" w:type="dxa"/>
            <w:left w:w="108" w:type="dxa"/>
            <w:bottom w:w="0" w:type="dxa"/>
            <w:right w:w="108" w:type="dxa"/>
          </w:tblCellMar>
        </w:tblPrEx>
        <w:trPr>
          <w:cantSplit/>
          <w:trHeight w:val="283" w:hRule="atLeast"/>
          <w:jc w:val="center"/>
        </w:trPr>
        <w:tc>
          <w:tcPr>
            <w:tcW w:w="452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C98238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Female</w:t>
            </w:r>
          </w:p>
        </w:tc>
        <w:tc>
          <w:tcPr>
            <w:tcW w:w="433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5CA4D9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0.654*** [0.647, 0.661]</w:t>
            </w:r>
          </w:p>
        </w:tc>
      </w:tr>
      <w:tr w14:paraId="5C1C6C32">
        <w:tblPrEx>
          <w:tblCellMar>
            <w:top w:w="0" w:type="dxa"/>
            <w:left w:w="108" w:type="dxa"/>
            <w:bottom w:w="0" w:type="dxa"/>
            <w:right w:w="108" w:type="dxa"/>
          </w:tblCellMar>
        </w:tblPrEx>
        <w:trPr>
          <w:cantSplit/>
          <w:trHeight w:val="283" w:hRule="atLeast"/>
          <w:jc w:val="center"/>
        </w:trPr>
        <w:tc>
          <w:tcPr>
            <w:tcW w:w="452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9AD6A2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Constant</w:t>
            </w:r>
          </w:p>
        </w:tc>
        <w:tc>
          <w:tcPr>
            <w:tcW w:w="433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90B17C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0.025*** [0.023, 0.026]</w:t>
            </w:r>
          </w:p>
        </w:tc>
      </w:tr>
      <w:tr w14:paraId="5B36B371">
        <w:tblPrEx>
          <w:tblCellMar>
            <w:top w:w="0" w:type="dxa"/>
            <w:left w:w="108" w:type="dxa"/>
            <w:bottom w:w="0" w:type="dxa"/>
            <w:right w:w="108" w:type="dxa"/>
          </w:tblCellMar>
        </w:tblPrEx>
        <w:trPr>
          <w:cantSplit/>
          <w:trHeight w:val="283" w:hRule="atLeast"/>
          <w:jc w:val="center"/>
        </w:trPr>
        <w:tc>
          <w:tcPr>
            <w:tcW w:w="452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592B9F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Industry fixed effects</w:t>
            </w:r>
          </w:p>
        </w:tc>
        <w:tc>
          <w:tcPr>
            <w:tcW w:w="433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1DEE8C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Yes</w:t>
            </w:r>
          </w:p>
        </w:tc>
      </w:tr>
      <w:tr w14:paraId="39105431">
        <w:tblPrEx>
          <w:tblCellMar>
            <w:top w:w="0" w:type="dxa"/>
            <w:left w:w="108" w:type="dxa"/>
            <w:bottom w:w="0" w:type="dxa"/>
            <w:right w:w="108" w:type="dxa"/>
          </w:tblCellMar>
        </w:tblPrEx>
        <w:trPr>
          <w:cantSplit/>
          <w:trHeight w:val="283" w:hRule="atLeast"/>
          <w:jc w:val="center"/>
        </w:trPr>
        <w:tc>
          <w:tcPr>
            <w:tcW w:w="452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F0FC50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Country fixed effects</w:t>
            </w:r>
          </w:p>
        </w:tc>
        <w:tc>
          <w:tcPr>
            <w:tcW w:w="433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9B5A0B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Yes</w:t>
            </w:r>
          </w:p>
        </w:tc>
      </w:tr>
      <w:tr w14:paraId="7389CE37">
        <w:tblPrEx>
          <w:tblCellMar>
            <w:top w:w="0" w:type="dxa"/>
            <w:left w:w="108" w:type="dxa"/>
            <w:bottom w:w="0" w:type="dxa"/>
            <w:right w:w="108" w:type="dxa"/>
          </w:tblCellMar>
        </w:tblPrEx>
        <w:trPr>
          <w:cantSplit/>
          <w:trHeight w:val="283" w:hRule="atLeast"/>
          <w:jc w:val="center"/>
        </w:trPr>
        <w:tc>
          <w:tcPr>
            <w:tcW w:w="452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BFFF13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Individuals</w:t>
            </w:r>
          </w:p>
        </w:tc>
        <w:tc>
          <w:tcPr>
            <w:tcW w:w="433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F9E87C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3,344,860</w:t>
            </w:r>
          </w:p>
        </w:tc>
      </w:tr>
      <w:tr w14:paraId="71F78221">
        <w:tblPrEx>
          <w:tblCellMar>
            <w:top w:w="0" w:type="dxa"/>
            <w:left w:w="108" w:type="dxa"/>
            <w:bottom w:w="0" w:type="dxa"/>
            <w:right w:w="108" w:type="dxa"/>
          </w:tblCellMar>
        </w:tblPrEx>
        <w:trPr>
          <w:cantSplit/>
          <w:trHeight w:val="283" w:hRule="atLeast"/>
          <w:jc w:val="center"/>
        </w:trPr>
        <w:tc>
          <w:tcPr>
            <w:tcW w:w="452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B0EA24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Attained a senior position within ten years (%)</w:t>
            </w:r>
          </w:p>
        </w:tc>
        <w:tc>
          <w:tcPr>
            <w:tcW w:w="433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819E23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4.80%</w:t>
            </w:r>
          </w:p>
        </w:tc>
      </w:tr>
      <w:tr w14:paraId="7C21FA68">
        <w:tblPrEx>
          <w:tblCellMar>
            <w:top w:w="0" w:type="dxa"/>
            <w:left w:w="108" w:type="dxa"/>
            <w:bottom w:w="0" w:type="dxa"/>
            <w:right w:w="108" w:type="dxa"/>
          </w:tblCellMar>
        </w:tblPrEx>
        <w:trPr>
          <w:cantSplit/>
          <w:trHeight w:val="283" w:hRule="atLeast"/>
          <w:jc w:val="center"/>
        </w:trPr>
        <w:tc>
          <w:tcPr>
            <w:tcW w:w="452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0C177B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Joint test: elite bachelor’s × entry cohort</w:t>
            </w:r>
          </w:p>
        </w:tc>
        <w:tc>
          <w:tcPr>
            <w:tcW w:w="433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59DE2C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χ²(2)=8.18, p=0.017</w:t>
            </w:r>
          </w:p>
        </w:tc>
      </w:tr>
    </w:tbl>
    <w:p w14:paraId="0E4068E2">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D. Cohort-specific odds ratios for elite undergraduate education</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1"/>
        <w:gridCol w:w="2816"/>
      </w:tblGrid>
      <w:tr w14:paraId="0695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blHeader/>
          <w:jc w:val="center"/>
        </w:trPr>
        <w:tc>
          <w:tcPr>
            <w:tcW w:w="2261" w:type="dxa"/>
            <w:vAlign w:val="center"/>
          </w:tcPr>
          <w:p w14:paraId="71D7583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Career-entry cohort</w:t>
            </w:r>
          </w:p>
        </w:tc>
        <w:tc>
          <w:tcPr>
            <w:tcW w:w="2816" w:type="dxa"/>
            <w:vAlign w:val="center"/>
          </w:tcPr>
          <w:p w14:paraId="1574DCE0">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Senior corporate position</w:t>
            </w:r>
          </w:p>
        </w:tc>
      </w:tr>
      <w:tr w14:paraId="24BB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61" w:type="dxa"/>
            <w:vAlign w:val="center"/>
          </w:tcPr>
          <w:p w14:paraId="7BF75AB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1985—1994</w:t>
            </w:r>
          </w:p>
        </w:tc>
        <w:tc>
          <w:tcPr>
            <w:tcW w:w="2816" w:type="dxa"/>
            <w:vAlign w:val="center"/>
          </w:tcPr>
          <w:p w14:paraId="5C29CB1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1.106</w:t>
            </w:r>
          </w:p>
        </w:tc>
      </w:tr>
      <w:tr w14:paraId="2C18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61" w:type="dxa"/>
            <w:vAlign w:val="center"/>
          </w:tcPr>
          <w:p w14:paraId="4718614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1995—2004</w:t>
            </w:r>
          </w:p>
        </w:tc>
        <w:tc>
          <w:tcPr>
            <w:tcW w:w="2816" w:type="dxa"/>
            <w:vAlign w:val="center"/>
          </w:tcPr>
          <w:p w14:paraId="3C4CFB4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1.103</w:t>
            </w:r>
          </w:p>
        </w:tc>
      </w:tr>
      <w:tr w14:paraId="397D7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61" w:type="dxa"/>
            <w:vAlign w:val="center"/>
          </w:tcPr>
          <w:p w14:paraId="47E8C45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2005—2014</w:t>
            </w:r>
          </w:p>
        </w:tc>
        <w:tc>
          <w:tcPr>
            <w:tcW w:w="2816" w:type="dxa"/>
            <w:vAlign w:val="center"/>
          </w:tcPr>
          <w:p w14:paraId="31B8C9B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1.139</w:t>
            </w:r>
          </w:p>
        </w:tc>
      </w:tr>
    </w:tbl>
    <w:p w14:paraId="7FA1A83E">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 xml:space="preserve">Note. The unit of analysis is the individual, with one record per person. Career-entry cohorts are defined by the first observed employment year, which may not be the true first employment year. The outcome equals one if the individual attained a Revelio seniority level </w:t>
      </w:r>
      <w:r>
        <w:rPr>
          <w:rFonts w:hint="eastAsia" w:cs="Times New Roman"/>
          <w:b w:val="0"/>
          <w:i w:val="0"/>
          <w:sz w:val="20"/>
          <w:szCs w:val="28"/>
          <w:lang w:val="en-US" w:eastAsia="zh-CN"/>
        </w:rPr>
        <w:t>6</w:t>
      </w:r>
      <w:r>
        <w:rPr>
          <w:rFonts w:hint="default" w:ascii="Times New Roman" w:hAnsi="Times New Roman" w:cs="Times New Roman"/>
          <w:b w:val="0"/>
          <w:i w:val="0"/>
          <w:sz w:val="20"/>
          <w:szCs w:val="28"/>
        </w:rPr>
        <w:t>–7 corporate position within ten years of the first observed career record. To ensure a complete ten-year window, the sample is restricted to individuals first observed in 1985–2014. The model controls for elite master’s education, gender, cohort, industry, and country. Cohort-specific ORs combine the elite-bachelor’s main effect with the corresponding cohort interaction. *** p &lt; 0.001, ** p &lt; 0.01, * p &lt; 0.05</w:t>
      </w:r>
      <w:r>
        <w:rPr>
          <w:rFonts w:hint="default" w:ascii="Times New Roman" w:hAnsi="Times New Roman" w:cs="Times New Roman"/>
          <w:b w:val="0"/>
          <w:i w:val="0"/>
          <w:sz w:val="20"/>
          <w:szCs w:val="28"/>
          <w:lang w:val="en-US" w:eastAsia="zh-CN"/>
        </w:rPr>
        <w:t>.</w:t>
      </w:r>
    </w:p>
    <w:p w14:paraId="51AD18C8">
      <w:pPr>
        <w:widowControl/>
        <w:rPr>
          <w:rFonts w:hint="default" w:ascii="Times New Roman" w:hAnsi="Times New Roman" w:cs="Times New Roman"/>
        </w:rPr>
      </w:pPr>
    </w:p>
    <w:p w14:paraId="34F9CAD3">
      <w:pPr>
        <w:rPr>
          <w:rFonts w:hint="default" w:ascii="Times New Roman" w:hAnsi="Times New Roman" w:cs="Times New Roman"/>
          <w:b/>
        </w:rPr>
      </w:pPr>
      <w:r>
        <w:rPr>
          <w:rFonts w:hint="default" w:ascii="Times New Roman" w:hAnsi="Times New Roman" w:cs="Times New Roman"/>
          <w:b/>
        </w:rPr>
        <w:br w:type="page"/>
      </w:r>
    </w:p>
    <w:p w14:paraId="2C143336">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14. Temporal variation in the association between elite undergraduate education and core executive status in the Chinese listed-company sample</w:t>
      </w:r>
    </w:p>
    <w:p w14:paraId="42942CD6">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Executive-year logit model (outcome: core executive status at year-end)</w:t>
      </w:r>
    </w:p>
    <w:tbl>
      <w:tblPr>
        <w:tblStyle w:val="5"/>
        <w:tblW w:w="0" w:type="auto"/>
        <w:jc w:val="center"/>
        <w:tblLayout w:type="fixed"/>
        <w:tblCellMar>
          <w:top w:w="0" w:type="dxa"/>
          <w:left w:w="108" w:type="dxa"/>
          <w:bottom w:w="0" w:type="dxa"/>
          <w:right w:w="108" w:type="dxa"/>
        </w:tblCellMar>
      </w:tblPr>
      <w:tblGrid>
        <w:gridCol w:w="4139"/>
        <w:gridCol w:w="2970"/>
      </w:tblGrid>
      <w:tr w14:paraId="6A7E33BE">
        <w:tblPrEx>
          <w:tblCellMar>
            <w:top w:w="0" w:type="dxa"/>
            <w:left w:w="108" w:type="dxa"/>
            <w:bottom w:w="0" w:type="dxa"/>
            <w:right w:w="108" w:type="dxa"/>
          </w:tblCellMar>
        </w:tblPrEx>
        <w:trPr>
          <w:cantSplit/>
          <w:trHeight w:val="283" w:hRule="atLeast"/>
          <w:tblHeader/>
          <w:jc w:val="center"/>
        </w:trPr>
        <w:tc>
          <w:tcPr>
            <w:tcW w:w="4139" w:type="dxa"/>
            <w:tcBorders>
              <w:top w:val="single" w:color="auto" w:sz="4" w:space="0"/>
              <w:left w:val="single" w:color="auto" w:sz="4" w:space="0"/>
              <w:bottom w:val="nil"/>
              <w:right w:val="nil"/>
            </w:tcBorders>
            <w:tcMar>
              <w:top w:w="-1" w:type="dxa"/>
              <w:left w:w="-1" w:type="dxa"/>
              <w:bottom w:w="-1" w:type="dxa"/>
              <w:right w:w="-1" w:type="dxa"/>
            </w:tcMar>
            <w:vAlign w:val="center"/>
          </w:tcPr>
          <w:p w14:paraId="202B4513">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Variable</w:t>
            </w:r>
          </w:p>
        </w:tc>
        <w:tc>
          <w:tcPr>
            <w:tcW w:w="297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8DE4EAC">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OR[95% CI]</w:t>
            </w:r>
          </w:p>
        </w:tc>
      </w:tr>
      <w:tr w14:paraId="1EF6D6C1">
        <w:tblPrEx>
          <w:tblCellMar>
            <w:top w:w="0" w:type="dxa"/>
            <w:left w:w="108" w:type="dxa"/>
            <w:bottom w:w="0" w:type="dxa"/>
            <w:right w:w="108" w:type="dxa"/>
          </w:tblCellMar>
        </w:tblPrEx>
        <w:trPr>
          <w:cantSplit/>
          <w:trHeight w:val="283" w:hRule="atLeast"/>
          <w:jc w:val="center"/>
        </w:trPr>
        <w:tc>
          <w:tcPr>
            <w:tcW w:w="4139" w:type="dxa"/>
            <w:tcBorders>
              <w:top w:val="single" w:color="auto" w:sz="4" w:space="0"/>
              <w:left w:val="single" w:color="auto" w:sz="4" w:space="0"/>
              <w:bottom w:val="nil"/>
              <w:right w:val="nil"/>
            </w:tcBorders>
            <w:tcMar>
              <w:top w:w="-1" w:type="dxa"/>
              <w:left w:w="-1" w:type="dxa"/>
              <w:bottom w:w="-1" w:type="dxa"/>
              <w:right w:w="-1" w:type="dxa"/>
            </w:tcMar>
            <w:vAlign w:val="center"/>
          </w:tcPr>
          <w:p w14:paraId="688A6B6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bachelor’s degree</w:t>
            </w:r>
          </w:p>
        </w:tc>
        <w:tc>
          <w:tcPr>
            <w:tcW w:w="297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C8585E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1.130* [1.024, 1.246]</w:t>
            </w:r>
          </w:p>
        </w:tc>
      </w:tr>
      <w:tr w14:paraId="218C41E9">
        <w:tblPrEx>
          <w:tblCellMar>
            <w:top w:w="0" w:type="dxa"/>
            <w:left w:w="108" w:type="dxa"/>
            <w:bottom w:w="0" w:type="dxa"/>
            <w:right w:w="108" w:type="dxa"/>
          </w:tblCellMar>
        </w:tblPrEx>
        <w:trPr>
          <w:cantSplit/>
          <w:trHeight w:val="283" w:hRule="atLeast"/>
          <w:jc w:val="center"/>
        </w:trPr>
        <w:tc>
          <w:tcPr>
            <w:tcW w:w="4139" w:type="dxa"/>
            <w:tcBorders>
              <w:top w:val="single" w:color="auto" w:sz="4" w:space="0"/>
              <w:left w:val="single" w:color="auto" w:sz="4" w:space="0"/>
              <w:bottom w:val="nil"/>
              <w:right w:val="nil"/>
            </w:tcBorders>
            <w:tcMar>
              <w:top w:w="-1" w:type="dxa"/>
              <w:left w:w="-1" w:type="dxa"/>
              <w:bottom w:w="-1" w:type="dxa"/>
              <w:right w:w="-1" w:type="dxa"/>
            </w:tcMar>
            <w:vAlign w:val="center"/>
          </w:tcPr>
          <w:p w14:paraId="3F93942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bachelor’s degree × 2012—2015</w:t>
            </w:r>
          </w:p>
        </w:tc>
        <w:tc>
          <w:tcPr>
            <w:tcW w:w="297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F68116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1.013 [0.923, 1.112]</w:t>
            </w:r>
          </w:p>
        </w:tc>
      </w:tr>
      <w:tr w14:paraId="740B9D4A">
        <w:tblPrEx>
          <w:tblCellMar>
            <w:top w:w="0" w:type="dxa"/>
            <w:left w:w="108" w:type="dxa"/>
            <w:bottom w:w="0" w:type="dxa"/>
            <w:right w:w="108" w:type="dxa"/>
          </w:tblCellMar>
        </w:tblPrEx>
        <w:trPr>
          <w:cantSplit/>
          <w:trHeight w:val="283" w:hRule="atLeast"/>
          <w:jc w:val="center"/>
        </w:trPr>
        <w:tc>
          <w:tcPr>
            <w:tcW w:w="4139" w:type="dxa"/>
            <w:tcBorders>
              <w:top w:val="single" w:color="auto" w:sz="4" w:space="0"/>
              <w:left w:val="single" w:color="auto" w:sz="4" w:space="0"/>
              <w:bottom w:val="nil"/>
              <w:right w:val="nil"/>
            </w:tcBorders>
            <w:tcMar>
              <w:top w:w="-1" w:type="dxa"/>
              <w:left w:w="-1" w:type="dxa"/>
              <w:bottom w:w="-1" w:type="dxa"/>
              <w:right w:w="-1" w:type="dxa"/>
            </w:tcMar>
            <w:vAlign w:val="center"/>
          </w:tcPr>
          <w:p w14:paraId="41E3D8E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bachelor’s degree × 2016—2019</w:t>
            </w:r>
          </w:p>
        </w:tc>
        <w:tc>
          <w:tcPr>
            <w:tcW w:w="297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C9C5CA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0.961 [0.860, 1.073]</w:t>
            </w:r>
          </w:p>
        </w:tc>
      </w:tr>
      <w:tr w14:paraId="2DD5F2D6">
        <w:tblPrEx>
          <w:tblCellMar>
            <w:top w:w="0" w:type="dxa"/>
            <w:left w:w="108" w:type="dxa"/>
            <w:bottom w:w="0" w:type="dxa"/>
            <w:right w:w="108" w:type="dxa"/>
          </w:tblCellMar>
        </w:tblPrEx>
        <w:trPr>
          <w:cantSplit/>
          <w:trHeight w:val="283" w:hRule="atLeast"/>
          <w:jc w:val="center"/>
        </w:trPr>
        <w:tc>
          <w:tcPr>
            <w:tcW w:w="4139" w:type="dxa"/>
            <w:tcBorders>
              <w:top w:val="single" w:color="auto" w:sz="4" w:space="0"/>
              <w:left w:val="single" w:color="auto" w:sz="4" w:space="0"/>
              <w:bottom w:val="nil"/>
              <w:right w:val="nil"/>
            </w:tcBorders>
            <w:tcMar>
              <w:top w:w="-1" w:type="dxa"/>
              <w:left w:w="-1" w:type="dxa"/>
              <w:bottom w:w="-1" w:type="dxa"/>
              <w:right w:w="-1" w:type="dxa"/>
            </w:tcMar>
            <w:vAlign w:val="center"/>
          </w:tcPr>
          <w:p w14:paraId="1F67D2D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bachelor’s degree × 2020—2023</w:t>
            </w:r>
          </w:p>
        </w:tc>
        <w:tc>
          <w:tcPr>
            <w:tcW w:w="297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222C29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0.969 [0.869, 1.082]</w:t>
            </w:r>
          </w:p>
        </w:tc>
      </w:tr>
      <w:tr w14:paraId="10E07747">
        <w:tblPrEx>
          <w:tblCellMar>
            <w:top w:w="0" w:type="dxa"/>
            <w:left w:w="108" w:type="dxa"/>
            <w:bottom w:w="0" w:type="dxa"/>
            <w:right w:w="108" w:type="dxa"/>
          </w:tblCellMar>
        </w:tblPrEx>
        <w:trPr>
          <w:cantSplit/>
          <w:trHeight w:val="283" w:hRule="atLeast"/>
          <w:jc w:val="center"/>
        </w:trPr>
        <w:tc>
          <w:tcPr>
            <w:tcW w:w="4139" w:type="dxa"/>
            <w:tcBorders>
              <w:top w:val="single" w:color="auto" w:sz="4" w:space="0"/>
              <w:left w:val="single" w:color="auto" w:sz="4" w:space="0"/>
              <w:bottom w:val="nil"/>
              <w:right w:val="nil"/>
            </w:tcBorders>
            <w:tcMar>
              <w:top w:w="-1" w:type="dxa"/>
              <w:left w:w="-1" w:type="dxa"/>
              <w:bottom w:w="-1" w:type="dxa"/>
              <w:right w:w="-1" w:type="dxa"/>
            </w:tcMar>
            <w:vAlign w:val="center"/>
          </w:tcPr>
          <w:p w14:paraId="69B66A6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Female</w:t>
            </w:r>
          </w:p>
        </w:tc>
        <w:tc>
          <w:tcPr>
            <w:tcW w:w="297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A54534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0.455*** [0.426, 0.486]</w:t>
            </w:r>
          </w:p>
        </w:tc>
      </w:tr>
      <w:tr w14:paraId="28F5052E">
        <w:tblPrEx>
          <w:tblCellMar>
            <w:top w:w="0" w:type="dxa"/>
            <w:left w:w="108" w:type="dxa"/>
            <w:bottom w:w="0" w:type="dxa"/>
            <w:right w:w="108" w:type="dxa"/>
          </w:tblCellMar>
        </w:tblPrEx>
        <w:trPr>
          <w:cantSplit/>
          <w:trHeight w:val="283" w:hRule="atLeast"/>
          <w:jc w:val="center"/>
        </w:trPr>
        <w:tc>
          <w:tcPr>
            <w:tcW w:w="4139" w:type="dxa"/>
            <w:tcBorders>
              <w:top w:val="single" w:color="auto" w:sz="4" w:space="0"/>
              <w:left w:val="single" w:color="auto" w:sz="4" w:space="0"/>
              <w:bottom w:val="nil"/>
              <w:right w:val="nil"/>
            </w:tcBorders>
            <w:tcMar>
              <w:top w:w="-1" w:type="dxa"/>
              <w:left w:w="-1" w:type="dxa"/>
              <w:bottom w:w="-1" w:type="dxa"/>
              <w:right w:w="-1" w:type="dxa"/>
            </w:tcMar>
            <w:vAlign w:val="center"/>
          </w:tcPr>
          <w:p w14:paraId="3039A0E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Age, centered at 50</w:t>
            </w:r>
          </w:p>
        </w:tc>
        <w:tc>
          <w:tcPr>
            <w:tcW w:w="297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C0A040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0.980*** [0.977, 0.982]</w:t>
            </w:r>
          </w:p>
        </w:tc>
      </w:tr>
      <w:tr w14:paraId="71808DD8">
        <w:tblPrEx>
          <w:tblCellMar>
            <w:top w:w="0" w:type="dxa"/>
            <w:left w:w="108" w:type="dxa"/>
            <w:bottom w:w="0" w:type="dxa"/>
            <w:right w:w="108" w:type="dxa"/>
          </w:tblCellMar>
        </w:tblPrEx>
        <w:trPr>
          <w:cantSplit/>
          <w:trHeight w:val="283" w:hRule="atLeast"/>
          <w:jc w:val="center"/>
        </w:trPr>
        <w:tc>
          <w:tcPr>
            <w:tcW w:w="4139" w:type="dxa"/>
            <w:tcBorders>
              <w:top w:val="single" w:color="auto" w:sz="4" w:space="0"/>
              <w:left w:val="single" w:color="auto" w:sz="4" w:space="0"/>
              <w:bottom w:val="nil"/>
              <w:right w:val="nil"/>
            </w:tcBorders>
            <w:tcMar>
              <w:top w:w="-1" w:type="dxa"/>
              <w:left w:w="-1" w:type="dxa"/>
              <w:bottom w:w="-1" w:type="dxa"/>
              <w:right w:w="-1" w:type="dxa"/>
            </w:tcMar>
            <w:vAlign w:val="center"/>
          </w:tcPr>
          <w:p w14:paraId="6177272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Observed tenure in the focal firm</w:t>
            </w:r>
          </w:p>
        </w:tc>
        <w:tc>
          <w:tcPr>
            <w:tcW w:w="297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A409C6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1.158*** [1.148, 1.167]</w:t>
            </w:r>
          </w:p>
        </w:tc>
      </w:tr>
      <w:tr w14:paraId="021968F6">
        <w:tblPrEx>
          <w:tblCellMar>
            <w:top w:w="0" w:type="dxa"/>
            <w:left w:w="108" w:type="dxa"/>
            <w:bottom w:w="0" w:type="dxa"/>
            <w:right w:w="108" w:type="dxa"/>
          </w:tblCellMar>
        </w:tblPrEx>
        <w:trPr>
          <w:cantSplit/>
          <w:trHeight w:val="283" w:hRule="atLeast"/>
          <w:jc w:val="center"/>
        </w:trPr>
        <w:tc>
          <w:tcPr>
            <w:tcW w:w="4139" w:type="dxa"/>
            <w:tcBorders>
              <w:top w:val="single" w:color="auto" w:sz="4" w:space="0"/>
              <w:left w:val="single" w:color="auto" w:sz="4" w:space="0"/>
              <w:bottom w:val="nil"/>
              <w:right w:val="nil"/>
            </w:tcBorders>
            <w:tcMar>
              <w:top w:w="-1" w:type="dxa"/>
              <w:left w:w="-1" w:type="dxa"/>
              <w:bottom w:w="-1" w:type="dxa"/>
              <w:right w:w="-1" w:type="dxa"/>
            </w:tcMar>
            <w:vAlign w:val="center"/>
          </w:tcPr>
          <w:p w14:paraId="06B7987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Firm size: ln(registered capital)</w:t>
            </w:r>
          </w:p>
        </w:tc>
        <w:tc>
          <w:tcPr>
            <w:tcW w:w="297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3AD15A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1.002 [0.981, 1.024]</w:t>
            </w:r>
          </w:p>
        </w:tc>
      </w:tr>
      <w:tr w14:paraId="1FFFDC36">
        <w:tblPrEx>
          <w:tblCellMar>
            <w:top w:w="0" w:type="dxa"/>
            <w:left w:w="108" w:type="dxa"/>
            <w:bottom w:w="0" w:type="dxa"/>
            <w:right w:w="108" w:type="dxa"/>
          </w:tblCellMar>
        </w:tblPrEx>
        <w:trPr>
          <w:cantSplit/>
          <w:trHeight w:val="283" w:hRule="atLeast"/>
          <w:jc w:val="center"/>
        </w:trPr>
        <w:tc>
          <w:tcPr>
            <w:tcW w:w="4139" w:type="dxa"/>
            <w:tcBorders>
              <w:top w:val="single" w:color="auto" w:sz="4" w:space="0"/>
              <w:left w:val="single" w:color="auto" w:sz="4" w:space="0"/>
              <w:bottom w:val="nil"/>
              <w:right w:val="nil"/>
            </w:tcBorders>
            <w:tcMar>
              <w:top w:w="-1" w:type="dxa"/>
              <w:left w:w="-1" w:type="dxa"/>
              <w:bottom w:w="-1" w:type="dxa"/>
              <w:right w:w="-1" w:type="dxa"/>
            </w:tcMar>
            <w:vAlign w:val="center"/>
          </w:tcPr>
          <w:p w14:paraId="76B611F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Reporting-period fixed effects</w:t>
            </w:r>
          </w:p>
        </w:tc>
        <w:tc>
          <w:tcPr>
            <w:tcW w:w="297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F970A8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Yes</w:t>
            </w:r>
          </w:p>
        </w:tc>
      </w:tr>
      <w:tr w14:paraId="51C80092">
        <w:tblPrEx>
          <w:tblCellMar>
            <w:top w:w="0" w:type="dxa"/>
            <w:left w:w="108" w:type="dxa"/>
            <w:bottom w:w="0" w:type="dxa"/>
            <w:right w:w="108" w:type="dxa"/>
          </w:tblCellMar>
        </w:tblPrEx>
        <w:trPr>
          <w:cantSplit/>
          <w:trHeight w:val="283" w:hRule="atLeast"/>
          <w:jc w:val="center"/>
        </w:trPr>
        <w:tc>
          <w:tcPr>
            <w:tcW w:w="4139" w:type="dxa"/>
            <w:tcBorders>
              <w:top w:val="single" w:color="auto" w:sz="4" w:space="0"/>
              <w:left w:val="single" w:color="auto" w:sz="4" w:space="0"/>
              <w:bottom w:val="nil"/>
              <w:right w:val="nil"/>
            </w:tcBorders>
            <w:tcMar>
              <w:top w:w="-1" w:type="dxa"/>
              <w:left w:w="-1" w:type="dxa"/>
              <w:bottom w:w="-1" w:type="dxa"/>
              <w:right w:w="-1" w:type="dxa"/>
            </w:tcMar>
            <w:vAlign w:val="center"/>
          </w:tcPr>
          <w:p w14:paraId="55CA853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Industry fixed effects</w:t>
            </w:r>
          </w:p>
        </w:tc>
        <w:tc>
          <w:tcPr>
            <w:tcW w:w="297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E78DE2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Yes</w:t>
            </w:r>
          </w:p>
        </w:tc>
      </w:tr>
      <w:tr w14:paraId="0FDC3E53">
        <w:tblPrEx>
          <w:tblCellMar>
            <w:top w:w="0" w:type="dxa"/>
            <w:left w:w="108" w:type="dxa"/>
            <w:bottom w:w="0" w:type="dxa"/>
            <w:right w:w="108" w:type="dxa"/>
          </w:tblCellMar>
        </w:tblPrEx>
        <w:trPr>
          <w:cantSplit/>
          <w:trHeight w:val="283" w:hRule="atLeast"/>
          <w:jc w:val="center"/>
        </w:trPr>
        <w:tc>
          <w:tcPr>
            <w:tcW w:w="4139" w:type="dxa"/>
            <w:tcBorders>
              <w:top w:val="single" w:color="auto" w:sz="4" w:space="0"/>
              <w:left w:val="single" w:color="auto" w:sz="4" w:space="0"/>
              <w:bottom w:val="nil"/>
              <w:right w:val="nil"/>
            </w:tcBorders>
            <w:tcMar>
              <w:top w:w="-1" w:type="dxa"/>
              <w:left w:w="-1" w:type="dxa"/>
              <w:bottom w:w="-1" w:type="dxa"/>
              <w:right w:w="-1" w:type="dxa"/>
            </w:tcMar>
            <w:vAlign w:val="center"/>
          </w:tcPr>
          <w:p w14:paraId="50A4DE9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Province fixed effects</w:t>
            </w:r>
          </w:p>
        </w:tc>
        <w:tc>
          <w:tcPr>
            <w:tcW w:w="297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191A82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Yes</w:t>
            </w:r>
          </w:p>
        </w:tc>
      </w:tr>
      <w:tr w14:paraId="37F4AD25">
        <w:tblPrEx>
          <w:tblCellMar>
            <w:top w:w="0" w:type="dxa"/>
            <w:left w:w="108" w:type="dxa"/>
            <w:bottom w:w="0" w:type="dxa"/>
            <w:right w:w="108" w:type="dxa"/>
          </w:tblCellMar>
        </w:tblPrEx>
        <w:trPr>
          <w:cantSplit/>
          <w:trHeight w:val="283" w:hRule="atLeast"/>
          <w:jc w:val="center"/>
        </w:trPr>
        <w:tc>
          <w:tcPr>
            <w:tcW w:w="4139" w:type="dxa"/>
            <w:tcBorders>
              <w:top w:val="single" w:color="auto" w:sz="4" w:space="0"/>
              <w:left w:val="single" w:color="auto" w:sz="4" w:space="0"/>
              <w:bottom w:val="nil"/>
              <w:right w:val="nil"/>
            </w:tcBorders>
            <w:tcMar>
              <w:top w:w="-1" w:type="dxa"/>
              <w:left w:w="-1" w:type="dxa"/>
              <w:bottom w:w="-1" w:type="dxa"/>
              <w:right w:w="-1" w:type="dxa"/>
            </w:tcMar>
            <w:vAlign w:val="center"/>
          </w:tcPr>
          <w:p w14:paraId="1D00F3A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Executive–company–year records</w:t>
            </w:r>
          </w:p>
        </w:tc>
        <w:tc>
          <w:tcPr>
            <w:tcW w:w="297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8F5122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172,257</w:t>
            </w:r>
          </w:p>
        </w:tc>
      </w:tr>
      <w:tr w14:paraId="0D067AD6">
        <w:tblPrEx>
          <w:tblCellMar>
            <w:top w:w="0" w:type="dxa"/>
            <w:left w:w="108" w:type="dxa"/>
            <w:bottom w:w="0" w:type="dxa"/>
            <w:right w:w="108" w:type="dxa"/>
          </w:tblCellMar>
        </w:tblPrEx>
        <w:trPr>
          <w:cantSplit/>
          <w:trHeight w:val="283" w:hRule="atLeast"/>
          <w:jc w:val="center"/>
        </w:trPr>
        <w:tc>
          <w:tcPr>
            <w:tcW w:w="4139" w:type="dxa"/>
            <w:tcBorders>
              <w:top w:val="single" w:color="auto" w:sz="4" w:space="0"/>
              <w:left w:val="single" w:color="auto" w:sz="4" w:space="0"/>
              <w:bottom w:val="nil"/>
              <w:right w:val="nil"/>
            </w:tcBorders>
            <w:tcMar>
              <w:top w:w="-1" w:type="dxa"/>
              <w:left w:w="-1" w:type="dxa"/>
              <w:bottom w:w="-1" w:type="dxa"/>
              <w:right w:w="-1" w:type="dxa"/>
            </w:tcMar>
            <w:vAlign w:val="center"/>
          </w:tcPr>
          <w:p w14:paraId="7FDA876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Individuals</w:t>
            </w:r>
          </w:p>
        </w:tc>
        <w:tc>
          <w:tcPr>
            <w:tcW w:w="297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AF4683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48,796</w:t>
            </w:r>
          </w:p>
        </w:tc>
      </w:tr>
      <w:tr w14:paraId="2282FEA0">
        <w:tblPrEx>
          <w:tblCellMar>
            <w:top w:w="0" w:type="dxa"/>
            <w:left w:w="108" w:type="dxa"/>
            <w:bottom w:w="0" w:type="dxa"/>
            <w:right w:w="108" w:type="dxa"/>
          </w:tblCellMar>
        </w:tblPrEx>
        <w:trPr>
          <w:cantSplit/>
          <w:trHeight w:val="283" w:hRule="atLeast"/>
          <w:jc w:val="center"/>
        </w:trPr>
        <w:tc>
          <w:tcPr>
            <w:tcW w:w="413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608E46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Joint test: elite bachelor’s × reporting period</w:t>
            </w:r>
          </w:p>
        </w:tc>
        <w:tc>
          <w:tcPr>
            <w:tcW w:w="2970"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4BEA2E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χ²(3)=1.68, p=0.643</w:t>
            </w:r>
          </w:p>
        </w:tc>
      </w:tr>
    </w:tbl>
    <w:p w14:paraId="670A1C4C">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Period-specific effects of elite undergraduate education</w:t>
      </w:r>
    </w:p>
    <w:tbl>
      <w:tblPr>
        <w:tblStyle w:val="5"/>
        <w:tblW w:w="0" w:type="auto"/>
        <w:jc w:val="center"/>
        <w:tblLayout w:type="fixed"/>
        <w:tblCellMar>
          <w:top w:w="0" w:type="dxa"/>
          <w:left w:w="108" w:type="dxa"/>
          <w:bottom w:w="0" w:type="dxa"/>
          <w:right w:w="108" w:type="dxa"/>
        </w:tblCellMar>
      </w:tblPr>
      <w:tblGrid>
        <w:gridCol w:w="1355"/>
        <w:gridCol w:w="1053"/>
        <w:gridCol w:w="2151"/>
        <w:gridCol w:w="1735"/>
        <w:gridCol w:w="877"/>
        <w:gridCol w:w="1311"/>
        <w:gridCol w:w="932"/>
      </w:tblGrid>
      <w:tr w14:paraId="4F3B98A8">
        <w:tblPrEx>
          <w:tblCellMar>
            <w:top w:w="0" w:type="dxa"/>
            <w:left w:w="108" w:type="dxa"/>
            <w:bottom w:w="0" w:type="dxa"/>
            <w:right w:w="108" w:type="dxa"/>
          </w:tblCellMar>
        </w:tblPrEx>
        <w:trPr>
          <w:cantSplit/>
          <w:trHeight w:val="283" w:hRule="atLeast"/>
          <w:tblHeader/>
          <w:jc w:val="center"/>
        </w:trPr>
        <w:tc>
          <w:tcPr>
            <w:tcW w:w="1355" w:type="dxa"/>
            <w:tcBorders>
              <w:top w:val="single" w:color="auto" w:sz="4" w:space="0"/>
              <w:left w:val="single" w:color="auto" w:sz="4" w:space="0"/>
              <w:bottom w:val="single" w:color="auto" w:sz="4" w:space="0"/>
              <w:right w:val="single" w:color="auto" w:sz="4" w:space="0"/>
            </w:tcBorders>
            <w:vAlign w:val="center"/>
          </w:tcPr>
          <w:p w14:paraId="1AF37F14">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Reporting period</w:t>
            </w:r>
          </w:p>
        </w:tc>
        <w:tc>
          <w:tcPr>
            <w:tcW w:w="1053" w:type="dxa"/>
            <w:tcBorders>
              <w:top w:val="single" w:color="auto" w:sz="4" w:space="0"/>
              <w:left w:val="single" w:color="auto" w:sz="4" w:space="0"/>
              <w:bottom w:val="single" w:color="auto" w:sz="4" w:space="0"/>
              <w:right w:val="single" w:color="auto" w:sz="4" w:space="0"/>
            </w:tcBorders>
            <w:vAlign w:val="center"/>
          </w:tcPr>
          <w:p w14:paraId="69BCB3D8">
            <w:pPr>
              <w:widowControl/>
              <w:snapToGrid w:val="0"/>
              <w:spacing w:before="0" w:after="0" w:line="240" w:lineRule="auto"/>
              <w:jc w:val="center"/>
              <w:textAlignment w:val="center"/>
              <w:rPr>
                <w:rFonts w:hint="default" w:ascii="Times New Roman" w:hAnsi="Times New Roman" w:cs="Times New Roman"/>
                <w:b/>
                <w:bCs/>
              </w:rPr>
            </w:pPr>
            <w:r>
              <w:rPr>
                <w:rFonts w:hint="default" w:ascii="Times New Roman" w:hAnsi="Times New Roman" w:cs="Times New Roman"/>
                <w:b/>
                <w:bCs/>
              </w:rPr>
              <w:t>Period-</w:t>
            </w:r>
          </w:p>
          <w:p w14:paraId="07660C50">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specific OR</w:t>
            </w:r>
          </w:p>
        </w:tc>
        <w:tc>
          <w:tcPr>
            <w:tcW w:w="2151" w:type="dxa"/>
            <w:tcBorders>
              <w:top w:val="single" w:color="auto" w:sz="4" w:space="0"/>
              <w:left w:val="single" w:color="auto" w:sz="4" w:space="0"/>
              <w:bottom w:val="single" w:color="auto" w:sz="4" w:space="0"/>
              <w:right w:val="single" w:color="auto" w:sz="4" w:space="0"/>
            </w:tcBorders>
            <w:vAlign w:val="center"/>
          </w:tcPr>
          <w:p w14:paraId="6C22A18C">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Predicted probability, non-elite bachelor’s (%)</w:t>
            </w:r>
          </w:p>
        </w:tc>
        <w:tc>
          <w:tcPr>
            <w:tcW w:w="1735" w:type="dxa"/>
            <w:tcBorders>
              <w:top w:val="single" w:color="auto" w:sz="4" w:space="0"/>
              <w:left w:val="single" w:color="auto" w:sz="4" w:space="0"/>
              <w:bottom w:val="single" w:color="auto" w:sz="4" w:space="0"/>
              <w:right w:val="single" w:color="auto" w:sz="4" w:space="0"/>
            </w:tcBorders>
            <w:vAlign w:val="center"/>
          </w:tcPr>
          <w:p w14:paraId="4A0E47D4">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Predicted probability, elite bachelor’s (%)</w:t>
            </w:r>
          </w:p>
        </w:tc>
        <w:tc>
          <w:tcPr>
            <w:tcW w:w="877" w:type="dxa"/>
            <w:tcBorders>
              <w:top w:val="single" w:color="auto" w:sz="4" w:space="0"/>
              <w:left w:val="single" w:color="auto" w:sz="4" w:space="0"/>
              <w:bottom w:val="single" w:color="auto" w:sz="4" w:space="0"/>
              <w:right w:val="single" w:color="auto" w:sz="4" w:space="0"/>
            </w:tcBorders>
            <w:vAlign w:val="center"/>
          </w:tcPr>
          <w:p w14:paraId="2AE96CA6">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AME</w:t>
            </w:r>
          </w:p>
          <w:p w14:paraId="0B68049C">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w:t>
            </w:r>
          </w:p>
        </w:tc>
        <w:tc>
          <w:tcPr>
            <w:tcW w:w="1311" w:type="dxa"/>
            <w:tcBorders>
              <w:top w:val="single" w:color="auto" w:sz="4" w:space="0"/>
              <w:left w:val="single" w:color="auto" w:sz="4" w:space="0"/>
              <w:bottom w:val="single" w:color="auto" w:sz="4" w:space="0"/>
              <w:right w:val="single" w:color="auto" w:sz="4" w:space="0"/>
            </w:tcBorders>
            <w:vAlign w:val="center"/>
          </w:tcPr>
          <w:p w14:paraId="1FF9E99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w:t>
            </w:r>
          </w:p>
        </w:tc>
        <w:tc>
          <w:tcPr>
            <w:tcW w:w="932" w:type="dxa"/>
            <w:tcBorders>
              <w:top w:val="single" w:color="auto" w:sz="4" w:space="0"/>
              <w:left w:val="single" w:color="auto" w:sz="4" w:space="0"/>
              <w:bottom w:val="single" w:color="auto" w:sz="4" w:space="0"/>
              <w:right w:val="single" w:color="auto" w:sz="4" w:space="0"/>
            </w:tcBorders>
            <w:vAlign w:val="center"/>
          </w:tcPr>
          <w:p w14:paraId="11C7CCE7">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r>
      <w:tr w14:paraId="5AE500C1">
        <w:tblPrEx>
          <w:tblCellMar>
            <w:top w:w="0" w:type="dxa"/>
            <w:left w:w="108" w:type="dxa"/>
            <w:bottom w:w="0" w:type="dxa"/>
            <w:right w:w="108" w:type="dxa"/>
          </w:tblCellMar>
        </w:tblPrEx>
        <w:trPr>
          <w:cantSplit/>
          <w:trHeight w:val="283" w:hRule="atLeast"/>
          <w:jc w:val="center"/>
        </w:trPr>
        <w:tc>
          <w:tcPr>
            <w:tcW w:w="1355" w:type="dxa"/>
            <w:tcBorders>
              <w:top w:val="single" w:color="auto" w:sz="4" w:space="0"/>
              <w:left w:val="single" w:color="auto" w:sz="4" w:space="0"/>
              <w:bottom w:val="single" w:color="auto" w:sz="4" w:space="0"/>
              <w:right w:val="single" w:color="auto" w:sz="4" w:space="0"/>
            </w:tcBorders>
            <w:vAlign w:val="center"/>
          </w:tcPr>
          <w:p w14:paraId="770DA4D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2008—2011</w:t>
            </w:r>
          </w:p>
        </w:tc>
        <w:tc>
          <w:tcPr>
            <w:tcW w:w="1053" w:type="dxa"/>
            <w:tcBorders>
              <w:top w:val="single" w:color="auto" w:sz="4" w:space="0"/>
              <w:left w:val="single" w:color="auto" w:sz="4" w:space="0"/>
              <w:bottom w:val="single" w:color="auto" w:sz="4" w:space="0"/>
              <w:right w:val="single" w:color="auto" w:sz="4" w:space="0"/>
            </w:tcBorders>
            <w:vAlign w:val="center"/>
          </w:tcPr>
          <w:p w14:paraId="167C22E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1.130</w:t>
            </w:r>
          </w:p>
        </w:tc>
        <w:tc>
          <w:tcPr>
            <w:tcW w:w="2151" w:type="dxa"/>
            <w:tcBorders>
              <w:top w:val="single" w:color="auto" w:sz="4" w:space="0"/>
              <w:left w:val="single" w:color="auto" w:sz="4" w:space="0"/>
              <w:bottom w:val="single" w:color="auto" w:sz="4" w:space="0"/>
              <w:right w:val="single" w:color="auto" w:sz="4" w:space="0"/>
            </w:tcBorders>
            <w:vAlign w:val="center"/>
          </w:tcPr>
          <w:p w14:paraId="66726C2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32.39</w:t>
            </w:r>
          </w:p>
        </w:tc>
        <w:tc>
          <w:tcPr>
            <w:tcW w:w="1735" w:type="dxa"/>
            <w:tcBorders>
              <w:top w:val="single" w:color="auto" w:sz="4" w:space="0"/>
              <w:left w:val="single" w:color="auto" w:sz="4" w:space="0"/>
              <w:bottom w:val="single" w:color="auto" w:sz="4" w:space="0"/>
              <w:right w:val="single" w:color="auto" w:sz="4" w:space="0"/>
            </w:tcBorders>
            <w:vAlign w:val="center"/>
          </w:tcPr>
          <w:p w14:paraId="4714682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35.01</w:t>
            </w:r>
          </w:p>
        </w:tc>
        <w:tc>
          <w:tcPr>
            <w:tcW w:w="877" w:type="dxa"/>
            <w:tcBorders>
              <w:top w:val="single" w:color="auto" w:sz="4" w:space="0"/>
              <w:left w:val="single" w:color="auto" w:sz="4" w:space="0"/>
              <w:bottom w:val="single" w:color="auto" w:sz="4" w:space="0"/>
              <w:right w:val="single" w:color="auto" w:sz="4" w:space="0"/>
            </w:tcBorders>
            <w:vAlign w:val="center"/>
          </w:tcPr>
          <w:p w14:paraId="2199E44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2.62</w:t>
            </w:r>
          </w:p>
        </w:tc>
        <w:tc>
          <w:tcPr>
            <w:tcW w:w="1311" w:type="dxa"/>
            <w:tcBorders>
              <w:top w:val="single" w:color="auto" w:sz="4" w:space="0"/>
              <w:left w:val="single" w:color="auto" w:sz="4" w:space="0"/>
              <w:bottom w:val="single" w:color="auto" w:sz="4" w:space="0"/>
              <w:right w:val="single" w:color="auto" w:sz="4" w:space="0"/>
            </w:tcBorders>
            <w:vAlign w:val="center"/>
          </w:tcPr>
          <w:p w14:paraId="3A6B7DE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[0.51, 4.74]</w:t>
            </w:r>
          </w:p>
        </w:tc>
        <w:tc>
          <w:tcPr>
            <w:tcW w:w="932" w:type="dxa"/>
            <w:tcBorders>
              <w:top w:val="single" w:color="auto" w:sz="4" w:space="0"/>
              <w:left w:val="single" w:color="auto" w:sz="4" w:space="0"/>
              <w:bottom w:val="single" w:color="auto" w:sz="4" w:space="0"/>
              <w:right w:val="single" w:color="auto" w:sz="4" w:space="0"/>
            </w:tcBorders>
            <w:vAlign w:val="center"/>
          </w:tcPr>
          <w:p w14:paraId="47B1B3C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0.015</w:t>
            </w:r>
          </w:p>
        </w:tc>
      </w:tr>
      <w:tr w14:paraId="18B1B0E1">
        <w:tblPrEx>
          <w:tblCellMar>
            <w:top w:w="0" w:type="dxa"/>
            <w:left w:w="108" w:type="dxa"/>
            <w:bottom w:w="0" w:type="dxa"/>
            <w:right w:w="108" w:type="dxa"/>
          </w:tblCellMar>
        </w:tblPrEx>
        <w:trPr>
          <w:cantSplit/>
          <w:trHeight w:val="283" w:hRule="atLeast"/>
          <w:jc w:val="center"/>
        </w:trPr>
        <w:tc>
          <w:tcPr>
            <w:tcW w:w="1355" w:type="dxa"/>
            <w:tcBorders>
              <w:top w:val="single" w:color="auto" w:sz="4" w:space="0"/>
              <w:left w:val="single" w:color="auto" w:sz="4" w:space="0"/>
              <w:bottom w:val="single" w:color="auto" w:sz="4" w:space="0"/>
              <w:right w:val="single" w:color="auto" w:sz="4" w:space="0"/>
            </w:tcBorders>
            <w:vAlign w:val="center"/>
          </w:tcPr>
          <w:p w14:paraId="6BFE0E6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2012—2015</w:t>
            </w:r>
          </w:p>
        </w:tc>
        <w:tc>
          <w:tcPr>
            <w:tcW w:w="1053" w:type="dxa"/>
            <w:tcBorders>
              <w:top w:val="single" w:color="auto" w:sz="4" w:space="0"/>
              <w:left w:val="single" w:color="auto" w:sz="4" w:space="0"/>
              <w:bottom w:val="single" w:color="auto" w:sz="4" w:space="0"/>
              <w:right w:val="single" w:color="auto" w:sz="4" w:space="0"/>
            </w:tcBorders>
            <w:vAlign w:val="center"/>
          </w:tcPr>
          <w:p w14:paraId="333CB7FA">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1.145</w:t>
            </w:r>
          </w:p>
        </w:tc>
        <w:tc>
          <w:tcPr>
            <w:tcW w:w="2151" w:type="dxa"/>
            <w:tcBorders>
              <w:top w:val="single" w:color="auto" w:sz="4" w:space="0"/>
              <w:left w:val="single" w:color="auto" w:sz="4" w:space="0"/>
              <w:bottom w:val="single" w:color="auto" w:sz="4" w:space="0"/>
              <w:right w:val="single" w:color="auto" w:sz="4" w:space="0"/>
            </w:tcBorders>
            <w:vAlign w:val="center"/>
          </w:tcPr>
          <w:p w14:paraId="3BCAF2B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35.72</w:t>
            </w:r>
          </w:p>
        </w:tc>
        <w:tc>
          <w:tcPr>
            <w:tcW w:w="1735" w:type="dxa"/>
            <w:tcBorders>
              <w:top w:val="single" w:color="auto" w:sz="4" w:space="0"/>
              <w:left w:val="single" w:color="auto" w:sz="4" w:space="0"/>
              <w:bottom w:val="single" w:color="auto" w:sz="4" w:space="0"/>
              <w:right w:val="single" w:color="auto" w:sz="4" w:space="0"/>
            </w:tcBorders>
            <w:vAlign w:val="center"/>
          </w:tcPr>
          <w:p w14:paraId="1392CA7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38.7</w:t>
            </w:r>
          </w:p>
        </w:tc>
        <w:tc>
          <w:tcPr>
            <w:tcW w:w="877" w:type="dxa"/>
            <w:tcBorders>
              <w:top w:val="single" w:color="auto" w:sz="4" w:space="0"/>
              <w:left w:val="single" w:color="auto" w:sz="4" w:space="0"/>
              <w:bottom w:val="single" w:color="auto" w:sz="4" w:space="0"/>
              <w:right w:val="single" w:color="auto" w:sz="4" w:space="0"/>
            </w:tcBorders>
            <w:vAlign w:val="center"/>
          </w:tcPr>
          <w:p w14:paraId="6A66F55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2.98</w:t>
            </w:r>
          </w:p>
        </w:tc>
        <w:tc>
          <w:tcPr>
            <w:tcW w:w="1311" w:type="dxa"/>
            <w:tcBorders>
              <w:top w:val="single" w:color="auto" w:sz="4" w:space="0"/>
              <w:left w:val="single" w:color="auto" w:sz="4" w:space="0"/>
              <w:bottom w:val="single" w:color="auto" w:sz="4" w:space="0"/>
              <w:right w:val="single" w:color="auto" w:sz="4" w:space="0"/>
            </w:tcBorders>
            <w:vAlign w:val="center"/>
          </w:tcPr>
          <w:p w14:paraId="17DB0E8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[1.19, 4.77]</w:t>
            </w:r>
          </w:p>
        </w:tc>
        <w:tc>
          <w:tcPr>
            <w:tcW w:w="932" w:type="dxa"/>
            <w:tcBorders>
              <w:top w:val="single" w:color="auto" w:sz="4" w:space="0"/>
              <w:left w:val="single" w:color="auto" w:sz="4" w:space="0"/>
              <w:bottom w:val="single" w:color="auto" w:sz="4" w:space="0"/>
              <w:right w:val="single" w:color="auto" w:sz="4" w:space="0"/>
            </w:tcBorders>
            <w:vAlign w:val="center"/>
          </w:tcPr>
          <w:p w14:paraId="6377700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0.001</w:t>
            </w:r>
          </w:p>
        </w:tc>
      </w:tr>
      <w:tr w14:paraId="449ADA23">
        <w:tblPrEx>
          <w:tblCellMar>
            <w:top w:w="0" w:type="dxa"/>
            <w:left w:w="108" w:type="dxa"/>
            <w:bottom w:w="0" w:type="dxa"/>
            <w:right w:w="108" w:type="dxa"/>
          </w:tblCellMar>
        </w:tblPrEx>
        <w:trPr>
          <w:cantSplit/>
          <w:trHeight w:val="283" w:hRule="atLeast"/>
          <w:jc w:val="center"/>
        </w:trPr>
        <w:tc>
          <w:tcPr>
            <w:tcW w:w="1355" w:type="dxa"/>
            <w:tcBorders>
              <w:top w:val="single" w:color="auto" w:sz="4" w:space="0"/>
              <w:left w:val="single" w:color="auto" w:sz="4" w:space="0"/>
              <w:bottom w:val="single" w:color="auto" w:sz="4" w:space="0"/>
              <w:right w:val="single" w:color="auto" w:sz="4" w:space="0"/>
            </w:tcBorders>
            <w:vAlign w:val="center"/>
          </w:tcPr>
          <w:p w14:paraId="3B5FC0A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2016—2019</w:t>
            </w:r>
          </w:p>
        </w:tc>
        <w:tc>
          <w:tcPr>
            <w:tcW w:w="1053" w:type="dxa"/>
            <w:tcBorders>
              <w:top w:val="single" w:color="auto" w:sz="4" w:space="0"/>
              <w:left w:val="single" w:color="auto" w:sz="4" w:space="0"/>
              <w:bottom w:val="single" w:color="auto" w:sz="4" w:space="0"/>
              <w:right w:val="single" w:color="auto" w:sz="4" w:space="0"/>
            </w:tcBorders>
            <w:vAlign w:val="center"/>
          </w:tcPr>
          <w:p w14:paraId="4ECA761C">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1.086</w:t>
            </w:r>
          </w:p>
        </w:tc>
        <w:tc>
          <w:tcPr>
            <w:tcW w:w="2151" w:type="dxa"/>
            <w:tcBorders>
              <w:top w:val="single" w:color="auto" w:sz="4" w:space="0"/>
              <w:left w:val="single" w:color="auto" w:sz="4" w:space="0"/>
              <w:bottom w:val="single" w:color="auto" w:sz="4" w:space="0"/>
              <w:right w:val="single" w:color="auto" w:sz="4" w:space="0"/>
            </w:tcBorders>
            <w:vAlign w:val="center"/>
          </w:tcPr>
          <w:p w14:paraId="5F2AEC2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37.15</w:t>
            </w:r>
          </w:p>
        </w:tc>
        <w:tc>
          <w:tcPr>
            <w:tcW w:w="1735" w:type="dxa"/>
            <w:tcBorders>
              <w:top w:val="single" w:color="auto" w:sz="4" w:space="0"/>
              <w:left w:val="single" w:color="auto" w:sz="4" w:space="0"/>
              <w:bottom w:val="single" w:color="auto" w:sz="4" w:space="0"/>
              <w:right w:val="single" w:color="auto" w:sz="4" w:space="0"/>
            </w:tcBorders>
            <w:vAlign w:val="center"/>
          </w:tcPr>
          <w:p w14:paraId="4D2908E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38.95</w:t>
            </w:r>
          </w:p>
        </w:tc>
        <w:tc>
          <w:tcPr>
            <w:tcW w:w="877" w:type="dxa"/>
            <w:tcBorders>
              <w:top w:val="single" w:color="auto" w:sz="4" w:space="0"/>
              <w:left w:val="single" w:color="auto" w:sz="4" w:space="0"/>
              <w:bottom w:val="single" w:color="auto" w:sz="4" w:space="0"/>
              <w:right w:val="single" w:color="auto" w:sz="4" w:space="0"/>
            </w:tcBorders>
            <w:vAlign w:val="center"/>
          </w:tcPr>
          <w:p w14:paraId="05A070D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1.80</w:t>
            </w:r>
          </w:p>
        </w:tc>
        <w:tc>
          <w:tcPr>
            <w:tcW w:w="1311" w:type="dxa"/>
            <w:tcBorders>
              <w:top w:val="single" w:color="auto" w:sz="4" w:space="0"/>
              <w:left w:val="single" w:color="auto" w:sz="4" w:space="0"/>
              <w:bottom w:val="single" w:color="auto" w:sz="4" w:space="0"/>
              <w:right w:val="single" w:color="auto" w:sz="4" w:space="0"/>
            </w:tcBorders>
            <w:vAlign w:val="center"/>
          </w:tcPr>
          <w:p w14:paraId="005F486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[0.38, 3.23]</w:t>
            </w:r>
          </w:p>
        </w:tc>
        <w:tc>
          <w:tcPr>
            <w:tcW w:w="932" w:type="dxa"/>
            <w:tcBorders>
              <w:top w:val="single" w:color="auto" w:sz="4" w:space="0"/>
              <w:left w:val="single" w:color="auto" w:sz="4" w:space="0"/>
              <w:bottom w:val="single" w:color="auto" w:sz="4" w:space="0"/>
              <w:right w:val="single" w:color="auto" w:sz="4" w:space="0"/>
            </w:tcBorders>
            <w:vAlign w:val="center"/>
          </w:tcPr>
          <w:p w14:paraId="7AD759E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0.013</w:t>
            </w:r>
          </w:p>
        </w:tc>
      </w:tr>
      <w:tr w14:paraId="25ADC7A1">
        <w:tblPrEx>
          <w:tblCellMar>
            <w:top w:w="0" w:type="dxa"/>
            <w:left w:w="108" w:type="dxa"/>
            <w:bottom w:w="0" w:type="dxa"/>
            <w:right w:w="108" w:type="dxa"/>
          </w:tblCellMar>
        </w:tblPrEx>
        <w:trPr>
          <w:cantSplit/>
          <w:trHeight w:val="283" w:hRule="atLeast"/>
          <w:jc w:val="center"/>
        </w:trPr>
        <w:tc>
          <w:tcPr>
            <w:tcW w:w="1355" w:type="dxa"/>
            <w:tcBorders>
              <w:top w:val="single" w:color="auto" w:sz="4" w:space="0"/>
              <w:left w:val="single" w:color="auto" w:sz="4" w:space="0"/>
              <w:bottom w:val="single" w:color="auto" w:sz="4" w:space="0"/>
              <w:right w:val="single" w:color="auto" w:sz="4" w:space="0"/>
            </w:tcBorders>
            <w:vAlign w:val="center"/>
          </w:tcPr>
          <w:p w14:paraId="6CE4E55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2020—2023</w:t>
            </w:r>
          </w:p>
        </w:tc>
        <w:tc>
          <w:tcPr>
            <w:tcW w:w="1053" w:type="dxa"/>
            <w:tcBorders>
              <w:top w:val="single" w:color="auto" w:sz="4" w:space="0"/>
              <w:left w:val="single" w:color="auto" w:sz="4" w:space="0"/>
              <w:bottom w:val="single" w:color="auto" w:sz="4" w:space="0"/>
              <w:right w:val="single" w:color="auto" w:sz="4" w:space="0"/>
            </w:tcBorders>
            <w:vAlign w:val="center"/>
          </w:tcPr>
          <w:p w14:paraId="2923DA38">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1.095</w:t>
            </w:r>
          </w:p>
        </w:tc>
        <w:tc>
          <w:tcPr>
            <w:tcW w:w="2151" w:type="dxa"/>
            <w:tcBorders>
              <w:top w:val="single" w:color="auto" w:sz="4" w:space="0"/>
              <w:left w:val="single" w:color="auto" w:sz="4" w:space="0"/>
              <w:bottom w:val="single" w:color="auto" w:sz="4" w:space="0"/>
              <w:right w:val="single" w:color="auto" w:sz="4" w:space="0"/>
            </w:tcBorders>
            <w:vAlign w:val="center"/>
          </w:tcPr>
          <w:p w14:paraId="1ECC37C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34.33</w:t>
            </w:r>
          </w:p>
        </w:tc>
        <w:tc>
          <w:tcPr>
            <w:tcW w:w="1735" w:type="dxa"/>
            <w:tcBorders>
              <w:top w:val="single" w:color="auto" w:sz="4" w:space="0"/>
              <w:left w:val="single" w:color="auto" w:sz="4" w:space="0"/>
              <w:bottom w:val="single" w:color="auto" w:sz="4" w:space="0"/>
              <w:right w:val="single" w:color="auto" w:sz="4" w:space="0"/>
            </w:tcBorders>
            <w:vAlign w:val="center"/>
          </w:tcPr>
          <w:p w14:paraId="03E67FD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36.26</w:t>
            </w:r>
          </w:p>
        </w:tc>
        <w:tc>
          <w:tcPr>
            <w:tcW w:w="877" w:type="dxa"/>
            <w:tcBorders>
              <w:top w:val="single" w:color="auto" w:sz="4" w:space="0"/>
              <w:left w:val="single" w:color="auto" w:sz="4" w:space="0"/>
              <w:bottom w:val="single" w:color="auto" w:sz="4" w:space="0"/>
              <w:right w:val="single" w:color="auto" w:sz="4" w:space="0"/>
            </w:tcBorders>
            <w:vAlign w:val="center"/>
          </w:tcPr>
          <w:p w14:paraId="2C2E51A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1.93</w:t>
            </w:r>
          </w:p>
        </w:tc>
        <w:tc>
          <w:tcPr>
            <w:tcW w:w="1311" w:type="dxa"/>
            <w:tcBorders>
              <w:top w:val="single" w:color="auto" w:sz="4" w:space="0"/>
              <w:left w:val="single" w:color="auto" w:sz="4" w:space="0"/>
              <w:bottom w:val="single" w:color="auto" w:sz="4" w:space="0"/>
              <w:right w:val="single" w:color="auto" w:sz="4" w:space="0"/>
            </w:tcBorders>
            <w:vAlign w:val="center"/>
          </w:tcPr>
          <w:p w14:paraId="02BF411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[0.78, 3.08]</w:t>
            </w:r>
          </w:p>
        </w:tc>
        <w:tc>
          <w:tcPr>
            <w:tcW w:w="932" w:type="dxa"/>
            <w:tcBorders>
              <w:top w:val="single" w:color="auto" w:sz="4" w:space="0"/>
              <w:left w:val="single" w:color="auto" w:sz="4" w:space="0"/>
              <w:bottom w:val="single" w:color="auto" w:sz="4" w:space="0"/>
              <w:right w:val="single" w:color="auto" w:sz="4" w:space="0"/>
            </w:tcBorders>
            <w:vAlign w:val="center"/>
          </w:tcPr>
          <w:p w14:paraId="289146C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bl>
    <w:p w14:paraId="0C0D817C">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unit of analysis is the executive–company–reporting-year record. The outcome equals one if the executive held at least one core position—chairperson, general manager, president, CEO, or CFO—at the end of the reporting year; concurrent positions are coded by the highest position. Reporting year is based on the CSMAR reporting cutoff date (Reptdt), which identifies the accounting-period end rather than the annual-report release date or position start date. Observed tenure equals reporting year minus the executive’s first observed year in the focal company. The model controls for gender, age, observed tenure, firm size, reporting period, industry, and province, with standard errors clustered by PersonID and 2008–2011 as the reference. Panel B combines the elite-bachelor’s main effect with period interactions and averages predictions over the observed covariate distribution. *** p &lt; 0.001, ** p &lt; 0.01, * p &lt; 0.05</w:t>
      </w:r>
      <w:r>
        <w:rPr>
          <w:rFonts w:hint="default" w:ascii="Times New Roman" w:hAnsi="Times New Roman" w:cs="Times New Roman"/>
          <w:b w:val="0"/>
          <w:i w:val="0"/>
          <w:sz w:val="20"/>
          <w:szCs w:val="28"/>
          <w:lang w:val="en-US" w:eastAsia="zh-CN"/>
        </w:rPr>
        <w:t>.</w:t>
      </w:r>
    </w:p>
    <w:p w14:paraId="052BFAD8">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C. Within-firm-by-reporting-year comparison models</w:t>
      </w:r>
    </w:p>
    <w:tbl>
      <w:tblPr>
        <w:tblStyle w:val="5"/>
        <w:tblW w:w="0" w:type="auto"/>
        <w:jc w:val="center"/>
        <w:tblLayout w:type="fixed"/>
        <w:tblCellMar>
          <w:top w:w="0" w:type="dxa"/>
          <w:left w:w="108" w:type="dxa"/>
          <w:bottom w:w="0" w:type="dxa"/>
          <w:right w:w="108" w:type="dxa"/>
        </w:tblCellMar>
      </w:tblPr>
      <w:tblGrid>
        <w:gridCol w:w="3504"/>
        <w:gridCol w:w="2862"/>
        <w:gridCol w:w="2584"/>
      </w:tblGrid>
      <w:tr w14:paraId="6361E0A6">
        <w:tblPrEx>
          <w:tblCellMar>
            <w:top w:w="0" w:type="dxa"/>
            <w:left w:w="108" w:type="dxa"/>
            <w:bottom w:w="0" w:type="dxa"/>
            <w:right w:w="108" w:type="dxa"/>
          </w:tblCellMar>
        </w:tblPrEx>
        <w:trPr>
          <w:trHeight w:val="283" w:hRule="atLeast"/>
          <w:jc w:val="center"/>
        </w:trPr>
        <w:tc>
          <w:tcPr>
            <w:tcW w:w="3504" w:type="dxa"/>
            <w:tcBorders>
              <w:top w:val="single" w:color="auto" w:sz="4" w:space="0"/>
              <w:left w:val="single" w:color="auto" w:sz="4" w:space="0"/>
              <w:bottom w:val="single" w:color="auto" w:sz="4" w:space="0"/>
              <w:right w:val="single" w:color="auto" w:sz="4" w:space="0"/>
            </w:tcBorders>
            <w:vAlign w:val="center"/>
          </w:tcPr>
          <w:p w14:paraId="5BCE9416">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Variable</w:t>
            </w:r>
          </w:p>
        </w:tc>
        <w:tc>
          <w:tcPr>
            <w:tcW w:w="2862" w:type="dxa"/>
            <w:tcBorders>
              <w:top w:val="single" w:color="auto" w:sz="4" w:space="0"/>
              <w:left w:val="single" w:color="auto" w:sz="4" w:space="0"/>
              <w:bottom w:val="single" w:color="auto" w:sz="4" w:space="0"/>
              <w:right w:val="single" w:color="auto" w:sz="4" w:space="0"/>
            </w:tcBorders>
            <w:vAlign w:val="center"/>
          </w:tcPr>
          <w:p w14:paraId="666A50EF">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FE linear probability model, pp [95% CI]</w:t>
            </w:r>
          </w:p>
        </w:tc>
        <w:tc>
          <w:tcPr>
            <w:tcW w:w="2584" w:type="dxa"/>
            <w:tcBorders>
              <w:top w:val="single" w:color="auto" w:sz="4" w:space="0"/>
              <w:left w:val="single" w:color="auto" w:sz="4" w:space="0"/>
              <w:bottom w:val="single" w:color="auto" w:sz="4" w:space="0"/>
              <w:right w:val="single" w:color="auto" w:sz="4" w:space="0"/>
            </w:tcBorders>
            <w:vAlign w:val="center"/>
          </w:tcPr>
          <w:p w14:paraId="70D7F6A6">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Conditional logit, OR [95% CI]</w:t>
            </w:r>
          </w:p>
        </w:tc>
      </w:tr>
      <w:tr w14:paraId="56BD6879">
        <w:tblPrEx>
          <w:tblCellMar>
            <w:top w:w="0" w:type="dxa"/>
            <w:left w:w="108" w:type="dxa"/>
            <w:bottom w:w="0" w:type="dxa"/>
            <w:right w:w="108" w:type="dxa"/>
          </w:tblCellMar>
        </w:tblPrEx>
        <w:trPr>
          <w:trHeight w:val="283" w:hRule="atLeast"/>
          <w:jc w:val="center"/>
        </w:trPr>
        <w:tc>
          <w:tcPr>
            <w:tcW w:w="3504" w:type="dxa"/>
            <w:tcBorders>
              <w:top w:val="single" w:color="auto" w:sz="4" w:space="0"/>
              <w:left w:val="single" w:color="auto" w:sz="4" w:space="0"/>
              <w:bottom w:val="single" w:color="auto" w:sz="4" w:space="0"/>
              <w:right w:val="single" w:color="auto" w:sz="4" w:space="0"/>
            </w:tcBorders>
            <w:vAlign w:val="center"/>
          </w:tcPr>
          <w:p w14:paraId="606F04E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Elite bachelor’s degree</w:t>
            </w:r>
          </w:p>
        </w:tc>
        <w:tc>
          <w:tcPr>
            <w:tcW w:w="2862" w:type="dxa"/>
            <w:tcBorders>
              <w:top w:val="single" w:color="auto" w:sz="4" w:space="0"/>
              <w:left w:val="single" w:color="auto" w:sz="4" w:space="0"/>
              <w:bottom w:val="single" w:color="auto" w:sz="4" w:space="0"/>
              <w:right w:val="single" w:color="auto" w:sz="4" w:space="0"/>
            </w:tcBorders>
            <w:vAlign w:val="center"/>
          </w:tcPr>
          <w:p w14:paraId="42218A0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1.68 [-0.53, 3.89]</w:t>
            </w:r>
          </w:p>
        </w:tc>
        <w:tc>
          <w:tcPr>
            <w:tcW w:w="2584" w:type="dxa"/>
            <w:tcBorders>
              <w:top w:val="single" w:color="auto" w:sz="4" w:space="0"/>
              <w:left w:val="single" w:color="auto" w:sz="4" w:space="0"/>
              <w:bottom w:val="single" w:color="auto" w:sz="4" w:space="0"/>
              <w:right w:val="single" w:color="auto" w:sz="4" w:space="0"/>
            </w:tcBorders>
            <w:vAlign w:val="center"/>
          </w:tcPr>
          <w:p w14:paraId="0CBA854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1.076* [1.004, 1.155]</w:t>
            </w:r>
          </w:p>
        </w:tc>
      </w:tr>
      <w:tr w14:paraId="6FE352ED">
        <w:tblPrEx>
          <w:tblCellMar>
            <w:top w:w="0" w:type="dxa"/>
            <w:left w:w="108" w:type="dxa"/>
            <w:bottom w:w="0" w:type="dxa"/>
            <w:right w:w="108" w:type="dxa"/>
          </w:tblCellMar>
        </w:tblPrEx>
        <w:trPr>
          <w:trHeight w:val="283" w:hRule="atLeast"/>
          <w:jc w:val="center"/>
        </w:trPr>
        <w:tc>
          <w:tcPr>
            <w:tcW w:w="3504" w:type="dxa"/>
            <w:tcBorders>
              <w:top w:val="single" w:color="auto" w:sz="4" w:space="0"/>
              <w:left w:val="single" w:color="auto" w:sz="4" w:space="0"/>
              <w:bottom w:val="single" w:color="auto" w:sz="4" w:space="0"/>
              <w:right w:val="single" w:color="auto" w:sz="4" w:space="0"/>
            </w:tcBorders>
            <w:vAlign w:val="center"/>
          </w:tcPr>
          <w:p w14:paraId="7D87C48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Elite bachelor’s degree × 2012—2015</w:t>
            </w:r>
          </w:p>
        </w:tc>
        <w:tc>
          <w:tcPr>
            <w:tcW w:w="2862" w:type="dxa"/>
            <w:tcBorders>
              <w:top w:val="single" w:color="auto" w:sz="4" w:space="0"/>
              <w:left w:val="single" w:color="auto" w:sz="4" w:space="0"/>
              <w:bottom w:val="single" w:color="auto" w:sz="4" w:space="0"/>
              <w:right w:val="single" w:color="auto" w:sz="4" w:space="0"/>
            </w:tcBorders>
            <w:vAlign w:val="center"/>
          </w:tcPr>
          <w:p w14:paraId="4552D2E3">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0.92 [-1.22, 3.07]</w:t>
            </w:r>
          </w:p>
        </w:tc>
        <w:tc>
          <w:tcPr>
            <w:tcW w:w="2584" w:type="dxa"/>
            <w:tcBorders>
              <w:top w:val="single" w:color="auto" w:sz="4" w:space="0"/>
              <w:left w:val="single" w:color="auto" w:sz="4" w:space="0"/>
              <w:bottom w:val="single" w:color="auto" w:sz="4" w:space="0"/>
              <w:right w:val="single" w:color="auto" w:sz="4" w:space="0"/>
            </w:tcBorders>
            <w:vAlign w:val="center"/>
          </w:tcPr>
          <w:p w14:paraId="59DD25B8">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1.042 [0.953, 1.140]</w:t>
            </w:r>
          </w:p>
        </w:tc>
      </w:tr>
      <w:tr w14:paraId="3DCDA30F">
        <w:tblPrEx>
          <w:tblCellMar>
            <w:top w:w="0" w:type="dxa"/>
            <w:left w:w="108" w:type="dxa"/>
            <w:bottom w:w="0" w:type="dxa"/>
            <w:right w:w="108" w:type="dxa"/>
          </w:tblCellMar>
        </w:tblPrEx>
        <w:trPr>
          <w:trHeight w:val="283" w:hRule="atLeast"/>
          <w:jc w:val="center"/>
        </w:trPr>
        <w:tc>
          <w:tcPr>
            <w:tcW w:w="3504" w:type="dxa"/>
            <w:tcBorders>
              <w:top w:val="single" w:color="auto" w:sz="4" w:space="0"/>
              <w:left w:val="single" w:color="auto" w:sz="4" w:space="0"/>
              <w:bottom w:val="single" w:color="auto" w:sz="4" w:space="0"/>
              <w:right w:val="single" w:color="auto" w:sz="4" w:space="0"/>
            </w:tcBorders>
            <w:vAlign w:val="center"/>
          </w:tcPr>
          <w:p w14:paraId="6E697B4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Elite bachelor’s degree × 2016—2019</w:t>
            </w:r>
          </w:p>
        </w:tc>
        <w:tc>
          <w:tcPr>
            <w:tcW w:w="2862" w:type="dxa"/>
            <w:tcBorders>
              <w:top w:val="single" w:color="auto" w:sz="4" w:space="0"/>
              <w:left w:val="single" w:color="auto" w:sz="4" w:space="0"/>
              <w:bottom w:val="single" w:color="auto" w:sz="4" w:space="0"/>
              <w:right w:val="single" w:color="auto" w:sz="4" w:space="0"/>
            </w:tcBorders>
            <w:vAlign w:val="center"/>
          </w:tcPr>
          <w:p w14:paraId="1ED314C4">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0.10 [-2.40, 2.60]</w:t>
            </w:r>
          </w:p>
        </w:tc>
        <w:tc>
          <w:tcPr>
            <w:tcW w:w="2584" w:type="dxa"/>
            <w:tcBorders>
              <w:top w:val="single" w:color="auto" w:sz="4" w:space="0"/>
              <w:left w:val="single" w:color="auto" w:sz="4" w:space="0"/>
              <w:bottom w:val="single" w:color="auto" w:sz="4" w:space="0"/>
              <w:right w:val="single" w:color="auto" w:sz="4" w:space="0"/>
            </w:tcBorders>
            <w:vAlign w:val="center"/>
          </w:tcPr>
          <w:p w14:paraId="61FC28B4">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1.007 [0.927, 1.093]</w:t>
            </w:r>
          </w:p>
        </w:tc>
      </w:tr>
      <w:tr w14:paraId="40EFAB8C">
        <w:tblPrEx>
          <w:tblCellMar>
            <w:top w:w="0" w:type="dxa"/>
            <w:left w:w="108" w:type="dxa"/>
            <w:bottom w:w="0" w:type="dxa"/>
            <w:right w:w="108" w:type="dxa"/>
          </w:tblCellMar>
        </w:tblPrEx>
        <w:trPr>
          <w:trHeight w:val="283" w:hRule="atLeast"/>
          <w:jc w:val="center"/>
        </w:trPr>
        <w:tc>
          <w:tcPr>
            <w:tcW w:w="3504" w:type="dxa"/>
            <w:tcBorders>
              <w:top w:val="single" w:color="auto" w:sz="4" w:space="0"/>
              <w:left w:val="single" w:color="auto" w:sz="4" w:space="0"/>
              <w:bottom w:val="single" w:color="auto" w:sz="4" w:space="0"/>
              <w:right w:val="single" w:color="auto" w:sz="4" w:space="0"/>
            </w:tcBorders>
            <w:vAlign w:val="center"/>
          </w:tcPr>
          <w:p w14:paraId="71CAADE8">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Elite bachelor’s degree × 2020—2023</w:t>
            </w:r>
          </w:p>
        </w:tc>
        <w:tc>
          <w:tcPr>
            <w:tcW w:w="2862" w:type="dxa"/>
            <w:tcBorders>
              <w:top w:val="single" w:color="auto" w:sz="4" w:space="0"/>
              <w:left w:val="single" w:color="auto" w:sz="4" w:space="0"/>
              <w:bottom w:val="single" w:color="auto" w:sz="4" w:space="0"/>
              <w:right w:val="single" w:color="auto" w:sz="4" w:space="0"/>
            </w:tcBorders>
            <w:vAlign w:val="center"/>
          </w:tcPr>
          <w:p w14:paraId="128BA6A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 [-2.42, 2.48]</w:t>
            </w:r>
          </w:p>
        </w:tc>
        <w:tc>
          <w:tcPr>
            <w:tcW w:w="2584" w:type="dxa"/>
            <w:tcBorders>
              <w:top w:val="single" w:color="auto" w:sz="4" w:space="0"/>
              <w:left w:val="single" w:color="auto" w:sz="4" w:space="0"/>
              <w:bottom w:val="single" w:color="auto" w:sz="4" w:space="0"/>
              <w:right w:val="single" w:color="auto" w:sz="4" w:space="0"/>
            </w:tcBorders>
            <w:vAlign w:val="center"/>
          </w:tcPr>
          <w:p w14:paraId="654FAC6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1.008 [0.932, 1.091]</w:t>
            </w:r>
          </w:p>
        </w:tc>
      </w:tr>
      <w:tr w14:paraId="37E3AA44">
        <w:tblPrEx>
          <w:tblCellMar>
            <w:top w:w="0" w:type="dxa"/>
            <w:left w:w="108" w:type="dxa"/>
            <w:bottom w:w="0" w:type="dxa"/>
            <w:right w:w="108" w:type="dxa"/>
          </w:tblCellMar>
        </w:tblPrEx>
        <w:trPr>
          <w:trHeight w:val="283" w:hRule="atLeast"/>
          <w:jc w:val="center"/>
        </w:trPr>
        <w:tc>
          <w:tcPr>
            <w:tcW w:w="3504" w:type="dxa"/>
            <w:tcBorders>
              <w:top w:val="single" w:color="auto" w:sz="4" w:space="0"/>
              <w:left w:val="single" w:color="auto" w:sz="4" w:space="0"/>
              <w:bottom w:val="single" w:color="auto" w:sz="4" w:space="0"/>
              <w:right w:val="single" w:color="auto" w:sz="4" w:space="0"/>
            </w:tcBorders>
            <w:vAlign w:val="center"/>
          </w:tcPr>
          <w:p w14:paraId="4701B19A">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Female</w:t>
            </w:r>
          </w:p>
        </w:tc>
        <w:tc>
          <w:tcPr>
            <w:tcW w:w="2862" w:type="dxa"/>
            <w:tcBorders>
              <w:top w:val="single" w:color="auto" w:sz="4" w:space="0"/>
              <w:left w:val="single" w:color="auto" w:sz="4" w:space="0"/>
              <w:bottom w:val="single" w:color="auto" w:sz="4" w:space="0"/>
              <w:right w:val="single" w:color="auto" w:sz="4" w:space="0"/>
            </w:tcBorders>
            <w:vAlign w:val="center"/>
          </w:tcPr>
          <w:p w14:paraId="202F994C">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-16.31*** [-17.52, -15.11]</w:t>
            </w:r>
          </w:p>
        </w:tc>
        <w:tc>
          <w:tcPr>
            <w:tcW w:w="2584" w:type="dxa"/>
            <w:tcBorders>
              <w:top w:val="single" w:color="auto" w:sz="4" w:space="0"/>
              <w:left w:val="single" w:color="auto" w:sz="4" w:space="0"/>
              <w:bottom w:val="single" w:color="auto" w:sz="4" w:space="0"/>
              <w:right w:val="single" w:color="auto" w:sz="4" w:space="0"/>
            </w:tcBorders>
            <w:vAlign w:val="center"/>
          </w:tcPr>
          <w:p w14:paraId="2787A7D8">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0.442*** [0.428, 0.457]</w:t>
            </w:r>
          </w:p>
        </w:tc>
      </w:tr>
      <w:tr w14:paraId="3B384082">
        <w:tblPrEx>
          <w:tblCellMar>
            <w:top w:w="0" w:type="dxa"/>
            <w:left w:w="108" w:type="dxa"/>
            <w:bottom w:w="0" w:type="dxa"/>
            <w:right w:w="108" w:type="dxa"/>
          </w:tblCellMar>
        </w:tblPrEx>
        <w:trPr>
          <w:trHeight w:val="283" w:hRule="atLeast"/>
          <w:jc w:val="center"/>
        </w:trPr>
        <w:tc>
          <w:tcPr>
            <w:tcW w:w="3504" w:type="dxa"/>
            <w:tcBorders>
              <w:top w:val="single" w:color="auto" w:sz="4" w:space="0"/>
              <w:left w:val="single" w:color="auto" w:sz="4" w:space="0"/>
              <w:bottom w:val="single" w:color="auto" w:sz="4" w:space="0"/>
              <w:right w:val="single" w:color="auto" w:sz="4" w:space="0"/>
            </w:tcBorders>
            <w:vAlign w:val="center"/>
          </w:tcPr>
          <w:p w14:paraId="7B57DA0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Age, centered at 50</w:t>
            </w:r>
          </w:p>
        </w:tc>
        <w:tc>
          <w:tcPr>
            <w:tcW w:w="2862" w:type="dxa"/>
            <w:tcBorders>
              <w:top w:val="single" w:color="auto" w:sz="4" w:space="0"/>
              <w:left w:val="single" w:color="auto" w:sz="4" w:space="0"/>
              <w:bottom w:val="single" w:color="auto" w:sz="4" w:space="0"/>
              <w:right w:val="single" w:color="auto" w:sz="4" w:space="0"/>
            </w:tcBorders>
            <w:vAlign w:val="center"/>
          </w:tcPr>
          <w:p w14:paraId="6C30C98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-0.42*** [-0.48, -0.37]</w:t>
            </w:r>
          </w:p>
        </w:tc>
        <w:tc>
          <w:tcPr>
            <w:tcW w:w="2584" w:type="dxa"/>
            <w:tcBorders>
              <w:top w:val="single" w:color="auto" w:sz="4" w:space="0"/>
              <w:left w:val="single" w:color="auto" w:sz="4" w:space="0"/>
              <w:bottom w:val="single" w:color="auto" w:sz="4" w:space="0"/>
              <w:right w:val="single" w:color="auto" w:sz="4" w:space="0"/>
            </w:tcBorders>
            <w:vAlign w:val="center"/>
          </w:tcPr>
          <w:p w14:paraId="6ECBCE0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0.980*** [0.979, 0.981]</w:t>
            </w:r>
          </w:p>
        </w:tc>
      </w:tr>
      <w:tr w14:paraId="149ECDE1">
        <w:tblPrEx>
          <w:tblCellMar>
            <w:top w:w="0" w:type="dxa"/>
            <w:left w:w="108" w:type="dxa"/>
            <w:bottom w:w="0" w:type="dxa"/>
            <w:right w:w="108" w:type="dxa"/>
          </w:tblCellMar>
        </w:tblPrEx>
        <w:trPr>
          <w:trHeight w:val="283" w:hRule="atLeast"/>
          <w:jc w:val="center"/>
        </w:trPr>
        <w:tc>
          <w:tcPr>
            <w:tcW w:w="3504" w:type="dxa"/>
            <w:tcBorders>
              <w:top w:val="single" w:color="auto" w:sz="4" w:space="0"/>
              <w:left w:val="single" w:color="auto" w:sz="4" w:space="0"/>
              <w:bottom w:val="single" w:color="auto" w:sz="4" w:space="0"/>
              <w:right w:val="single" w:color="auto" w:sz="4" w:space="0"/>
            </w:tcBorders>
            <w:vAlign w:val="center"/>
          </w:tcPr>
          <w:p w14:paraId="08FC358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Observed tenure in the focal firm</w:t>
            </w:r>
          </w:p>
        </w:tc>
        <w:tc>
          <w:tcPr>
            <w:tcW w:w="2862" w:type="dxa"/>
            <w:tcBorders>
              <w:top w:val="single" w:color="auto" w:sz="4" w:space="0"/>
              <w:left w:val="single" w:color="auto" w:sz="4" w:space="0"/>
              <w:bottom w:val="single" w:color="auto" w:sz="4" w:space="0"/>
              <w:right w:val="single" w:color="auto" w:sz="4" w:space="0"/>
            </w:tcBorders>
            <w:vAlign w:val="center"/>
          </w:tcPr>
          <w:p w14:paraId="3D9C667B">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4.08*** [3.86, 4.30]</w:t>
            </w:r>
          </w:p>
        </w:tc>
        <w:tc>
          <w:tcPr>
            <w:tcW w:w="2584" w:type="dxa"/>
            <w:tcBorders>
              <w:top w:val="single" w:color="auto" w:sz="4" w:space="0"/>
              <w:left w:val="single" w:color="auto" w:sz="4" w:space="0"/>
              <w:bottom w:val="single" w:color="auto" w:sz="4" w:space="0"/>
              <w:right w:val="single" w:color="auto" w:sz="4" w:space="0"/>
            </w:tcBorders>
            <w:vAlign w:val="center"/>
          </w:tcPr>
          <w:p w14:paraId="1BD94A58">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1.206*** [1.199, 1.212]</w:t>
            </w:r>
          </w:p>
        </w:tc>
      </w:tr>
      <w:tr w14:paraId="35B4448B">
        <w:tblPrEx>
          <w:tblCellMar>
            <w:top w:w="0" w:type="dxa"/>
            <w:left w:w="108" w:type="dxa"/>
            <w:bottom w:w="0" w:type="dxa"/>
            <w:right w:w="108" w:type="dxa"/>
          </w:tblCellMar>
        </w:tblPrEx>
        <w:trPr>
          <w:trHeight w:val="283" w:hRule="atLeast"/>
          <w:jc w:val="center"/>
        </w:trPr>
        <w:tc>
          <w:tcPr>
            <w:tcW w:w="3504" w:type="dxa"/>
            <w:tcBorders>
              <w:top w:val="single" w:color="auto" w:sz="4" w:space="0"/>
              <w:left w:val="single" w:color="auto" w:sz="4" w:space="0"/>
              <w:bottom w:val="single" w:color="auto" w:sz="4" w:space="0"/>
              <w:right w:val="single" w:color="auto" w:sz="4" w:space="0"/>
            </w:tcBorders>
            <w:vAlign w:val="center"/>
          </w:tcPr>
          <w:p w14:paraId="1E4675E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Firm × reporting-year fixed effects</w:t>
            </w:r>
          </w:p>
        </w:tc>
        <w:tc>
          <w:tcPr>
            <w:tcW w:w="2862" w:type="dxa"/>
            <w:tcBorders>
              <w:top w:val="single" w:color="auto" w:sz="4" w:space="0"/>
              <w:left w:val="single" w:color="auto" w:sz="4" w:space="0"/>
              <w:bottom w:val="single" w:color="auto" w:sz="4" w:space="0"/>
              <w:right w:val="single" w:color="auto" w:sz="4" w:space="0"/>
            </w:tcBorders>
            <w:vAlign w:val="center"/>
          </w:tcPr>
          <w:p w14:paraId="0435A62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Absorbed</w:t>
            </w:r>
          </w:p>
        </w:tc>
        <w:tc>
          <w:tcPr>
            <w:tcW w:w="2584" w:type="dxa"/>
            <w:tcBorders>
              <w:top w:val="single" w:color="auto" w:sz="4" w:space="0"/>
              <w:left w:val="single" w:color="auto" w:sz="4" w:space="0"/>
              <w:bottom w:val="single" w:color="auto" w:sz="4" w:space="0"/>
              <w:right w:val="single" w:color="auto" w:sz="4" w:space="0"/>
            </w:tcBorders>
            <w:vAlign w:val="center"/>
          </w:tcPr>
          <w:p w14:paraId="4B6DC7B0">
            <w:pPr>
              <w:spacing w:before="0" w:after="0" w:line="240" w:lineRule="auto"/>
              <w:jc w:val="center"/>
              <w:rPr>
                <w:rFonts w:hint="default" w:ascii="Times New Roman" w:hAnsi="Times New Roman" w:cs="Times New Roman"/>
              </w:rPr>
            </w:pPr>
            <w:r>
              <w:rPr>
                <w:rFonts w:hint="default" w:ascii="Times New Roman" w:hAnsi="Times New Roman" w:cs="Times New Roman"/>
              </w:rPr>
              <w:t>Conditioned out</w:t>
            </w:r>
          </w:p>
          <w:p w14:paraId="3C44FEA0">
            <w:pPr>
              <w:spacing w:before="0" w:after="0" w:line="240" w:lineRule="auto"/>
              <w:jc w:val="center"/>
              <w:rPr>
                <w:rFonts w:hint="default" w:ascii="Times New Roman" w:hAnsi="Times New Roman" w:cs="Times New Roman"/>
              </w:rPr>
            </w:pPr>
            <w:r>
              <w:rPr>
                <w:rFonts w:hint="default" w:ascii="Times New Roman" w:hAnsi="Times New Roman" w:cs="Times New Roman"/>
              </w:rPr>
              <w:t>(not directly estimated)</w:t>
            </w:r>
          </w:p>
        </w:tc>
      </w:tr>
      <w:tr w14:paraId="5535B651">
        <w:tblPrEx>
          <w:tblCellMar>
            <w:top w:w="0" w:type="dxa"/>
            <w:left w:w="108" w:type="dxa"/>
            <w:bottom w:w="0" w:type="dxa"/>
            <w:right w:w="108" w:type="dxa"/>
          </w:tblCellMar>
        </w:tblPrEx>
        <w:trPr>
          <w:trHeight w:val="283" w:hRule="atLeast"/>
          <w:jc w:val="center"/>
        </w:trPr>
        <w:tc>
          <w:tcPr>
            <w:tcW w:w="3504" w:type="dxa"/>
            <w:tcBorders>
              <w:top w:val="single" w:color="auto" w:sz="4" w:space="0"/>
              <w:left w:val="single" w:color="auto" w:sz="4" w:space="0"/>
              <w:bottom w:val="single" w:color="auto" w:sz="4" w:space="0"/>
              <w:right w:val="single" w:color="auto" w:sz="4" w:space="0"/>
            </w:tcBorders>
            <w:vAlign w:val="center"/>
          </w:tcPr>
          <w:p w14:paraId="31AEAEF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Observations</w:t>
            </w:r>
          </w:p>
        </w:tc>
        <w:tc>
          <w:tcPr>
            <w:tcW w:w="2862" w:type="dxa"/>
            <w:tcBorders>
              <w:top w:val="single" w:color="auto" w:sz="4" w:space="0"/>
              <w:left w:val="single" w:color="auto" w:sz="4" w:space="0"/>
              <w:bottom w:val="single" w:color="auto" w:sz="4" w:space="0"/>
              <w:right w:val="single" w:color="auto" w:sz="4" w:space="0"/>
            </w:tcBorders>
            <w:vAlign w:val="center"/>
          </w:tcPr>
          <w:p w14:paraId="2F2BBAE4">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172,257</w:t>
            </w:r>
          </w:p>
        </w:tc>
        <w:tc>
          <w:tcPr>
            <w:tcW w:w="2584" w:type="dxa"/>
            <w:tcBorders>
              <w:top w:val="single" w:color="auto" w:sz="4" w:space="0"/>
              <w:left w:val="single" w:color="auto" w:sz="4" w:space="0"/>
              <w:bottom w:val="single" w:color="auto" w:sz="4" w:space="0"/>
              <w:right w:val="single" w:color="auto" w:sz="4" w:space="0"/>
            </w:tcBorders>
            <w:vAlign w:val="center"/>
          </w:tcPr>
          <w:p w14:paraId="2FECC459">
            <w:pPr>
              <w:spacing w:before="0" w:after="0" w:line="240" w:lineRule="auto"/>
              <w:jc w:val="center"/>
              <w:rPr>
                <w:rFonts w:hint="default" w:ascii="Times New Roman" w:hAnsi="Times New Roman" w:cs="Times New Roman"/>
              </w:rPr>
            </w:pPr>
            <w:r>
              <w:rPr>
                <w:rFonts w:hint="default" w:ascii="Times New Roman" w:hAnsi="Times New Roman" w:cs="Times New Roman"/>
              </w:rPr>
              <w:t>153,665 (15,695 groups)</w:t>
            </w:r>
          </w:p>
        </w:tc>
      </w:tr>
      <w:tr w14:paraId="7447F65F">
        <w:tblPrEx>
          <w:tblCellMar>
            <w:top w:w="0" w:type="dxa"/>
            <w:left w:w="108" w:type="dxa"/>
            <w:bottom w:w="0" w:type="dxa"/>
            <w:right w:w="108" w:type="dxa"/>
          </w:tblCellMar>
        </w:tblPrEx>
        <w:trPr>
          <w:trHeight w:val="283" w:hRule="atLeast"/>
          <w:jc w:val="center"/>
        </w:trPr>
        <w:tc>
          <w:tcPr>
            <w:tcW w:w="3504" w:type="dxa"/>
            <w:tcBorders>
              <w:top w:val="single" w:color="auto" w:sz="4" w:space="0"/>
              <w:left w:val="single" w:color="auto" w:sz="4" w:space="0"/>
              <w:bottom w:val="single" w:color="auto" w:sz="4" w:space="0"/>
              <w:right w:val="single" w:color="auto" w:sz="4" w:space="0"/>
            </w:tcBorders>
            <w:vAlign w:val="center"/>
          </w:tcPr>
          <w:p w14:paraId="1147F40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Joint test: elite bachelor’s × period</w:t>
            </w:r>
          </w:p>
        </w:tc>
        <w:tc>
          <w:tcPr>
            <w:tcW w:w="2862" w:type="dxa"/>
            <w:tcBorders>
              <w:top w:val="single" w:color="auto" w:sz="4" w:space="0"/>
              <w:left w:val="single" w:color="auto" w:sz="4" w:space="0"/>
              <w:bottom w:val="single" w:color="auto" w:sz="4" w:space="0"/>
              <w:right w:val="single" w:color="auto" w:sz="4" w:space="0"/>
            </w:tcBorders>
            <w:vAlign w:val="center"/>
          </w:tcPr>
          <w:p w14:paraId="546A820B">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p=0.751</w:t>
            </w:r>
          </w:p>
        </w:tc>
        <w:tc>
          <w:tcPr>
            <w:tcW w:w="2584" w:type="dxa"/>
            <w:tcBorders>
              <w:top w:val="single" w:color="auto" w:sz="4" w:space="0"/>
              <w:left w:val="single" w:color="auto" w:sz="4" w:space="0"/>
              <w:bottom w:val="single" w:color="auto" w:sz="4" w:space="0"/>
              <w:right w:val="single" w:color="auto" w:sz="4" w:space="0"/>
            </w:tcBorders>
            <w:vAlign w:val="center"/>
          </w:tcPr>
          <w:p w14:paraId="74D4326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χ²(3)=1.28, p=0.734</w:t>
            </w:r>
          </w:p>
        </w:tc>
      </w:tr>
    </w:tbl>
    <w:p w14:paraId="3F468209">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D. Robustness checks using restricted firm samples</w:t>
      </w:r>
    </w:p>
    <w:tbl>
      <w:tblPr>
        <w:tblStyle w:val="5"/>
        <w:tblW w:w="0" w:type="auto"/>
        <w:jc w:val="center"/>
        <w:tblLayout w:type="fixed"/>
        <w:tblCellMar>
          <w:top w:w="0" w:type="dxa"/>
          <w:left w:w="108" w:type="dxa"/>
          <w:bottom w:w="0" w:type="dxa"/>
          <w:right w:w="108" w:type="dxa"/>
        </w:tblCellMar>
      </w:tblPr>
      <w:tblGrid>
        <w:gridCol w:w="1971"/>
        <w:gridCol w:w="1505"/>
        <w:gridCol w:w="950"/>
        <w:gridCol w:w="1893"/>
        <w:gridCol w:w="2203"/>
      </w:tblGrid>
      <w:tr w14:paraId="5E701C61">
        <w:tblPrEx>
          <w:tblCellMar>
            <w:top w:w="0" w:type="dxa"/>
            <w:left w:w="108" w:type="dxa"/>
            <w:bottom w:w="0" w:type="dxa"/>
            <w:right w:w="108" w:type="dxa"/>
          </w:tblCellMar>
        </w:tblPrEx>
        <w:trPr>
          <w:cantSplit/>
          <w:trHeight w:val="283" w:hRule="atLeast"/>
          <w:tblHeader/>
          <w:jc w:val="center"/>
        </w:trPr>
        <w:tc>
          <w:tcPr>
            <w:tcW w:w="1971" w:type="dxa"/>
            <w:tcBorders>
              <w:top w:val="single" w:color="auto" w:sz="4" w:space="0"/>
              <w:left w:val="single" w:color="auto" w:sz="4" w:space="0"/>
              <w:bottom w:val="nil"/>
              <w:right w:val="nil"/>
            </w:tcBorders>
            <w:tcMar>
              <w:top w:w="-1" w:type="dxa"/>
              <w:left w:w="-1" w:type="dxa"/>
              <w:bottom w:w="-1" w:type="dxa"/>
              <w:right w:w="-1" w:type="dxa"/>
            </w:tcMar>
            <w:vAlign w:val="center"/>
          </w:tcPr>
          <w:p w14:paraId="0349B494">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Firm sample</w:t>
            </w:r>
          </w:p>
        </w:tc>
        <w:tc>
          <w:tcPr>
            <w:tcW w:w="1505" w:type="dxa"/>
            <w:tcBorders>
              <w:top w:val="single" w:color="auto" w:sz="4" w:space="0"/>
              <w:left w:val="single" w:color="auto" w:sz="4" w:space="0"/>
              <w:bottom w:val="nil"/>
              <w:right w:val="nil"/>
            </w:tcBorders>
            <w:tcMar>
              <w:top w:w="-1" w:type="dxa"/>
              <w:left w:w="-1" w:type="dxa"/>
              <w:bottom w:w="-1" w:type="dxa"/>
              <w:right w:w="-1" w:type="dxa"/>
            </w:tcMar>
            <w:vAlign w:val="center"/>
          </w:tcPr>
          <w:p w14:paraId="668D88F0">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Executive–company–year records</w:t>
            </w:r>
          </w:p>
        </w:tc>
        <w:tc>
          <w:tcPr>
            <w:tcW w:w="950" w:type="dxa"/>
            <w:tcBorders>
              <w:top w:val="single" w:color="auto" w:sz="4" w:space="0"/>
              <w:left w:val="single" w:color="auto" w:sz="4" w:space="0"/>
              <w:bottom w:val="nil"/>
              <w:right w:val="nil"/>
            </w:tcBorders>
            <w:tcMar>
              <w:top w:w="-1" w:type="dxa"/>
              <w:left w:w="-1" w:type="dxa"/>
              <w:bottom w:w="-1" w:type="dxa"/>
              <w:right w:w="-1" w:type="dxa"/>
            </w:tcMar>
            <w:vAlign w:val="center"/>
          </w:tcPr>
          <w:p w14:paraId="6914CE67">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Firms</w:t>
            </w:r>
          </w:p>
        </w:tc>
        <w:tc>
          <w:tcPr>
            <w:tcW w:w="1893" w:type="dxa"/>
            <w:tcBorders>
              <w:top w:val="single" w:color="auto" w:sz="4" w:space="0"/>
              <w:left w:val="single" w:color="auto" w:sz="4" w:space="0"/>
              <w:bottom w:val="nil"/>
              <w:right w:val="nil"/>
            </w:tcBorders>
            <w:tcMar>
              <w:top w:w="-1" w:type="dxa"/>
              <w:left w:w="-1" w:type="dxa"/>
              <w:bottom w:w="-1" w:type="dxa"/>
              <w:right w:w="-1" w:type="dxa"/>
            </w:tcMar>
            <w:vAlign w:val="center"/>
          </w:tcPr>
          <w:p w14:paraId="5B70E46D">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Elite-bachelor’s OR in the reference period</w:t>
            </w:r>
          </w:p>
        </w:tc>
        <w:tc>
          <w:tcPr>
            <w:tcW w:w="220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B731ECF">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Joint test: elite bachelor’s × period</w:t>
            </w:r>
          </w:p>
        </w:tc>
      </w:tr>
      <w:tr w14:paraId="3834003D">
        <w:tblPrEx>
          <w:tblCellMar>
            <w:top w:w="0" w:type="dxa"/>
            <w:left w:w="108" w:type="dxa"/>
            <w:bottom w:w="0" w:type="dxa"/>
            <w:right w:w="108" w:type="dxa"/>
          </w:tblCellMar>
        </w:tblPrEx>
        <w:trPr>
          <w:cantSplit/>
          <w:trHeight w:val="283" w:hRule="atLeast"/>
          <w:jc w:val="center"/>
        </w:trPr>
        <w:tc>
          <w:tcPr>
            <w:tcW w:w="1971" w:type="dxa"/>
            <w:tcBorders>
              <w:top w:val="single" w:color="auto" w:sz="4" w:space="0"/>
              <w:left w:val="single" w:color="auto" w:sz="4" w:space="0"/>
              <w:bottom w:val="nil"/>
              <w:right w:val="nil"/>
            </w:tcBorders>
            <w:tcMar>
              <w:top w:w="-1" w:type="dxa"/>
              <w:left w:w="-1" w:type="dxa"/>
              <w:bottom w:w="-1" w:type="dxa"/>
              <w:right w:w="-1" w:type="dxa"/>
            </w:tcMar>
            <w:vAlign w:val="center"/>
          </w:tcPr>
          <w:p w14:paraId="79041DF3">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Full sample</w:t>
            </w:r>
          </w:p>
        </w:tc>
        <w:tc>
          <w:tcPr>
            <w:tcW w:w="1505" w:type="dxa"/>
            <w:tcBorders>
              <w:top w:val="single" w:color="auto" w:sz="4" w:space="0"/>
              <w:left w:val="single" w:color="auto" w:sz="4" w:space="0"/>
              <w:bottom w:val="nil"/>
              <w:right w:val="nil"/>
            </w:tcBorders>
            <w:tcMar>
              <w:top w:w="-1" w:type="dxa"/>
              <w:left w:w="-1" w:type="dxa"/>
              <w:bottom w:w="-1" w:type="dxa"/>
              <w:right w:w="-1" w:type="dxa"/>
            </w:tcMar>
            <w:vAlign w:val="center"/>
          </w:tcPr>
          <w:p w14:paraId="7E2E864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172,257</w:t>
            </w:r>
          </w:p>
        </w:tc>
        <w:tc>
          <w:tcPr>
            <w:tcW w:w="950" w:type="dxa"/>
            <w:tcBorders>
              <w:top w:val="single" w:color="auto" w:sz="4" w:space="0"/>
              <w:left w:val="single" w:color="auto" w:sz="4" w:space="0"/>
              <w:bottom w:val="nil"/>
              <w:right w:val="nil"/>
            </w:tcBorders>
            <w:tcMar>
              <w:top w:w="-1" w:type="dxa"/>
              <w:left w:w="-1" w:type="dxa"/>
              <w:bottom w:w="-1" w:type="dxa"/>
              <w:right w:w="-1" w:type="dxa"/>
            </w:tcMar>
            <w:vAlign w:val="center"/>
          </w:tcPr>
          <w:p w14:paraId="58738B43">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4,086</w:t>
            </w:r>
          </w:p>
        </w:tc>
        <w:tc>
          <w:tcPr>
            <w:tcW w:w="1893" w:type="dxa"/>
            <w:tcBorders>
              <w:top w:val="single" w:color="auto" w:sz="4" w:space="0"/>
              <w:left w:val="single" w:color="auto" w:sz="4" w:space="0"/>
              <w:bottom w:val="nil"/>
              <w:right w:val="nil"/>
            </w:tcBorders>
            <w:tcMar>
              <w:top w:w="-1" w:type="dxa"/>
              <w:left w:w="-1" w:type="dxa"/>
              <w:bottom w:w="-1" w:type="dxa"/>
              <w:right w:w="-1" w:type="dxa"/>
            </w:tcMar>
            <w:vAlign w:val="center"/>
          </w:tcPr>
          <w:p w14:paraId="0C88942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1.13</w:t>
            </w:r>
          </w:p>
        </w:tc>
        <w:tc>
          <w:tcPr>
            <w:tcW w:w="220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9F8439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χ²(3)=1.68, p=0.643</w:t>
            </w:r>
          </w:p>
        </w:tc>
      </w:tr>
      <w:tr w14:paraId="6EF83AFF">
        <w:tblPrEx>
          <w:tblCellMar>
            <w:top w:w="0" w:type="dxa"/>
            <w:left w:w="108" w:type="dxa"/>
            <w:bottom w:w="0" w:type="dxa"/>
            <w:right w:w="108" w:type="dxa"/>
          </w:tblCellMar>
        </w:tblPrEx>
        <w:trPr>
          <w:cantSplit/>
          <w:trHeight w:val="283" w:hRule="atLeast"/>
          <w:jc w:val="center"/>
        </w:trPr>
        <w:tc>
          <w:tcPr>
            <w:tcW w:w="1971" w:type="dxa"/>
            <w:tcBorders>
              <w:top w:val="single" w:color="auto" w:sz="4" w:space="0"/>
              <w:left w:val="single" w:color="auto" w:sz="4" w:space="0"/>
              <w:bottom w:val="nil"/>
              <w:right w:val="nil"/>
            </w:tcBorders>
            <w:tcMar>
              <w:top w:w="-1" w:type="dxa"/>
              <w:left w:w="-1" w:type="dxa"/>
              <w:bottom w:w="-1" w:type="dxa"/>
              <w:right w:w="-1" w:type="dxa"/>
            </w:tcMar>
            <w:vAlign w:val="center"/>
          </w:tcPr>
          <w:p w14:paraId="206923FA">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Observed in at least two periods</w:t>
            </w:r>
          </w:p>
        </w:tc>
        <w:tc>
          <w:tcPr>
            <w:tcW w:w="1505" w:type="dxa"/>
            <w:tcBorders>
              <w:top w:val="single" w:color="auto" w:sz="4" w:space="0"/>
              <w:left w:val="single" w:color="auto" w:sz="4" w:space="0"/>
              <w:bottom w:val="nil"/>
              <w:right w:val="nil"/>
            </w:tcBorders>
            <w:tcMar>
              <w:top w:w="-1" w:type="dxa"/>
              <w:left w:w="-1" w:type="dxa"/>
              <w:bottom w:w="-1" w:type="dxa"/>
              <w:right w:w="-1" w:type="dxa"/>
            </w:tcMar>
            <w:vAlign w:val="center"/>
          </w:tcPr>
          <w:p w14:paraId="558836C9">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149,631</w:t>
            </w:r>
          </w:p>
        </w:tc>
        <w:tc>
          <w:tcPr>
            <w:tcW w:w="950" w:type="dxa"/>
            <w:tcBorders>
              <w:top w:val="single" w:color="auto" w:sz="4" w:space="0"/>
              <w:left w:val="single" w:color="auto" w:sz="4" w:space="0"/>
              <w:bottom w:val="nil"/>
              <w:right w:val="nil"/>
            </w:tcBorders>
            <w:tcMar>
              <w:top w:w="-1" w:type="dxa"/>
              <w:left w:w="-1" w:type="dxa"/>
              <w:bottom w:w="-1" w:type="dxa"/>
              <w:right w:w="-1" w:type="dxa"/>
            </w:tcMar>
            <w:vAlign w:val="center"/>
          </w:tcPr>
          <w:p w14:paraId="30C1A2C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2,456</w:t>
            </w:r>
          </w:p>
        </w:tc>
        <w:tc>
          <w:tcPr>
            <w:tcW w:w="1893" w:type="dxa"/>
            <w:tcBorders>
              <w:top w:val="single" w:color="auto" w:sz="4" w:space="0"/>
              <w:left w:val="single" w:color="auto" w:sz="4" w:space="0"/>
              <w:bottom w:val="nil"/>
              <w:right w:val="nil"/>
            </w:tcBorders>
            <w:tcMar>
              <w:top w:w="-1" w:type="dxa"/>
              <w:left w:w="-1" w:type="dxa"/>
              <w:bottom w:w="-1" w:type="dxa"/>
              <w:right w:w="-1" w:type="dxa"/>
            </w:tcMar>
            <w:vAlign w:val="center"/>
          </w:tcPr>
          <w:p w14:paraId="0DFC7BA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1.119</w:t>
            </w:r>
          </w:p>
        </w:tc>
        <w:tc>
          <w:tcPr>
            <w:tcW w:w="220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19AFE0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χ²(3)=2.14, p=0.544</w:t>
            </w:r>
          </w:p>
        </w:tc>
      </w:tr>
      <w:tr w14:paraId="1E6DE596">
        <w:tblPrEx>
          <w:tblCellMar>
            <w:top w:w="0" w:type="dxa"/>
            <w:left w:w="108" w:type="dxa"/>
            <w:bottom w:w="0" w:type="dxa"/>
            <w:right w:w="108" w:type="dxa"/>
          </w:tblCellMar>
        </w:tblPrEx>
        <w:trPr>
          <w:cantSplit/>
          <w:trHeight w:val="283" w:hRule="atLeast"/>
          <w:jc w:val="center"/>
        </w:trPr>
        <w:tc>
          <w:tcPr>
            <w:tcW w:w="1971" w:type="dxa"/>
            <w:tcBorders>
              <w:top w:val="single" w:color="auto" w:sz="4" w:space="0"/>
              <w:left w:val="single" w:color="auto" w:sz="4" w:space="0"/>
              <w:bottom w:val="nil"/>
              <w:right w:val="nil"/>
            </w:tcBorders>
            <w:tcMar>
              <w:top w:w="-1" w:type="dxa"/>
              <w:left w:w="-1" w:type="dxa"/>
              <w:bottom w:w="-1" w:type="dxa"/>
              <w:right w:w="-1" w:type="dxa"/>
            </w:tcMar>
            <w:vAlign w:val="center"/>
          </w:tcPr>
          <w:p w14:paraId="39C3667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Observed in at least three periods</w:t>
            </w:r>
          </w:p>
        </w:tc>
        <w:tc>
          <w:tcPr>
            <w:tcW w:w="1505" w:type="dxa"/>
            <w:tcBorders>
              <w:top w:val="single" w:color="auto" w:sz="4" w:space="0"/>
              <w:left w:val="single" w:color="auto" w:sz="4" w:space="0"/>
              <w:bottom w:val="nil"/>
              <w:right w:val="nil"/>
            </w:tcBorders>
            <w:tcMar>
              <w:top w:w="-1" w:type="dxa"/>
              <w:left w:w="-1" w:type="dxa"/>
              <w:bottom w:w="-1" w:type="dxa"/>
              <w:right w:w="-1" w:type="dxa"/>
            </w:tcMar>
            <w:vAlign w:val="center"/>
          </w:tcPr>
          <w:p w14:paraId="71D39F5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119,339</w:t>
            </w:r>
          </w:p>
        </w:tc>
        <w:tc>
          <w:tcPr>
            <w:tcW w:w="950" w:type="dxa"/>
            <w:tcBorders>
              <w:top w:val="single" w:color="auto" w:sz="4" w:space="0"/>
              <w:left w:val="single" w:color="auto" w:sz="4" w:space="0"/>
              <w:bottom w:val="nil"/>
              <w:right w:val="nil"/>
            </w:tcBorders>
            <w:tcMar>
              <w:top w:w="-1" w:type="dxa"/>
              <w:left w:w="-1" w:type="dxa"/>
              <w:bottom w:w="-1" w:type="dxa"/>
              <w:right w:w="-1" w:type="dxa"/>
            </w:tcMar>
            <w:vAlign w:val="center"/>
          </w:tcPr>
          <w:p w14:paraId="42FA5CF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1,528</w:t>
            </w:r>
          </w:p>
        </w:tc>
        <w:tc>
          <w:tcPr>
            <w:tcW w:w="1893" w:type="dxa"/>
            <w:tcBorders>
              <w:top w:val="single" w:color="auto" w:sz="4" w:space="0"/>
              <w:left w:val="single" w:color="auto" w:sz="4" w:space="0"/>
              <w:bottom w:val="nil"/>
              <w:right w:val="nil"/>
            </w:tcBorders>
            <w:tcMar>
              <w:top w:w="-1" w:type="dxa"/>
              <w:left w:w="-1" w:type="dxa"/>
              <w:bottom w:w="-1" w:type="dxa"/>
              <w:right w:w="-1" w:type="dxa"/>
            </w:tcMar>
            <w:vAlign w:val="center"/>
          </w:tcPr>
          <w:p w14:paraId="011AC86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1.123</w:t>
            </w:r>
          </w:p>
        </w:tc>
        <w:tc>
          <w:tcPr>
            <w:tcW w:w="220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E7BF92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χ²(3)=3.37, p=0.338</w:t>
            </w:r>
          </w:p>
        </w:tc>
      </w:tr>
      <w:tr w14:paraId="2729F5FD">
        <w:tblPrEx>
          <w:tblCellMar>
            <w:top w:w="0" w:type="dxa"/>
            <w:left w:w="108" w:type="dxa"/>
            <w:bottom w:w="0" w:type="dxa"/>
            <w:right w:w="108" w:type="dxa"/>
          </w:tblCellMar>
        </w:tblPrEx>
        <w:trPr>
          <w:cantSplit/>
          <w:trHeight w:val="283" w:hRule="atLeast"/>
          <w:jc w:val="center"/>
        </w:trPr>
        <w:tc>
          <w:tcPr>
            <w:tcW w:w="197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E9ABFA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Balanced panel observed in all four periods</w:t>
            </w:r>
          </w:p>
        </w:tc>
        <w:tc>
          <w:tcPr>
            <w:tcW w:w="150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5E85CE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85,422</w:t>
            </w:r>
          </w:p>
        </w:tc>
        <w:tc>
          <w:tcPr>
            <w:tcW w:w="95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1C37E9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839</w:t>
            </w:r>
          </w:p>
        </w:tc>
        <w:tc>
          <w:tcPr>
            <w:tcW w:w="189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CCA58F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1.105</w:t>
            </w:r>
          </w:p>
        </w:tc>
        <w:tc>
          <w:tcPr>
            <w:tcW w:w="2203"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1D8CCC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χ²(3)=4.94, p=0.176</w:t>
            </w:r>
          </w:p>
        </w:tc>
      </w:tr>
    </w:tbl>
    <w:p w14:paraId="19CF9AED">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unit of analysis is the executive–company–reporting-year record. In Panel A, fixed-effects linear probability coefficients are multiplied by 100 and reported in percentage points; firm-by-reporting-year fixed effects absorb firm size, industry, province, reporting period, and other shared firm-year characteristics. The conditional logit model uses only firm-year groups with within-group variation in core-executive status and automatically excludes invariant or single-observation groups. Both models control for gender, age, and observed tenure, with standard errors clustered by PersonID. Panel B retains firms observed in at least two, at least three, or all four reporting periods (2008–2011, 2012–2015, 2016–2019, and 2020–2023) and otherwise follows the specifications in Appendix Table 14, Panels A–B. *** p &lt; 0.001, ** p &lt; 0.01, * p &lt; 0.0</w:t>
      </w:r>
      <w:r>
        <w:rPr>
          <w:rFonts w:hint="default" w:ascii="Times New Roman" w:hAnsi="Times New Roman" w:cs="Times New Roman"/>
          <w:b w:val="0"/>
          <w:i w:val="0"/>
          <w:sz w:val="20"/>
          <w:szCs w:val="28"/>
          <w:lang w:val="en-US" w:eastAsia="zh-CN"/>
        </w:rPr>
        <w:t>5.</w:t>
      </w:r>
    </w:p>
    <w:p w14:paraId="14DBFDE9">
      <w:pPr>
        <w:widowControl/>
        <w:rPr>
          <w:rFonts w:hint="default" w:ascii="Times New Roman" w:hAnsi="Times New Roman" w:cs="Times New Roman"/>
        </w:rPr>
      </w:pPr>
    </w:p>
    <w:p w14:paraId="512C128F">
      <w:pPr>
        <w:widowControl/>
        <w:spacing w:line="300" w:lineRule="auto"/>
        <w:rPr>
          <w:rFonts w:hint="default" w:ascii="Times New Roman" w:hAnsi="Times New Roman" w:eastAsia="宋体" w:cs="Times New Roman"/>
          <w:b/>
          <w:bCs/>
          <w:kern w:val="0"/>
          <w:sz w:val="24"/>
          <w:lang w:bidi="ar"/>
        </w:rPr>
      </w:pPr>
    </w:p>
    <w:p w14:paraId="22A1565F">
      <w:pPr>
        <w:rPr>
          <w:rFonts w:hint="default" w:ascii="Times New Roman" w:hAnsi="Times New Roman" w:cs="Times New Roman"/>
          <w:b/>
        </w:rPr>
      </w:pPr>
      <w:r>
        <w:rPr>
          <w:rFonts w:hint="default" w:ascii="Times New Roman" w:hAnsi="Times New Roman" w:cs="Times New Roman"/>
          <w:b/>
        </w:rPr>
        <w:br w:type="page"/>
      </w:r>
    </w:p>
    <w:p w14:paraId="11EC7453">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lang w:val="en-US" w:eastAsia="zh-CN"/>
        </w:rPr>
      </w:pPr>
      <w:r>
        <w:rPr>
          <w:rFonts w:hint="default" w:ascii="Times New Roman" w:hAnsi="Times New Roman" w:cs="Times New Roman"/>
          <w:i w:val="0"/>
          <w:sz w:val="22"/>
          <w:szCs w:val="22"/>
        </w:rPr>
        <w:t xml:space="preserve">Appendix Table 15. Temporal variation in the association between elite undergraduate education and senior </w:t>
      </w:r>
      <w:r>
        <w:rPr>
          <w:rFonts w:hint="default" w:ascii="Times New Roman" w:hAnsi="Times New Roman" w:cs="Times New Roman"/>
          <w:i w:val="0"/>
          <w:sz w:val="22"/>
          <w:szCs w:val="22"/>
          <w:lang w:val="en-US" w:eastAsia="zh-CN"/>
        </w:rPr>
        <w:t>government-position attainment in the LinkedIn public-administration sample</w:t>
      </w:r>
    </w:p>
    <w:p w14:paraId="41A17C19">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A. Position-record-level logit model (outcome: senior government position)</w:t>
      </w:r>
    </w:p>
    <w:tbl>
      <w:tblPr>
        <w:tblStyle w:val="5"/>
        <w:tblW w:w="0" w:type="auto"/>
        <w:jc w:val="center"/>
        <w:tblLayout w:type="fixed"/>
        <w:tblCellMar>
          <w:top w:w="0" w:type="dxa"/>
          <w:left w:w="108" w:type="dxa"/>
          <w:bottom w:w="0" w:type="dxa"/>
          <w:right w:w="108" w:type="dxa"/>
        </w:tblCellMar>
      </w:tblPr>
      <w:tblGrid>
        <w:gridCol w:w="2320"/>
        <w:gridCol w:w="1810"/>
        <w:gridCol w:w="2226"/>
        <w:gridCol w:w="2182"/>
      </w:tblGrid>
      <w:tr w14:paraId="62DB75D5">
        <w:tblPrEx>
          <w:tblCellMar>
            <w:top w:w="0" w:type="dxa"/>
            <w:left w:w="108" w:type="dxa"/>
            <w:bottom w:w="0" w:type="dxa"/>
            <w:right w:w="108" w:type="dxa"/>
          </w:tblCellMar>
        </w:tblPrEx>
        <w:trPr>
          <w:cantSplit/>
          <w:trHeight w:val="283" w:hRule="atLeast"/>
          <w:tblHeader/>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12A9F7FF">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Variable</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02F9DDC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Model 1: baseline</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2F93CC3F">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Model 2: career-stage adjustment</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F29CAF3">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Model 3: excluding elite master’s degree</w:t>
            </w:r>
          </w:p>
        </w:tc>
      </w:tr>
      <w:tr w14:paraId="412712DF">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6925300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bachelor’s degree</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434B794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0.923 </w:t>
            </w:r>
          </w:p>
          <w:p w14:paraId="23C2117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[0.575, 1.481]</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064E5A4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0.894 </w:t>
            </w:r>
          </w:p>
          <w:p w14:paraId="7BD5640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[0.557, 1.434]</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9DD79CC">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0.892 </w:t>
            </w:r>
          </w:p>
          <w:p w14:paraId="0570ED9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[0.556, 1.430]</w:t>
            </w:r>
          </w:p>
        </w:tc>
      </w:tr>
      <w:tr w14:paraId="286AF5C2">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27B9204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bachelor’s degree × 1995—2004</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7B26AC8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0.871 </w:t>
            </w:r>
          </w:p>
          <w:p w14:paraId="6D990B8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[0.502, 1.511]</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50A395A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0.887 </w:t>
            </w:r>
          </w:p>
          <w:p w14:paraId="1653D7D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[0.511, 1.540]</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D2BDA9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0.887 </w:t>
            </w:r>
          </w:p>
          <w:p w14:paraId="2D909E4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[0.511, 1.539]</w:t>
            </w:r>
          </w:p>
        </w:tc>
      </w:tr>
      <w:tr w14:paraId="2C5EF100">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327CFEB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bachelor’s degree × 2005—2014</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55FEE4DC">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1.140 </w:t>
            </w:r>
          </w:p>
          <w:p w14:paraId="5008F51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[0.697, 1.862]</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13A75838">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1.206 </w:t>
            </w:r>
          </w:p>
          <w:p w14:paraId="4D86263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[0.738, 1.971]</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49FD00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1.206 </w:t>
            </w:r>
          </w:p>
          <w:p w14:paraId="4A60CAD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[0.738, 1.971]</w:t>
            </w:r>
          </w:p>
        </w:tc>
      </w:tr>
      <w:tr w14:paraId="24ACB8FC">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42E5DBC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bachelor’s degree × 2015—2023</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0FB5A82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1.016 </w:t>
            </w:r>
          </w:p>
          <w:p w14:paraId="115D8A4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[0.623, 1.656]</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6FA7DDEB">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1.059 </w:t>
            </w:r>
          </w:p>
          <w:p w14:paraId="2F78B2C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[0.650, 1.726]</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EC6B0F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1.059 </w:t>
            </w:r>
          </w:p>
          <w:p w14:paraId="33E9E72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[0.650, 1.726]</w:t>
            </w:r>
          </w:p>
        </w:tc>
      </w:tr>
      <w:tr w14:paraId="167C8524">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17A4772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master’s degree</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23B782B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0.969 </w:t>
            </w:r>
          </w:p>
          <w:p w14:paraId="7700623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[0.870, 1.078]</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63F1EDD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0.993 </w:t>
            </w:r>
          </w:p>
          <w:p w14:paraId="02FD701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[0.893, 1.105]</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99BB84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w:t>
            </w:r>
          </w:p>
        </w:tc>
      </w:tr>
      <w:tr w14:paraId="5E17C957">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6F59A91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Female</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23280C5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0.520*** </w:t>
            </w:r>
          </w:p>
          <w:p w14:paraId="59EE19A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[0.475, 0.570]</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4A669FE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0.597*** </w:t>
            </w:r>
          </w:p>
          <w:p w14:paraId="51F40DD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[0.545, 0.655]</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2C111E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0.597*** </w:t>
            </w:r>
          </w:p>
          <w:p w14:paraId="7944C77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[0.545, 0.655]</w:t>
            </w:r>
          </w:p>
        </w:tc>
      </w:tr>
      <w:tr w14:paraId="465F8D5E">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6641ABF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Observed career duration</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17C941D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2F90618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1.154*** </w:t>
            </w:r>
          </w:p>
          <w:p w14:paraId="29695F6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[1.136, 1.173]</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927709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1.154*** </w:t>
            </w:r>
          </w:p>
          <w:p w14:paraId="1BF490B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[1.136, 1.173]</w:t>
            </w:r>
          </w:p>
        </w:tc>
      </w:tr>
      <w:tr w14:paraId="70D32069">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36286AA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Observed career duration²/100</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776C5DF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64F288A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0.757*** </w:t>
            </w:r>
          </w:p>
          <w:p w14:paraId="4A59A57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[0.715, 0.802]</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1C5975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0.757*** </w:t>
            </w:r>
          </w:p>
          <w:p w14:paraId="6E0E8B3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[0.715, 0.802]</w:t>
            </w:r>
          </w:p>
        </w:tc>
      </w:tr>
      <w:tr w14:paraId="0C24A2B5">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1E66CB1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1995—2004Period</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0FD8854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0.934 </w:t>
            </w:r>
          </w:p>
          <w:p w14:paraId="2DCC579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[0.709, 1.231]</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667C154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0.661** </w:t>
            </w:r>
          </w:p>
          <w:p w14:paraId="3FF0DF4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[0.501, 0.873]</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FEC531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0.661** </w:t>
            </w:r>
          </w:p>
          <w:p w14:paraId="186CE4B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[0.501, 0.873]</w:t>
            </w:r>
          </w:p>
        </w:tc>
      </w:tr>
      <w:tr w14:paraId="74F01139">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1C80844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2005—2014Period</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1BB1C3A3">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1.244 </w:t>
            </w:r>
          </w:p>
          <w:p w14:paraId="62BCAC7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[0.968, 1.599]</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78844EC3">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0.641*** </w:t>
            </w:r>
          </w:p>
          <w:p w14:paraId="74DAC42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[0.495, 0.829]</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F5A99C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0.641*** </w:t>
            </w:r>
          </w:p>
          <w:p w14:paraId="48C3A16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[0.495, 0.829]</w:t>
            </w:r>
          </w:p>
        </w:tc>
      </w:tr>
      <w:tr w14:paraId="0521F1A4">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7CEB1F6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2015—2023Period</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7A9881D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1.571*** </w:t>
            </w:r>
          </w:p>
          <w:p w14:paraId="0E159A1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[1.227, 2.011]</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1851149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0.609*** </w:t>
            </w:r>
          </w:p>
          <w:p w14:paraId="02BDE5A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[0.470, 0.789]</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6065F5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0.609*** </w:t>
            </w:r>
          </w:p>
          <w:p w14:paraId="57469E3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[0.470, 0.788]</w:t>
            </w:r>
          </w:p>
        </w:tc>
      </w:tr>
      <w:tr w14:paraId="4CB2C581">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3045EB4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Constant</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701EFCC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0.023*** </w:t>
            </w:r>
          </w:p>
          <w:p w14:paraId="7FBE025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[0.017, 0.031]</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4C806B9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0.020*** </w:t>
            </w:r>
          </w:p>
          <w:p w14:paraId="486675A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[0.014, 0.027]</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3B573C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 xml:space="preserve">0.020*** </w:t>
            </w:r>
          </w:p>
          <w:p w14:paraId="4B1977C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[0.014, 0.027]</w:t>
            </w:r>
          </w:p>
        </w:tc>
      </w:tr>
      <w:tr w14:paraId="695EF00F">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1771E71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Country fixed effects</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45C1917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Yes</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472A54C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Yes</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2DFA46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Yes</w:t>
            </w:r>
          </w:p>
        </w:tc>
      </w:tr>
      <w:tr w14:paraId="168C9496">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26B05E0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Position records</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4AE11E1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178,284</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37C4E26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178,284</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D68E79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178,284</w:t>
            </w:r>
          </w:p>
        </w:tc>
      </w:tr>
      <w:tr w14:paraId="6EF454AA">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6747DB1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Individuals</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69BDBFB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93,166</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1D9EBDD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93,166</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EA1EC0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93,166</w:t>
            </w:r>
          </w:p>
        </w:tc>
      </w:tr>
      <w:tr w14:paraId="024CCF51">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nil"/>
              <w:right w:val="nil"/>
            </w:tcBorders>
            <w:tcMar>
              <w:top w:w="-1" w:type="dxa"/>
              <w:left w:w="-1" w:type="dxa"/>
              <w:bottom w:w="-1" w:type="dxa"/>
              <w:right w:w="-1" w:type="dxa"/>
            </w:tcMar>
            <w:vAlign w:val="center"/>
          </w:tcPr>
          <w:p w14:paraId="01A790E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Joint test: elite bachelor’s × period</w:t>
            </w:r>
          </w:p>
        </w:tc>
        <w:tc>
          <w:tcPr>
            <w:tcW w:w="1810" w:type="dxa"/>
            <w:tcBorders>
              <w:top w:val="single" w:color="auto" w:sz="4" w:space="0"/>
              <w:left w:val="single" w:color="auto" w:sz="4" w:space="0"/>
              <w:bottom w:val="nil"/>
              <w:right w:val="nil"/>
            </w:tcBorders>
            <w:tcMar>
              <w:top w:w="-1" w:type="dxa"/>
              <w:left w:w="-1" w:type="dxa"/>
              <w:bottom w:w="-1" w:type="dxa"/>
              <w:right w:w="-1" w:type="dxa"/>
            </w:tcMar>
            <w:vAlign w:val="center"/>
          </w:tcPr>
          <w:p w14:paraId="17E0421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χ²(3)=3.09, p=0.378</w:t>
            </w:r>
          </w:p>
        </w:tc>
        <w:tc>
          <w:tcPr>
            <w:tcW w:w="2226" w:type="dxa"/>
            <w:tcBorders>
              <w:top w:val="single" w:color="auto" w:sz="4" w:space="0"/>
              <w:left w:val="single" w:color="auto" w:sz="4" w:space="0"/>
              <w:bottom w:val="nil"/>
              <w:right w:val="nil"/>
            </w:tcBorders>
            <w:tcMar>
              <w:top w:w="-1" w:type="dxa"/>
              <w:left w:w="-1" w:type="dxa"/>
              <w:bottom w:w="-1" w:type="dxa"/>
              <w:right w:w="-1" w:type="dxa"/>
            </w:tcMar>
            <w:vAlign w:val="center"/>
          </w:tcPr>
          <w:p w14:paraId="6F46C63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χ²(3)=4.08, p=0.253</w:t>
            </w:r>
          </w:p>
        </w:tc>
        <w:tc>
          <w:tcPr>
            <w:tcW w:w="218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992AB8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χ²(3)=4.08, p=0.253</w:t>
            </w:r>
          </w:p>
        </w:tc>
      </w:tr>
      <w:tr w14:paraId="34E05FDD">
        <w:tblPrEx>
          <w:tblCellMar>
            <w:top w:w="0" w:type="dxa"/>
            <w:left w:w="108" w:type="dxa"/>
            <w:bottom w:w="0" w:type="dxa"/>
            <w:right w:w="108" w:type="dxa"/>
          </w:tblCellMar>
        </w:tblPrEx>
        <w:trPr>
          <w:cantSplit/>
          <w:trHeight w:val="283" w:hRule="atLeast"/>
          <w:jc w:val="center"/>
        </w:trPr>
        <w:tc>
          <w:tcPr>
            <w:tcW w:w="232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C841FF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Pseudo R²</w:t>
            </w:r>
          </w:p>
        </w:tc>
        <w:tc>
          <w:tcPr>
            <w:tcW w:w="181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CC5B63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0.0141</w:t>
            </w:r>
          </w:p>
        </w:tc>
        <w:tc>
          <w:tcPr>
            <w:tcW w:w="222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E4F487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0.0453</w:t>
            </w:r>
          </w:p>
        </w:tc>
        <w:tc>
          <w:tcPr>
            <w:tcW w:w="2182"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B8CD8B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0.0453</w:t>
            </w:r>
          </w:p>
        </w:tc>
      </w:tr>
    </w:tbl>
    <w:p w14:paraId="003A584C">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Period-specific effects of elite undergraduate education</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981"/>
        <w:gridCol w:w="1551"/>
        <w:gridCol w:w="1615"/>
        <w:gridCol w:w="793"/>
        <w:gridCol w:w="1349"/>
        <w:gridCol w:w="964"/>
      </w:tblGrid>
      <w:tr w14:paraId="4E23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blHeader/>
          <w:jc w:val="center"/>
        </w:trPr>
        <w:tc>
          <w:tcPr>
            <w:tcW w:w="1266" w:type="dxa"/>
            <w:vAlign w:val="center"/>
          </w:tcPr>
          <w:p w14:paraId="07186E8A">
            <w:pPr>
              <w:widowControl/>
              <w:snapToGrid w:val="0"/>
              <w:spacing w:before="0" w:after="0" w:line="240" w:lineRule="auto"/>
              <w:jc w:val="center"/>
              <w:textAlignment w:val="center"/>
              <w:rPr>
                <w:rFonts w:hint="default" w:ascii="Times New Roman" w:hAnsi="Times New Roman" w:cs="Times New Roman"/>
                <w:b/>
                <w:bCs/>
              </w:rPr>
            </w:pPr>
            <w:r>
              <w:rPr>
                <w:rFonts w:hint="default" w:ascii="Times New Roman" w:hAnsi="Times New Roman" w:cs="Times New Roman"/>
                <w:b/>
                <w:bCs/>
              </w:rPr>
              <w:t>Position-</w:t>
            </w:r>
          </w:p>
          <w:p w14:paraId="66C46A4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record period</w:t>
            </w:r>
          </w:p>
        </w:tc>
        <w:tc>
          <w:tcPr>
            <w:tcW w:w="981" w:type="dxa"/>
            <w:vAlign w:val="center"/>
          </w:tcPr>
          <w:p w14:paraId="18629FD6">
            <w:pPr>
              <w:widowControl/>
              <w:snapToGrid w:val="0"/>
              <w:spacing w:before="0" w:after="0" w:line="240" w:lineRule="auto"/>
              <w:jc w:val="center"/>
              <w:textAlignment w:val="center"/>
              <w:rPr>
                <w:rFonts w:hint="default" w:ascii="Times New Roman" w:hAnsi="Times New Roman" w:cs="Times New Roman"/>
                <w:b/>
                <w:bCs/>
              </w:rPr>
            </w:pPr>
            <w:r>
              <w:rPr>
                <w:rFonts w:hint="default" w:ascii="Times New Roman" w:hAnsi="Times New Roman" w:cs="Times New Roman"/>
                <w:b/>
                <w:bCs/>
              </w:rPr>
              <w:t>Period-</w:t>
            </w:r>
          </w:p>
          <w:p w14:paraId="642D8D58">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specific OR</w:t>
            </w:r>
          </w:p>
        </w:tc>
        <w:tc>
          <w:tcPr>
            <w:tcW w:w="1551" w:type="dxa"/>
            <w:vAlign w:val="center"/>
          </w:tcPr>
          <w:p w14:paraId="4F389047">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Predicted probability, non-elite bachelor’s (%)</w:t>
            </w:r>
          </w:p>
        </w:tc>
        <w:tc>
          <w:tcPr>
            <w:tcW w:w="1615" w:type="dxa"/>
            <w:vAlign w:val="center"/>
          </w:tcPr>
          <w:p w14:paraId="178B24F9">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Predicted probability, elite bachelor’s (%)</w:t>
            </w:r>
          </w:p>
        </w:tc>
        <w:tc>
          <w:tcPr>
            <w:tcW w:w="793" w:type="dxa"/>
            <w:vAlign w:val="center"/>
          </w:tcPr>
          <w:p w14:paraId="5C9D7234">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AME</w:t>
            </w:r>
          </w:p>
          <w:p w14:paraId="2E796109">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w:t>
            </w:r>
          </w:p>
        </w:tc>
        <w:tc>
          <w:tcPr>
            <w:tcW w:w="1349" w:type="dxa"/>
            <w:vAlign w:val="center"/>
          </w:tcPr>
          <w:p w14:paraId="36266059">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w:t>
            </w:r>
          </w:p>
        </w:tc>
        <w:tc>
          <w:tcPr>
            <w:tcW w:w="964" w:type="dxa"/>
            <w:vAlign w:val="center"/>
          </w:tcPr>
          <w:p w14:paraId="33194976">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r>
      <w:tr w14:paraId="6BFB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66" w:type="dxa"/>
            <w:vAlign w:val="center"/>
          </w:tcPr>
          <w:p w14:paraId="699CE17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1985—1994</w:t>
            </w:r>
          </w:p>
        </w:tc>
        <w:tc>
          <w:tcPr>
            <w:tcW w:w="981" w:type="dxa"/>
            <w:vAlign w:val="center"/>
          </w:tcPr>
          <w:p w14:paraId="05D251E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0.894</w:t>
            </w:r>
          </w:p>
        </w:tc>
        <w:tc>
          <w:tcPr>
            <w:tcW w:w="1551" w:type="dxa"/>
            <w:vAlign w:val="center"/>
          </w:tcPr>
          <w:p w14:paraId="19389D19">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1.22</w:t>
            </w:r>
          </w:p>
        </w:tc>
        <w:tc>
          <w:tcPr>
            <w:tcW w:w="1615" w:type="dxa"/>
            <w:vAlign w:val="center"/>
          </w:tcPr>
          <w:p w14:paraId="23D616D7">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1.09</w:t>
            </w:r>
          </w:p>
        </w:tc>
        <w:tc>
          <w:tcPr>
            <w:tcW w:w="793" w:type="dxa"/>
            <w:vAlign w:val="center"/>
          </w:tcPr>
          <w:p w14:paraId="666C675A">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-0.13</w:t>
            </w:r>
          </w:p>
        </w:tc>
        <w:tc>
          <w:tcPr>
            <w:tcW w:w="1349" w:type="dxa"/>
            <w:vAlign w:val="center"/>
          </w:tcPr>
          <w:p w14:paraId="4AF9B6C5">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[-0.65, 0.40]</w:t>
            </w:r>
          </w:p>
        </w:tc>
        <w:tc>
          <w:tcPr>
            <w:tcW w:w="964" w:type="dxa"/>
            <w:vAlign w:val="center"/>
          </w:tcPr>
          <w:p w14:paraId="490B6DE6">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0.633</w:t>
            </w:r>
          </w:p>
        </w:tc>
      </w:tr>
      <w:tr w14:paraId="2560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66" w:type="dxa"/>
            <w:vAlign w:val="center"/>
          </w:tcPr>
          <w:p w14:paraId="1468D45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1995—2004</w:t>
            </w:r>
          </w:p>
        </w:tc>
        <w:tc>
          <w:tcPr>
            <w:tcW w:w="981" w:type="dxa"/>
            <w:vAlign w:val="center"/>
          </w:tcPr>
          <w:p w14:paraId="12BADFC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0.793</w:t>
            </w:r>
          </w:p>
        </w:tc>
        <w:tc>
          <w:tcPr>
            <w:tcW w:w="1551" w:type="dxa"/>
            <w:vAlign w:val="center"/>
          </w:tcPr>
          <w:p w14:paraId="4409E120">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1.08</w:t>
            </w:r>
          </w:p>
        </w:tc>
        <w:tc>
          <w:tcPr>
            <w:tcW w:w="1615" w:type="dxa"/>
            <w:vAlign w:val="center"/>
          </w:tcPr>
          <w:p w14:paraId="5C1B2D11">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0.86</w:t>
            </w:r>
          </w:p>
        </w:tc>
        <w:tc>
          <w:tcPr>
            <w:tcW w:w="793" w:type="dxa"/>
            <w:vAlign w:val="center"/>
          </w:tcPr>
          <w:p w14:paraId="745AF3DC">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-0.22</w:t>
            </w:r>
          </w:p>
        </w:tc>
        <w:tc>
          <w:tcPr>
            <w:tcW w:w="1349" w:type="dxa"/>
            <w:vAlign w:val="center"/>
          </w:tcPr>
          <w:p w14:paraId="770BEFD9">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[-0.50, 0.06]</w:t>
            </w:r>
          </w:p>
        </w:tc>
        <w:tc>
          <w:tcPr>
            <w:tcW w:w="964" w:type="dxa"/>
            <w:vAlign w:val="center"/>
          </w:tcPr>
          <w:p w14:paraId="6BFC4CF3">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0.120</w:t>
            </w:r>
          </w:p>
        </w:tc>
      </w:tr>
      <w:tr w14:paraId="2D08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66" w:type="dxa"/>
            <w:vAlign w:val="center"/>
          </w:tcPr>
          <w:p w14:paraId="234E49F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2005—2014</w:t>
            </w:r>
          </w:p>
        </w:tc>
        <w:tc>
          <w:tcPr>
            <w:tcW w:w="981" w:type="dxa"/>
            <w:vAlign w:val="center"/>
          </w:tcPr>
          <w:p w14:paraId="089AF40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1.078</w:t>
            </w:r>
          </w:p>
        </w:tc>
        <w:tc>
          <w:tcPr>
            <w:tcW w:w="1551" w:type="dxa"/>
            <w:vAlign w:val="center"/>
          </w:tcPr>
          <w:p w14:paraId="40B1CC9C">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1.38</w:t>
            </w:r>
          </w:p>
        </w:tc>
        <w:tc>
          <w:tcPr>
            <w:tcW w:w="1615" w:type="dxa"/>
            <w:vAlign w:val="center"/>
          </w:tcPr>
          <w:p w14:paraId="09DEA550">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1.48</w:t>
            </w:r>
          </w:p>
        </w:tc>
        <w:tc>
          <w:tcPr>
            <w:tcW w:w="793" w:type="dxa"/>
            <w:vAlign w:val="center"/>
          </w:tcPr>
          <w:p w14:paraId="0F213153">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0.11</w:t>
            </w:r>
          </w:p>
        </w:tc>
        <w:tc>
          <w:tcPr>
            <w:tcW w:w="1349" w:type="dxa"/>
            <w:vAlign w:val="center"/>
          </w:tcPr>
          <w:p w14:paraId="0BF08608">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[-0.12, 0.33]</w:t>
            </w:r>
          </w:p>
        </w:tc>
        <w:tc>
          <w:tcPr>
            <w:tcW w:w="964" w:type="dxa"/>
            <w:vAlign w:val="center"/>
          </w:tcPr>
          <w:p w14:paraId="4F7E2267">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0.368</w:t>
            </w:r>
          </w:p>
        </w:tc>
      </w:tr>
      <w:tr w14:paraId="3295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266" w:type="dxa"/>
            <w:vAlign w:val="center"/>
          </w:tcPr>
          <w:p w14:paraId="3B63AE5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2015—2023</w:t>
            </w:r>
          </w:p>
        </w:tc>
        <w:tc>
          <w:tcPr>
            <w:tcW w:w="981" w:type="dxa"/>
            <w:vAlign w:val="center"/>
          </w:tcPr>
          <w:p w14:paraId="38FB143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0.947</w:t>
            </w:r>
          </w:p>
        </w:tc>
        <w:tc>
          <w:tcPr>
            <w:tcW w:w="1551" w:type="dxa"/>
            <w:vAlign w:val="center"/>
          </w:tcPr>
          <w:p w14:paraId="78AAF798">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1.66</w:t>
            </w:r>
          </w:p>
        </w:tc>
        <w:tc>
          <w:tcPr>
            <w:tcW w:w="1615" w:type="dxa"/>
            <w:vAlign w:val="center"/>
          </w:tcPr>
          <w:p w14:paraId="32A07019">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1.57</w:t>
            </w:r>
          </w:p>
        </w:tc>
        <w:tc>
          <w:tcPr>
            <w:tcW w:w="793" w:type="dxa"/>
            <w:vAlign w:val="center"/>
          </w:tcPr>
          <w:p w14:paraId="4021F1D5">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-0.09</w:t>
            </w:r>
          </w:p>
        </w:tc>
        <w:tc>
          <w:tcPr>
            <w:tcW w:w="1349" w:type="dxa"/>
            <w:vAlign w:val="center"/>
          </w:tcPr>
          <w:p w14:paraId="144B0722">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[-0.30, 0.13]</w:t>
            </w:r>
          </w:p>
        </w:tc>
        <w:tc>
          <w:tcPr>
            <w:tcW w:w="964" w:type="dxa"/>
            <w:vAlign w:val="center"/>
          </w:tcPr>
          <w:p w14:paraId="62CDC4C1">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0.434</w:t>
            </w:r>
          </w:p>
        </w:tc>
      </w:tr>
    </w:tbl>
    <w:p w14:paraId="628BFE79">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 xml:space="preserve">Note. The unit of analysis is a LinkedIn government or public-administration position record. The outcome equals one for Revelio seniority levels </w:t>
      </w:r>
      <w:r>
        <w:rPr>
          <w:rFonts w:hint="eastAsia" w:cs="Times New Roman"/>
          <w:b w:val="0"/>
          <w:i w:val="0"/>
          <w:sz w:val="20"/>
          <w:szCs w:val="28"/>
          <w:lang w:val="en-US" w:eastAsia="zh-CN"/>
        </w:rPr>
        <w:t>6</w:t>
      </w:r>
      <w:r>
        <w:rPr>
          <w:rFonts w:hint="default" w:ascii="Times New Roman" w:hAnsi="Times New Roman" w:cs="Times New Roman"/>
          <w:b w:val="0"/>
          <w:i w:val="0"/>
          <w:sz w:val="20"/>
          <w:szCs w:val="28"/>
        </w:rPr>
        <w:t>–7 and zero for lower levels. Periods are based on position-record year, with 1985–1994 as the reference. Observed career duration is position year minus first observed employment year; its squared term is divided by 100. Model 1 controls for elite master’s education, gender, period, and country; Model 2 adds observed career duration and its square; Model 3 omits elite master’s education from Model 2. Users were randomly sampled and all public-administration records for selected users were retained; standard errors are clustered by user ID. Panel B is based on Model 2 and averages predictions over the observed covariate distribution. *** p &lt; 0.001, ** p &lt; 0.01, * p &lt; 0.05</w:t>
      </w:r>
      <w:r>
        <w:rPr>
          <w:rFonts w:hint="default" w:ascii="Times New Roman" w:hAnsi="Times New Roman" w:cs="Times New Roman"/>
          <w:b w:val="0"/>
          <w:i w:val="0"/>
          <w:sz w:val="20"/>
          <w:szCs w:val="28"/>
          <w:lang w:val="en-US" w:eastAsia="zh-CN"/>
        </w:rPr>
        <w:t>.</w:t>
      </w:r>
    </w:p>
    <w:p w14:paraId="0A93DFB9">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C. Individual-level logit model of senior-position attainment within ten years of first observed public-administration employment</w:t>
      </w:r>
    </w:p>
    <w:tbl>
      <w:tblPr>
        <w:tblStyle w:val="5"/>
        <w:tblW w:w="0" w:type="auto"/>
        <w:jc w:val="center"/>
        <w:tblLayout w:type="fixed"/>
        <w:tblCellMar>
          <w:top w:w="0" w:type="dxa"/>
          <w:left w:w="108" w:type="dxa"/>
          <w:bottom w:w="0" w:type="dxa"/>
          <w:right w:w="108" w:type="dxa"/>
        </w:tblCellMar>
      </w:tblPr>
      <w:tblGrid>
        <w:gridCol w:w="4814"/>
        <w:gridCol w:w="3263"/>
      </w:tblGrid>
      <w:tr w14:paraId="45301FB2">
        <w:tblPrEx>
          <w:tblCellMar>
            <w:top w:w="0" w:type="dxa"/>
            <w:left w:w="108" w:type="dxa"/>
            <w:bottom w:w="0" w:type="dxa"/>
            <w:right w:w="108" w:type="dxa"/>
          </w:tblCellMar>
        </w:tblPrEx>
        <w:trPr>
          <w:cantSplit/>
          <w:trHeight w:val="283" w:hRule="atLeast"/>
          <w:tblHeader/>
          <w:jc w:val="center"/>
        </w:trPr>
        <w:tc>
          <w:tcPr>
            <w:tcW w:w="4814" w:type="dxa"/>
            <w:tcBorders>
              <w:top w:val="single" w:color="auto" w:sz="4" w:space="0"/>
              <w:left w:val="single" w:color="auto" w:sz="4" w:space="0"/>
              <w:bottom w:val="nil"/>
              <w:right w:val="nil"/>
            </w:tcBorders>
            <w:tcMar>
              <w:top w:w="-1" w:type="dxa"/>
              <w:left w:w="-1" w:type="dxa"/>
              <w:bottom w:w="-1" w:type="dxa"/>
              <w:right w:w="-1" w:type="dxa"/>
            </w:tcMar>
            <w:vAlign w:val="center"/>
          </w:tcPr>
          <w:p w14:paraId="1231A88D">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Variable</w:t>
            </w:r>
          </w:p>
        </w:tc>
        <w:tc>
          <w:tcPr>
            <w:tcW w:w="326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F429286">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Government domain: senior government position</w:t>
            </w:r>
          </w:p>
        </w:tc>
      </w:tr>
      <w:tr w14:paraId="0743E94B">
        <w:tblPrEx>
          <w:tblCellMar>
            <w:top w:w="0" w:type="dxa"/>
            <w:left w:w="108" w:type="dxa"/>
            <w:bottom w:w="0" w:type="dxa"/>
            <w:right w:w="108" w:type="dxa"/>
          </w:tblCellMar>
        </w:tblPrEx>
        <w:trPr>
          <w:cantSplit/>
          <w:trHeight w:val="283" w:hRule="atLeast"/>
          <w:jc w:val="center"/>
        </w:trPr>
        <w:tc>
          <w:tcPr>
            <w:tcW w:w="4814" w:type="dxa"/>
            <w:tcBorders>
              <w:top w:val="single" w:color="auto" w:sz="4" w:space="0"/>
              <w:left w:val="single" w:color="auto" w:sz="4" w:space="0"/>
              <w:bottom w:val="nil"/>
              <w:right w:val="nil"/>
            </w:tcBorders>
            <w:tcMar>
              <w:top w:w="-1" w:type="dxa"/>
              <w:left w:w="-1" w:type="dxa"/>
              <w:bottom w:w="-1" w:type="dxa"/>
              <w:right w:w="-1" w:type="dxa"/>
            </w:tcMar>
            <w:vAlign w:val="center"/>
          </w:tcPr>
          <w:p w14:paraId="46B694A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bachelor’s degree</w:t>
            </w:r>
          </w:p>
        </w:tc>
        <w:tc>
          <w:tcPr>
            <w:tcW w:w="326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548092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1.307*** [1.180, 1.449]</w:t>
            </w:r>
          </w:p>
        </w:tc>
      </w:tr>
      <w:tr w14:paraId="28165691">
        <w:tblPrEx>
          <w:tblCellMar>
            <w:top w:w="0" w:type="dxa"/>
            <w:left w:w="108" w:type="dxa"/>
            <w:bottom w:w="0" w:type="dxa"/>
            <w:right w:w="108" w:type="dxa"/>
          </w:tblCellMar>
        </w:tblPrEx>
        <w:trPr>
          <w:cantSplit/>
          <w:trHeight w:val="283" w:hRule="atLeast"/>
          <w:jc w:val="center"/>
        </w:trPr>
        <w:tc>
          <w:tcPr>
            <w:tcW w:w="4814" w:type="dxa"/>
            <w:tcBorders>
              <w:top w:val="single" w:color="auto" w:sz="4" w:space="0"/>
              <w:left w:val="single" w:color="auto" w:sz="4" w:space="0"/>
              <w:bottom w:val="nil"/>
              <w:right w:val="nil"/>
            </w:tcBorders>
            <w:tcMar>
              <w:top w:w="-1" w:type="dxa"/>
              <w:left w:w="-1" w:type="dxa"/>
              <w:bottom w:w="-1" w:type="dxa"/>
              <w:right w:w="-1" w:type="dxa"/>
            </w:tcMar>
            <w:vAlign w:val="center"/>
          </w:tcPr>
          <w:p w14:paraId="2236B42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bachelor’s degree × 1995—2004 entry cohort</w:t>
            </w:r>
          </w:p>
        </w:tc>
        <w:tc>
          <w:tcPr>
            <w:tcW w:w="326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F4C4AD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0.840** [0.745, 0.947]</w:t>
            </w:r>
          </w:p>
        </w:tc>
      </w:tr>
      <w:tr w14:paraId="4588B8BC">
        <w:tblPrEx>
          <w:tblCellMar>
            <w:top w:w="0" w:type="dxa"/>
            <w:left w:w="108" w:type="dxa"/>
            <w:bottom w:w="0" w:type="dxa"/>
            <w:right w:w="108" w:type="dxa"/>
          </w:tblCellMar>
        </w:tblPrEx>
        <w:trPr>
          <w:cantSplit/>
          <w:trHeight w:val="283" w:hRule="atLeast"/>
          <w:jc w:val="center"/>
        </w:trPr>
        <w:tc>
          <w:tcPr>
            <w:tcW w:w="4814" w:type="dxa"/>
            <w:tcBorders>
              <w:top w:val="single" w:color="auto" w:sz="4" w:space="0"/>
              <w:left w:val="single" w:color="auto" w:sz="4" w:space="0"/>
              <w:bottom w:val="nil"/>
              <w:right w:val="nil"/>
            </w:tcBorders>
            <w:tcMar>
              <w:top w:w="-1" w:type="dxa"/>
              <w:left w:w="-1" w:type="dxa"/>
              <w:bottom w:w="-1" w:type="dxa"/>
              <w:right w:w="-1" w:type="dxa"/>
            </w:tcMar>
            <w:vAlign w:val="center"/>
          </w:tcPr>
          <w:p w14:paraId="2266739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bachelor’s degree × 2005—2014 entry cohort</w:t>
            </w:r>
          </w:p>
        </w:tc>
        <w:tc>
          <w:tcPr>
            <w:tcW w:w="326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3D07C3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0.816*** [0.726, 0.918]</w:t>
            </w:r>
          </w:p>
        </w:tc>
      </w:tr>
      <w:tr w14:paraId="21629076">
        <w:tblPrEx>
          <w:tblCellMar>
            <w:top w:w="0" w:type="dxa"/>
            <w:left w:w="108" w:type="dxa"/>
            <w:bottom w:w="0" w:type="dxa"/>
            <w:right w:w="108" w:type="dxa"/>
          </w:tblCellMar>
        </w:tblPrEx>
        <w:trPr>
          <w:cantSplit/>
          <w:trHeight w:val="283" w:hRule="atLeast"/>
          <w:jc w:val="center"/>
        </w:trPr>
        <w:tc>
          <w:tcPr>
            <w:tcW w:w="4814" w:type="dxa"/>
            <w:tcBorders>
              <w:top w:val="single" w:color="auto" w:sz="4" w:space="0"/>
              <w:left w:val="single" w:color="auto" w:sz="4" w:space="0"/>
              <w:bottom w:val="nil"/>
              <w:right w:val="nil"/>
            </w:tcBorders>
            <w:tcMar>
              <w:top w:w="-1" w:type="dxa"/>
              <w:left w:w="-1" w:type="dxa"/>
              <w:bottom w:w="-1" w:type="dxa"/>
              <w:right w:w="-1" w:type="dxa"/>
            </w:tcMar>
            <w:vAlign w:val="center"/>
          </w:tcPr>
          <w:p w14:paraId="4444A57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master’s degree</w:t>
            </w:r>
          </w:p>
        </w:tc>
        <w:tc>
          <w:tcPr>
            <w:tcW w:w="326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0C9B5D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1.130*** [1.083, 1.179]</w:t>
            </w:r>
          </w:p>
        </w:tc>
      </w:tr>
      <w:tr w14:paraId="08760012">
        <w:tblPrEx>
          <w:tblCellMar>
            <w:top w:w="0" w:type="dxa"/>
            <w:left w:w="108" w:type="dxa"/>
            <w:bottom w:w="0" w:type="dxa"/>
            <w:right w:w="108" w:type="dxa"/>
          </w:tblCellMar>
        </w:tblPrEx>
        <w:trPr>
          <w:cantSplit/>
          <w:trHeight w:val="283" w:hRule="atLeast"/>
          <w:jc w:val="center"/>
        </w:trPr>
        <w:tc>
          <w:tcPr>
            <w:tcW w:w="4814" w:type="dxa"/>
            <w:tcBorders>
              <w:top w:val="single" w:color="auto" w:sz="4" w:space="0"/>
              <w:left w:val="single" w:color="auto" w:sz="4" w:space="0"/>
              <w:bottom w:val="nil"/>
              <w:right w:val="nil"/>
            </w:tcBorders>
            <w:tcMar>
              <w:top w:w="-1" w:type="dxa"/>
              <w:left w:w="-1" w:type="dxa"/>
              <w:bottom w:w="-1" w:type="dxa"/>
              <w:right w:w="-1" w:type="dxa"/>
            </w:tcMar>
            <w:vAlign w:val="center"/>
          </w:tcPr>
          <w:p w14:paraId="672F962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Female</w:t>
            </w:r>
          </w:p>
        </w:tc>
        <w:tc>
          <w:tcPr>
            <w:tcW w:w="326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02569F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0.514*** [0.494, 0.535]</w:t>
            </w:r>
          </w:p>
        </w:tc>
      </w:tr>
      <w:tr w14:paraId="54A3CE80">
        <w:tblPrEx>
          <w:tblCellMar>
            <w:top w:w="0" w:type="dxa"/>
            <w:left w:w="108" w:type="dxa"/>
            <w:bottom w:w="0" w:type="dxa"/>
            <w:right w:w="108" w:type="dxa"/>
          </w:tblCellMar>
        </w:tblPrEx>
        <w:trPr>
          <w:cantSplit/>
          <w:trHeight w:val="283" w:hRule="atLeast"/>
          <w:jc w:val="center"/>
        </w:trPr>
        <w:tc>
          <w:tcPr>
            <w:tcW w:w="4814" w:type="dxa"/>
            <w:tcBorders>
              <w:top w:val="single" w:color="auto" w:sz="4" w:space="0"/>
              <w:left w:val="single" w:color="auto" w:sz="4" w:space="0"/>
              <w:bottom w:val="nil"/>
              <w:right w:val="nil"/>
            </w:tcBorders>
            <w:tcMar>
              <w:top w:w="-1" w:type="dxa"/>
              <w:left w:w="-1" w:type="dxa"/>
              <w:bottom w:w="-1" w:type="dxa"/>
              <w:right w:w="-1" w:type="dxa"/>
            </w:tcMar>
            <w:vAlign w:val="center"/>
          </w:tcPr>
          <w:p w14:paraId="7C80B18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Constant</w:t>
            </w:r>
          </w:p>
        </w:tc>
        <w:tc>
          <w:tcPr>
            <w:tcW w:w="326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6EC01D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0.039*** [0.035, 0.044]</w:t>
            </w:r>
          </w:p>
        </w:tc>
      </w:tr>
      <w:tr w14:paraId="3E6B0435">
        <w:tblPrEx>
          <w:tblCellMar>
            <w:top w:w="0" w:type="dxa"/>
            <w:left w:w="108" w:type="dxa"/>
            <w:bottom w:w="0" w:type="dxa"/>
            <w:right w:w="108" w:type="dxa"/>
          </w:tblCellMar>
        </w:tblPrEx>
        <w:trPr>
          <w:cantSplit/>
          <w:trHeight w:val="283" w:hRule="atLeast"/>
          <w:jc w:val="center"/>
        </w:trPr>
        <w:tc>
          <w:tcPr>
            <w:tcW w:w="4814" w:type="dxa"/>
            <w:tcBorders>
              <w:top w:val="single" w:color="auto" w:sz="4" w:space="0"/>
              <w:left w:val="single" w:color="auto" w:sz="4" w:space="0"/>
              <w:bottom w:val="nil"/>
              <w:right w:val="nil"/>
            </w:tcBorders>
            <w:tcMar>
              <w:top w:w="-1" w:type="dxa"/>
              <w:left w:w="-1" w:type="dxa"/>
              <w:bottom w:w="-1" w:type="dxa"/>
              <w:right w:w="-1" w:type="dxa"/>
            </w:tcMar>
            <w:vAlign w:val="center"/>
          </w:tcPr>
          <w:p w14:paraId="585770B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Industry fixed effects</w:t>
            </w:r>
          </w:p>
        </w:tc>
        <w:tc>
          <w:tcPr>
            <w:tcW w:w="326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392501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Not applicable</w:t>
            </w:r>
          </w:p>
        </w:tc>
      </w:tr>
      <w:tr w14:paraId="4AD9B10D">
        <w:tblPrEx>
          <w:tblCellMar>
            <w:top w:w="0" w:type="dxa"/>
            <w:left w:w="108" w:type="dxa"/>
            <w:bottom w:w="0" w:type="dxa"/>
            <w:right w:w="108" w:type="dxa"/>
          </w:tblCellMar>
        </w:tblPrEx>
        <w:trPr>
          <w:cantSplit/>
          <w:trHeight w:val="283" w:hRule="atLeast"/>
          <w:jc w:val="center"/>
        </w:trPr>
        <w:tc>
          <w:tcPr>
            <w:tcW w:w="4814" w:type="dxa"/>
            <w:tcBorders>
              <w:top w:val="single" w:color="auto" w:sz="4" w:space="0"/>
              <w:left w:val="single" w:color="auto" w:sz="4" w:space="0"/>
              <w:bottom w:val="nil"/>
              <w:right w:val="nil"/>
            </w:tcBorders>
            <w:tcMar>
              <w:top w:w="-1" w:type="dxa"/>
              <w:left w:w="-1" w:type="dxa"/>
              <w:bottom w:w="-1" w:type="dxa"/>
              <w:right w:w="-1" w:type="dxa"/>
            </w:tcMar>
            <w:vAlign w:val="center"/>
          </w:tcPr>
          <w:p w14:paraId="6DD6F26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Country fixed effects</w:t>
            </w:r>
          </w:p>
        </w:tc>
        <w:tc>
          <w:tcPr>
            <w:tcW w:w="326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9BBD2B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Yes</w:t>
            </w:r>
          </w:p>
        </w:tc>
      </w:tr>
      <w:tr w14:paraId="406B6249">
        <w:tblPrEx>
          <w:tblCellMar>
            <w:top w:w="0" w:type="dxa"/>
            <w:left w:w="108" w:type="dxa"/>
            <w:bottom w:w="0" w:type="dxa"/>
            <w:right w:w="108" w:type="dxa"/>
          </w:tblCellMar>
        </w:tblPrEx>
        <w:trPr>
          <w:cantSplit/>
          <w:trHeight w:val="283" w:hRule="atLeast"/>
          <w:jc w:val="center"/>
        </w:trPr>
        <w:tc>
          <w:tcPr>
            <w:tcW w:w="4814" w:type="dxa"/>
            <w:tcBorders>
              <w:top w:val="single" w:color="auto" w:sz="4" w:space="0"/>
              <w:left w:val="single" w:color="auto" w:sz="4" w:space="0"/>
              <w:bottom w:val="nil"/>
              <w:right w:val="nil"/>
            </w:tcBorders>
            <w:tcMar>
              <w:top w:w="-1" w:type="dxa"/>
              <w:left w:w="-1" w:type="dxa"/>
              <w:bottom w:w="-1" w:type="dxa"/>
              <w:right w:w="-1" w:type="dxa"/>
            </w:tcMar>
            <w:vAlign w:val="center"/>
          </w:tcPr>
          <w:p w14:paraId="3E630C8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Individuals</w:t>
            </w:r>
          </w:p>
        </w:tc>
        <w:tc>
          <w:tcPr>
            <w:tcW w:w="326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74CD7B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325,919</w:t>
            </w:r>
          </w:p>
        </w:tc>
      </w:tr>
      <w:tr w14:paraId="2FF9B596">
        <w:tblPrEx>
          <w:tblCellMar>
            <w:top w:w="0" w:type="dxa"/>
            <w:left w:w="108" w:type="dxa"/>
            <w:bottom w:w="0" w:type="dxa"/>
            <w:right w:w="108" w:type="dxa"/>
          </w:tblCellMar>
        </w:tblPrEx>
        <w:trPr>
          <w:cantSplit/>
          <w:trHeight w:val="283" w:hRule="atLeast"/>
          <w:jc w:val="center"/>
        </w:trPr>
        <w:tc>
          <w:tcPr>
            <w:tcW w:w="4814" w:type="dxa"/>
            <w:tcBorders>
              <w:top w:val="single" w:color="auto" w:sz="4" w:space="0"/>
              <w:left w:val="single" w:color="auto" w:sz="4" w:space="0"/>
              <w:bottom w:val="nil"/>
              <w:right w:val="nil"/>
            </w:tcBorders>
            <w:tcMar>
              <w:top w:w="-1" w:type="dxa"/>
              <w:left w:w="-1" w:type="dxa"/>
              <w:bottom w:w="-1" w:type="dxa"/>
              <w:right w:w="-1" w:type="dxa"/>
            </w:tcMar>
            <w:vAlign w:val="center"/>
          </w:tcPr>
          <w:p w14:paraId="05D3167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Attained a senior position within ten years (%)</w:t>
            </w:r>
          </w:p>
        </w:tc>
        <w:tc>
          <w:tcPr>
            <w:tcW w:w="326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D8279F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3.50%</w:t>
            </w:r>
          </w:p>
        </w:tc>
      </w:tr>
      <w:tr w14:paraId="6286F8D1">
        <w:tblPrEx>
          <w:tblCellMar>
            <w:top w:w="0" w:type="dxa"/>
            <w:left w:w="108" w:type="dxa"/>
            <w:bottom w:w="0" w:type="dxa"/>
            <w:right w:w="108" w:type="dxa"/>
          </w:tblCellMar>
        </w:tblPrEx>
        <w:trPr>
          <w:cantSplit/>
          <w:trHeight w:val="283" w:hRule="atLeast"/>
          <w:jc w:val="center"/>
        </w:trPr>
        <w:tc>
          <w:tcPr>
            <w:tcW w:w="481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95AFA5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Joint test: elite bachelor’s × entry cohort</w:t>
            </w:r>
          </w:p>
        </w:tc>
        <w:tc>
          <w:tcPr>
            <w:tcW w:w="3263"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ECC23E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χ²(2)=11.84, p=0.003</w:t>
            </w:r>
          </w:p>
        </w:tc>
      </w:tr>
    </w:tbl>
    <w:p w14:paraId="14AA423C">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D. Cohort-specific odds ratios for elite undergraduate education</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0"/>
        <w:gridCol w:w="2878"/>
      </w:tblGrid>
      <w:tr w14:paraId="67C4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blHeader/>
          <w:jc w:val="center"/>
        </w:trPr>
        <w:tc>
          <w:tcPr>
            <w:tcW w:w="2600" w:type="dxa"/>
            <w:vAlign w:val="center"/>
          </w:tcPr>
          <w:p w14:paraId="197E0B1C">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Career-entry cohort</w:t>
            </w:r>
          </w:p>
        </w:tc>
        <w:tc>
          <w:tcPr>
            <w:tcW w:w="2878" w:type="dxa"/>
            <w:vAlign w:val="center"/>
          </w:tcPr>
          <w:p w14:paraId="23EDCC28">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Senior government position</w:t>
            </w:r>
          </w:p>
        </w:tc>
      </w:tr>
      <w:tr w14:paraId="5578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600" w:type="dxa"/>
            <w:vAlign w:val="center"/>
          </w:tcPr>
          <w:p w14:paraId="2C83D11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1985—1994</w:t>
            </w:r>
          </w:p>
        </w:tc>
        <w:tc>
          <w:tcPr>
            <w:tcW w:w="2878" w:type="dxa"/>
            <w:vAlign w:val="center"/>
          </w:tcPr>
          <w:p w14:paraId="7F99929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1.307</w:t>
            </w:r>
          </w:p>
        </w:tc>
      </w:tr>
      <w:tr w14:paraId="66CA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600" w:type="dxa"/>
            <w:vAlign w:val="center"/>
          </w:tcPr>
          <w:p w14:paraId="09D764D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1995—2004</w:t>
            </w:r>
          </w:p>
        </w:tc>
        <w:tc>
          <w:tcPr>
            <w:tcW w:w="2878" w:type="dxa"/>
            <w:vAlign w:val="center"/>
          </w:tcPr>
          <w:p w14:paraId="25CF0B0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1.098</w:t>
            </w:r>
          </w:p>
        </w:tc>
      </w:tr>
      <w:tr w14:paraId="6C388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600" w:type="dxa"/>
            <w:vAlign w:val="center"/>
          </w:tcPr>
          <w:p w14:paraId="07FEEB5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2005—2014</w:t>
            </w:r>
          </w:p>
        </w:tc>
        <w:tc>
          <w:tcPr>
            <w:tcW w:w="2878" w:type="dxa"/>
            <w:vAlign w:val="center"/>
          </w:tcPr>
          <w:p w14:paraId="210E447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zCs w:val="21"/>
              </w:rPr>
              <w:t>1.067</w:t>
            </w:r>
          </w:p>
        </w:tc>
      </w:tr>
    </w:tbl>
    <w:p w14:paraId="0748D0C5">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 xml:space="preserve">Note. The unit of analysis is the individual, with one record per person. Cohorts are defined by the first observed government or public-administration employment year, which may not be the true first employment year. The outcome equals one if the individual attained a Revelio seniority level </w:t>
      </w:r>
      <w:r>
        <w:rPr>
          <w:rFonts w:hint="eastAsia" w:cs="Times New Roman"/>
          <w:b w:val="0"/>
          <w:i w:val="0"/>
          <w:sz w:val="20"/>
          <w:szCs w:val="28"/>
          <w:lang w:val="en-US" w:eastAsia="zh-CN"/>
        </w:rPr>
        <w:t>6</w:t>
      </w:r>
      <w:r>
        <w:rPr>
          <w:rFonts w:hint="default" w:ascii="Times New Roman" w:hAnsi="Times New Roman" w:cs="Times New Roman"/>
          <w:b w:val="0"/>
          <w:i w:val="0"/>
          <w:sz w:val="20"/>
          <w:szCs w:val="28"/>
        </w:rPr>
        <w:t>–7 government position within ten years. To ensure a complete ten-year window, the sample is restricted to individuals first observed in 1985–2014. The model controls for elite master’s education, gender, cohort, and country. Cohort-specific ORs combine the elite-bachelor’s main effect with the corresponding interaction. *** p &lt; 0.001, ** p &lt; 0.01, * p &lt; 0.05</w:t>
      </w:r>
      <w:r>
        <w:rPr>
          <w:rFonts w:hint="default" w:ascii="Times New Roman" w:hAnsi="Times New Roman" w:cs="Times New Roman"/>
          <w:b w:val="0"/>
          <w:i w:val="0"/>
          <w:sz w:val="20"/>
          <w:szCs w:val="28"/>
          <w:lang w:val="en-US" w:eastAsia="zh-CN"/>
        </w:rPr>
        <w:t>.</w:t>
      </w:r>
    </w:p>
    <w:p w14:paraId="6C160B52">
      <w:pPr>
        <w:rPr>
          <w:rFonts w:hint="default" w:ascii="Times New Roman" w:hAnsi="Times New Roman" w:cs="Times New Roman"/>
          <w:b/>
          <w:bCs/>
          <w:sz w:val="28"/>
          <w:szCs w:val="36"/>
        </w:rPr>
      </w:pPr>
    </w:p>
    <w:p w14:paraId="28CF56CB">
      <w:pPr>
        <w:rPr>
          <w:rFonts w:hint="default" w:ascii="Times New Roman" w:hAnsi="Times New Roman" w:cs="Times New Roman"/>
          <w:b/>
        </w:rPr>
      </w:pPr>
      <w:r>
        <w:rPr>
          <w:rFonts w:hint="default" w:ascii="Times New Roman" w:hAnsi="Times New Roman" w:cs="Times New Roman"/>
          <w:b/>
        </w:rPr>
        <w:br w:type="page"/>
      </w:r>
    </w:p>
    <w:p w14:paraId="55B42865">
      <w:pPr>
        <w:pStyle w:val="13"/>
        <w:keepNext/>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Times New Roman" w:hAnsi="Times New Roman" w:cs="Times New Roman"/>
          <w:sz w:val="24"/>
          <w:szCs w:val="24"/>
          <w:highlight w:val="cyan"/>
        </w:rPr>
      </w:pPr>
      <w:r>
        <w:rPr>
          <w:rFonts w:hint="default" w:ascii="Times New Roman" w:hAnsi="Times New Roman" w:cs="Times New Roman"/>
          <w:sz w:val="24"/>
          <w:szCs w:val="24"/>
        </w:rPr>
        <w:t>B4. Career promotion</w:t>
      </w:r>
    </w:p>
    <w:p w14:paraId="0CBE7C42">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16. Elite doctoral education and academic promotion in the global faculty CV sample</w:t>
      </w:r>
    </w:p>
    <w:p w14:paraId="7790A18B">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Panel A. Probability of attaining full professorship</w:t>
      </w:r>
    </w:p>
    <w:tbl>
      <w:tblPr>
        <w:tblStyle w:val="5"/>
        <w:tblW w:w="9677" w:type="dxa"/>
        <w:jc w:val="center"/>
        <w:tblLayout w:type="fixed"/>
        <w:tblCellMar>
          <w:top w:w="0" w:type="dxa"/>
          <w:left w:w="108" w:type="dxa"/>
          <w:bottom w:w="0" w:type="dxa"/>
          <w:right w:w="108" w:type="dxa"/>
        </w:tblCellMar>
      </w:tblPr>
      <w:tblGrid>
        <w:gridCol w:w="3754"/>
        <w:gridCol w:w="1329"/>
        <w:gridCol w:w="1241"/>
        <w:gridCol w:w="852"/>
        <w:gridCol w:w="923"/>
        <w:gridCol w:w="1578"/>
      </w:tblGrid>
      <w:tr w14:paraId="3F1440B1">
        <w:tblPrEx>
          <w:tblCellMar>
            <w:top w:w="0" w:type="dxa"/>
            <w:left w:w="108" w:type="dxa"/>
            <w:bottom w:w="0" w:type="dxa"/>
            <w:right w:w="108" w:type="dxa"/>
          </w:tblCellMar>
        </w:tblPrEx>
        <w:trPr>
          <w:cantSplit/>
          <w:trHeight w:val="283" w:hRule="atLeast"/>
          <w:tblHeader/>
          <w:jc w:val="center"/>
        </w:trPr>
        <w:tc>
          <w:tcPr>
            <w:tcW w:w="3754" w:type="dxa"/>
            <w:tcBorders>
              <w:top w:val="single" w:color="auto" w:sz="4" w:space="0"/>
              <w:left w:val="single" w:color="auto" w:sz="4" w:space="0"/>
              <w:bottom w:val="nil"/>
              <w:right w:val="nil"/>
            </w:tcBorders>
            <w:tcMar>
              <w:top w:w="-1" w:type="dxa"/>
              <w:left w:w="-1" w:type="dxa"/>
              <w:bottom w:w="-1" w:type="dxa"/>
              <w:right w:w="-1" w:type="dxa"/>
            </w:tcMar>
            <w:vAlign w:val="center"/>
          </w:tcPr>
          <w:p w14:paraId="2B05B463">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Original estimate</w:t>
            </w:r>
          </w:p>
        </w:tc>
        <w:tc>
          <w:tcPr>
            <w:tcW w:w="1329" w:type="dxa"/>
            <w:tcBorders>
              <w:top w:val="single" w:color="auto" w:sz="4" w:space="0"/>
              <w:left w:val="single" w:color="auto" w:sz="4" w:space="0"/>
              <w:bottom w:val="nil"/>
              <w:right w:val="nil"/>
            </w:tcBorders>
            <w:tcMar>
              <w:top w:w="-1" w:type="dxa"/>
              <w:left w:w="-1" w:type="dxa"/>
              <w:bottom w:w="-1" w:type="dxa"/>
              <w:right w:w="-1" w:type="dxa"/>
            </w:tcMar>
            <w:vAlign w:val="center"/>
          </w:tcPr>
          <w:p w14:paraId="5E52806C">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Estimate</w:t>
            </w:r>
          </w:p>
        </w:tc>
        <w:tc>
          <w:tcPr>
            <w:tcW w:w="1241" w:type="dxa"/>
            <w:tcBorders>
              <w:top w:val="single" w:color="auto" w:sz="4" w:space="0"/>
              <w:left w:val="single" w:color="auto" w:sz="4" w:space="0"/>
              <w:bottom w:val="nil"/>
              <w:right w:val="nil"/>
            </w:tcBorders>
            <w:tcMar>
              <w:top w:w="-1" w:type="dxa"/>
              <w:left w:w="-1" w:type="dxa"/>
              <w:bottom w:w="-1" w:type="dxa"/>
              <w:right w:w="-1" w:type="dxa"/>
            </w:tcMar>
            <w:vAlign w:val="center"/>
          </w:tcPr>
          <w:p w14:paraId="4385B13A">
            <w:pPr>
              <w:widowControl/>
              <w:snapToGrid w:val="0"/>
              <w:spacing w:before="0" w:after="0" w:line="240" w:lineRule="auto"/>
              <w:jc w:val="center"/>
              <w:textAlignment w:val="center"/>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kern w:val="0"/>
                <w:sz w:val="21"/>
                <w:szCs w:val="21"/>
                <w:lang w:bidi="ar"/>
              </w:rPr>
              <w:t>Robust SE</w:t>
            </w:r>
          </w:p>
        </w:tc>
        <w:tc>
          <w:tcPr>
            <w:tcW w:w="852" w:type="dxa"/>
            <w:tcBorders>
              <w:top w:val="single" w:color="auto" w:sz="4" w:space="0"/>
              <w:left w:val="single" w:color="auto" w:sz="4" w:space="0"/>
              <w:bottom w:val="nil"/>
              <w:right w:val="nil"/>
            </w:tcBorders>
            <w:tcMar>
              <w:top w:w="-1" w:type="dxa"/>
              <w:left w:w="-1" w:type="dxa"/>
              <w:bottom w:w="-1" w:type="dxa"/>
              <w:right w:w="-1" w:type="dxa"/>
            </w:tcMar>
            <w:vAlign w:val="center"/>
          </w:tcPr>
          <w:p w14:paraId="78FAD690">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z</w:t>
            </w:r>
          </w:p>
        </w:tc>
        <w:tc>
          <w:tcPr>
            <w:tcW w:w="923" w:type="dxa"/>
            <w:tcBorders>
              <w:top w:val="single" w:color="auto" w:sz="4" w:space="0"/>
              <w:left w:val="single" w:color="auto" w:sz="4" w:space="0"/>
              <w:bottom w:val="nil"/>
              <w:right w:val="nil"/>
            </w:tcBorders>
            <w:tcMar>
              <w:top w:w="-1" w:type="dxa"/>
              <w:left w:w="-1" w:type="dxa"/>
              <w:bottom w:w="-1" w:type="dxa"/>
              <w:right w:w="-1" w:type="dxa"/>
            </w:tcMar>
            <w:vAlign w:val="center"/>
          </w:tcPr>
          <w:p w14:paraId="143A6207">
            <w:pPr>
              <w:widowControl/>
              <w:snapToGrid w:val="0"/>
              <w:spacing w:before="0" w:after="0" w:line="240" w:lineRule="auto"/>
              <w:jc w:val="center"/>
              <w:textAlignment w:val="center"/>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P-value</w:t>
            </w:r>
          </w:p>
        </w:tc>
        <w:tc>
          <w:tcPr>
            <w:tcW w:w="15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FE4BE49">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w:t>
            </w:r>
          </w:p>
        </w:tc>
      </w:tr>
      <w:tr w14:paraId="110EE16E">
        <w:tblPrEx>
          <w:tblCellMar>
            <w:top w:w="0" w:type="dxa"/>
            <w:left w:w="108" w:type="dxa"/>
            <w:bottom w:w="0" w:type="dxa"/>
            <w:right w:w="108" w:type="dxa"/>
          </w:tblCellMar>
        </w:tblPrEx>
        <w:trPr>
          <w:cantSplit/>
          <w:trHeight w:val="283" w:hRule="atLeast"/>
          <w:jc w:val="center"/>
        </w:trPr>
        <w:tc>
          <w:tcPr>
            <w:tcW w:w="9677" w:type="dxa"/>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B692879">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 xml:space="preserve">Panel </w:t>
            </w:r>
            <w:r>
              <w:rPr>
                <w:rFonts w:hint="default" w:ascii="Times New Roman" w:hAnsi="Times New Roman" w:cs="Times New Roman"/>
                <w:lang w:val="en-US" w:eastAsia="zh-CN"/>
              </w:rPr>
              <w:t>a</w:t>
            </w:r>
            <w:r>
              <w:rPr>
                <w:rFonts w:hint="default" w:ascii="Times New Roman" w:hAnsi="Times New Roman" w:cs="Times New Roman"/>
              </w:rPr>
              <w:t>. Logit model: attainment of full professorship</w:t>
            </w:r>
          </w:p>
        </w:tc>
      </w:tr>
      <w:tr w14:paraId="1AE4C2BE">
        <w:tblPrEx>
          <w:tblCellMar>
            <w:top w:w="0" w:type="dxa"/>
            <w:left w:w="108" w:type="dxa"/>
            <w:bottom w:w="0" w:type="dxa"/>
            <w:right w:w="108" w:type="dxa"/>
          </w:tblCellMar>
        </w:tblPrEx>
        <w:trPr>
          <w:cantSplit/>
          <w:trHeight w:val="283" w:hRule="atLeast"/>
          <w:jc w:val="center"/>
        </w:trPr>
        <w:tc>
          <w:tcPr>
            <w:tcW w:w="3754" w:type="dxa"/>
            <w:tcBorders>
              <w:top w:val="single" w:color="auto" w:sz="4" w:space="0"/>
              <w:left w:val="single" w:color="auto" w:sz="4" w:space="0"/>
              <w:bottom w:val="nil"/>
              <w:right w:val="nil"/>
            </w:tcBorders>
            <w:tcMar>
              <w:top w:w="-1" w:type="dxa"/>
              <w:left w:w="-1" w:type="dxa"/>
              <w:bottom w:w="-1" w:type="dxa"/>
              <w:right w:w="-1" w:type="dxa"/>
            </w:tcMar>
            <w:vAlign w:val="center"/>
          </w:tcPr>
          <w:p w14:paraId="6E0D252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doctorate, logit coefficient</w:t>
            </w:r>
          </w:p>
        </w:tc>
        <w:tc>
          <w:tcPr>
            <w:tcW w:w="1329" w:type="dxa"/>
            <w:tcBorders>
              <w:top w:val="single" w:color="auto" w:sz="4" w:space="0"/>
              <w:left w:val="single" w:color="auto" w:sz="4" w:space="0"/>
              <w:bottom w:val="nil"/>
              <w:right w:val="nil"/>
            </w:tcBorders>
            <w:tcMar>
              <w:top w:w="-1" w:type="dxa"/>
              <w:left w:w="-1" w:type="dxa"/>
              <w:bottom w:w="-1" w:type="dxa"/>
              <w:right w:w="-1" w:type="dxa"/>
            </w:tcMar>
            <w:vAlign w:val="center"/>
          </w:tcPr>
          <w:p w14:paraId="6B6C044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0.193</w:t>
            </w:r>
          </w:p>
        </w:tc>
        <w:tc>
          <w:tcPr>
            <w:tcW w:w="1241" w:type="dxa"/>
            <w:tcBorders>
              <w:top w:val="single" w:color="auto" w:sz="4" w:space="0"/>
              <w:left w:val="single" w:color="auto" w:sz="4" w:space="0"/>
              <w:bottom w:val="nil"/>
              <w:right w:val="nil"/>
            </w:tcBorders>
            <w:tcMar>
              <w:top w:w="-1" w:type="dxa"/>
              <w:left w:w="-1" w:type="dxa"/>
              <w:bottom w:w="-1" w:type="dxa"/>
              <w:right w:w="-1" w:type="dxa"/>
            </w:tcMar>
            <w:vAlign w:val="center"/>
          </w:tcPr>
          <w:p w14:paraId="5F5F9EA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0.005</w:t>
            </w:r>
          </w:p>
        </w:tc>
        <w:tc>
          <w:tcPr>
            <w:tcW w:w="852" w:type="dxa"/>
            <w:tcBorders>
              <w:top w:val="single" w:color="auto" w:sz="4" w:space="0"/>
              <w:left w:val="single" w:color="auto" w:sz="4" w:space="0"/>
              <w:bottom w:val="nil"/>
              <w:right w:val="nil"/>
            </w:tcBorders>
            <w:tcMar>
              <w:top w:w="-1" w:type="dxa"/>
              <w:left w:w="-1" w:type="dxa"/>
              <w:bottom w:w="-1" w:type="dxa"/>
              <w:right w:w="-1" w:type="dxa"/>
            </w:tcMar>
            <w:vAlign w:val="center"/>
          </w:tcPr>
          <w:p w14:paraId="228C80A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36.92</w:t>
            </w:r>
          </w:p>
        </w:tc>
        <w:tc>
          <w:tcPr>
            <w:tcW w:w="923" w:type="dxa"/>
            <w:tcBorders>
              <w:top w:val="single" w:color="auto" w:sz="4" w:space="0"/>
              <w:left w:val="single" w:color="auto" w:sz="4" w:space="0"/>
              <w:bottom w:val="nil"/>
              <w:right w:val="nil"/>
            </w:tcBorders>
            <w:tcMar>
              <w:top w:w="-1" w:type="dxa"/>
              <w:left w:w="-1" w:type="dxa"/>
              <w:bottom w:w="-1" w:type="dxa"/>
              <w:right w:w="-1" w:type="dxa"/>
            </w:tcMar>
            <w:vAlign w:val="center"/>
          </w:tcPr>
          <w:p w14:paraId="09AB6E5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5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406BAF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[0.183, 0.20</w:t>
            </w:r>
            <w:r>
              <w:rPr>
                <w:rFonts w:hint="default" w:ascii="Times New Roman" w:hAnsi="Times New Roman" w:eastAsia="宋体" w:cs="Times New Roman"/>
                <w:kern w:val="0"/>
                <w:szCs w:val="21"/>
                <w:lang w:val="en-US" w:eastAsia="zh-CN" w:bidi="ar"/>
              </w:rPr>
              <w:t>4</w:t>
            </w:r>
            <w:r>
              <w:rPr>
                <w:rFonts w:hint="default" w:ascii="Times New Roman" w:hAnsi="Times New Roman" w:eastAsia="宋体" w:cs="Times New Roman"/>
                <w:kern w:val="0"/>
                <w:szCs w:val="21"/>
                <w:lang w:bidi="ar"/>
              </w:rPr>
              <w:t>]</w:t>
            </w:r>
          </w:p>
        </w:tc>
      </w:tr>
      <w:tr w14:paraId="724B61E5">
        <w:tblPrEx>
          <w:tblCellMar>
            <w:top w:w="0" w:type="dxa"/>
            <w:left w:w="108" w:type="dxa"/>
            <w:bottom w:w="0" w:type="dxa"/>
            <w:right w:w="108" w:type="dxa"/>
          </w:tblCellMar>
        </w:tblPrEx>
        <w:trPr>
          <w:cantSplit/>
          <w:trHeight w:val="283" w:hRule="atLeast"/>
          <w:jc w:val="center"/>
        </w:trPr>
        <w:tc>
          <w:tcPr>
            <w:tcW w:w="3754" w:type="dxa"/>
            <w:tcBorders>
              <w:top w:val="single" w:color="auto" w:sz="4" w:space="0"/>
              <w:left w:val="single" w:color="auto" w:sz="4" w:space="0"/>
              <w:bottom w:val="nil"/>
              <w:right w:val="nil"/>
            </w:tcBorders>
            <w:tcMar>
              <w:top w:w="-1" w:type="dxa"/>
              <w:left w:w="-1" w:type="dxa"/>
              <w:bottom w:w="-1" w:type="dxa"/>
              <w:right w:w="-1" w:type="dxa"/>
            </w:tcMar>
            <w:vAlign w:val="center"/>
          </w:tcPr>
          <w:p w14:paraId="0565265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doctorate, AME</w:t>
            </w:r>
          </w:p>
        </w:tc>
        <w:tc>
          <w:tcPr>
            <w:tcW w:w="1329" w:type="dxa"/>
            <w:tcBorders>
              <w:top w:val="single" w:color="auto" w:sz="4" w:space="0"/>
              <w:left w:val="single" w:color="auto" w:sz="4" w:space="0"/>
              <w:bottom w:val="nil"/>
              <w:right w:val="nil"/>
            </w:tcBorders>
            <w:tcMar>
              <w:top w:w="-1" w:type="dxa"/>
              <w:left w:w="-1" w:type="dxa"/>
              <w:bottom w:w="-1" w:type="dxa"/>
              <w:right w:w="-1" w:type="dxa"/>
            </w:tcMar>
            <w:vAlign w:val="center"/>
          </w:tcPr>
          <w:p w14:paraId="03E2B4F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0.040</w:t>
            </w:r>
          </w:p>
        </w:tc>
        <w:tc>
          <w:tcPr>
            <w:tcW w:w="1241" w:type="dxa"/>
            <w:tcBorders>
              <w:top w:val="single" w:color="auto" w:sz="4" w:space="0"/>
              <w:left w:val="single" w:color="auto" w:sz="4" w:space="0"/>
              <w:bottom w:val="nil"/>
              <w:right w:val="nil"/>
            </w:tcBorders>
            <w:tcMar>
              <w:top w:w="-1" w:type="dxa"/>
              <w:left w:w="-1" w:type="dxa"/>
              <w:bottom w:w="-1" w:type="dxa"/>
              <w:right w:w="-1" w:type="dxa"/>
            </w:tcMar>
            <w:vAlign w:val="center"/>
          </w:tcPr>
          <w:p w14:paraId="59A7800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0.001</w:t>
            </w:r>
          </w:p>
        </w:tc>
        <w:tc>
          <w:tcPr>
            <w:tcW w:w="852" w:type="dxa"/>
            <w:tcBorders>
              <w:top w:val="single" w:color="auto" w:sz="4" w:space="0"/>
              <w:left w:val="single" w:color="auto" w:sz="4" w:space="0"/>
              <w:bottom w:val="nil"/>
              <w:right w:val="nil"/>
            </w:tcBorders>
            <w:tcMar>
              <w:top w:w="-1" w:type="dxa"/>
              <w:left w:w="-1" w:type="dxa"/>
              <w:bottom w:w="-1" w:type="dxa"/>
              <w:right w:w="-1" w:type="dxa"/>
            </w:tcMar>
            <w:vAlign w:val="center"/>
          </w:tcPr>
          <w:p w14:paraId="202054E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36.73</w:t>
            </w:r>
          </w:p>
        </w:tc>
        <w:tc>
          <w:tcPr>
            <w:tcW w:w="923" w:type="dxa"/>
            <w:tcBorders>
              <w:top w:val="single" w:color="auto" w:sz="4" w:space="0"/>
              <w:left w:val="single" w:color="auto" w:sz="4" w:space="0"/>
              <w:bottom w:val="nil"/>
              <w:right w:val="nil"/>
            </w:tcBorders>
            <w:tcMar>
              <w:top w:w="-1" w:type="dxa"/>
              <w:left w:w="-1" w:type="dxa"/>
              <w:bottom w:w="-1" w:type="dxa"/>
              <w:right w:w="-1" w:type="dxa"/>
            </w:tcMar>
            <w:vAlign w:val="center"/>
          </w:tcPr>
          <w:p w14:paraId="1596F81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5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9E11C2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[0.03</w:t>
            </w:r>
            <w:r>
              <w:rPr>
                <w:rFonts w:hint="default" w:ascii="Times New Roman" w:hAnsi="Times New Roman" w:eastAsia="宋体" w:cs="Times New Roman"/>
                <w:kern w:val="0"/>
                <w:szCs w:val="21"/>
                <w:lang w:val="en-US" w:eastAsia="zh-CN" w:bidi="ar"/>
              </w:rPr>
              <w:t>8</w:t>
            </w:r>
            <w:r>
              <w:rPr>
                <w:rFonts w:hint="default" w:ascii="Times New Roman" w:hAnsi="Times New Roman" w:eastAsia="宋体" w:cs="Times New Roman"/>
                <w:kern w:val="0"/>
                <w:szCs w:val="21"/>
                <w:lang w:bidi="ar"/>
              </w:rPr>
              <w:t>, 0.042]</w:t>
            </w:r>
          </w:p>
        </w:tc>
      </w:tr>
      <w:tr w14:paraId="23FD48DD">
        <w:tblPrEx>
          <w:tblCellMar>
            <w:top w:w="0" w:type="dxa"/>
            <w:left w:w="108" w:type="dxa"/>
            <w:bottom w:w="0" w:type="dxa"/>
            <w:right w:w="108" w:type="dxa"/>
          </w:tblCellMar>
        </w:tblPrEx>
        <w:trPr>
          <w:cantSplit/>
          <w:trHeight w:val="283" w:hRule="atLeast"/>
          <w:jc w:val="center"/>
        </w:trPr>
        <w:tc>
          <w:tcPr>
            <w:tcW w:w="3754" w:type="dxa"/>
            <w:tcBorders>
              <w:top w:val="single" w:color="auto" w:sz="4" w:space="0"/>
              <w:left w:val="single" w:color="auto" w:sz="4" w:space="0"/>
              <w:bottom w:val="nil"/>
              <w:right w:val="nil"/>
            </w:tcBorders>
            <w:tcMar>
              <w:top w:w="-1" w:type="dxa"/>
              <w:left w:w="-1" w:type="dxa"/>
              <w:bottom w:w="-1" w:type="dxa"/>
              <w:right w:w="-1" w:type="dxa"/>
            </w:tcMar>
            <w:vAlign w:val="center"/>
          </w:tcPr>
          <w:p w14:paraId="2CDA1DE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Non-elite doctorate, adjusted predicted probability</w:t>
            </w:r>
          </w:p>
        </w:tc>
        <w:tc>
          <w:tcPr>
            <w:tcW w:w="1329" w:type="dxa"/>
            <w:tcBorders>
              <w:top w:val="single" w:color="auto" w:sz="4" w:space="0"/>
              <w:left w:val="single" w:color="auto" w:sz="4" w:space="0"/>
              <w:bottom w:val="nil"/>
              <w:right w:val="nil"/>
            </w:tcBorders>
            <w:tcMar>
              <w:top w:w="-1" w:type="dxa"/>
              <w:left w:w="-1" w:type="dxa"/>
              <w:bottom w:w="-1" w:type="dxa"/>
              <w:right w:w="-1" w:type="dxa"/>
            </w:tcMar>
            <w:vAlign w:val="center"/>
          </w:tcPr>
          <w:p w14:paraId="26DE1CD0">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0.40</w:t>
            </w:r>
            <w:r>
              <w:rPr>
                <w:rFonts w:hint="default" w:ascii="Times New Roman" w:hAnsi="Times New Roman" w:eastAsia="宋体" w:cs="Times New Roman"/>
                <w:kern w:val="0"/>
                <w:szCs w:val="21"/>
                <w:lang w:val="en-US" w:eastAsia="zh-CN" w:bidi="ar"/>
              </w:rPr>
              <w:t>7</w:t>
            </w:r>
          </w:p>
        </w:tc>
        <w:tc>
          <w:tcPr>
            <w:tcW w:w="1241" w:type="dxa"/>
            <w:tcBorders>
              <w:top w:val="single" w:color="auto" w:sz="4" w:space="0"/>
              <w:left w:val="single" w:color="auto" w:sz="4" w:space="0"/>
              <w:bottom w:val="nil"/>
              <w:right w:val="nil"/>
            </w:tcBorders>
            <w:tcMar>
              <w:top w:w="-1" w:type="dxa"/>
              <w:left w:w="-1" w:type="dxa"/>
              <w:bottom w:w="-1" w:type="dxa"/>
              <w:right w:w="-1" w:type="dxa"/>
            </w:tcMar>
            <w:vAlign w:val="center"/>
          </w:tcPr>
          <w:p w14:paraId="30DE6E8D">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0.00</w:t>
            </w:r>
            <w:r>
              <w:rPr>
                <w:rFonts w:hint="default" w:ascii="Times New Roman" w:hAnsi="Times New Roman" w:eastAsia="宋体" w:cs="Times New Roman"/>
                <w:kern w:val="0"/>
                <w:szCs w:val="21"/>
                <w:lang w:val="en-US" w:eastAsia="zh-CN" w:bidi="ar"/>
              </w:rPr>
              <w:t>1</w:t>
            </w:r>
          </w:p>
        </w:tc>
        <w:tc>
          <w:tcPr>
            <w:tcW w:w="852" w:type="dxa"/>
            <w:tcBorders>
              <w:top w:val="single" w:color="auto" w:sz="4" w:space="0"/>
              <w:left w:val="single" w:color="auto" w:sz="4" w:space="0"/>
              <w:bottom w:val="nil"/>
              <w:right w:val="nil"/>
            </w:tcBorders>
            <w:tcMar>
              <w:top w:w="-1" w:type="dxa"/>
              <w:left w:w="-1" w:type="dxa"/>
              <w:bottom w:w="-1" w:type="dxa"/>
              <w:right w:w="-1" w:type="dxa"/>
            </w:tcMar>
            <w:vAlign w:val="center"/>
          </w:tcPr>
          <w:p w14:paraId="3528E0C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837.46</w:t>
            </w:r>
          </w:p>
        </w:tc>
        <w:tc>
          <w:tcPr>
            <w:tcW w:w="923" w:type="dxa"/>
            <w:tcBorders>
              <w:top w:val="single" w:color="auto" w:sz="4" w:space="0"/>
              <w:left w:val="single" w:color="auto" w:sz="4" w:space="0"/>
              <w:bottom w:val="nil"/>
              <w:right w:val="nil"/>
            </w:tcBorders>
            <w:tcMar>
              <w:top w:w="-1" w:type="dxa"/>
              <w:left w:w="-1" w:type="dxa"/>
              <w:bottom w:w="-1" w:type="dxa"/>
              <w:right w:w="-1" w:type="dxa"/>
            </w:tcMar>
            <w:vAlign w:val="center"/>
          </w:tcPr>
          <w:p w14:paraId="181C4A1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57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19F9D8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[0.40</w:t>
            </w:r>
            <w:r>
              <w:rPr>
                <w:rFonts w:hint="default" w:ascii="Times New Roman" w:hAnsi="Times New Roman" w:eastAsia="宋体" w:cs="Times New Roman"/>
                <w:kern w:val="0"/>
                <w:szCs w:val="21"/>
                <w:lang w:val="en-US" w:eastAsia="zh-CN" w:bidi="ar"/>
              </w:rPr>
              <w:t>6</w:t>
            </w:r>
            <w:r>
              <w:rPr>
                <w:rFonts w:hint="default" w:ascii="Times New Roman" w:hAnsi="Times New Roman" w:eastAsia="宋体" w:cs="Times New Roman"/>
                <w:kern w:val="0"/>
                <w:szCs w:val="21"/>
                <w:lang w:bidi="ar"/>
              </w:rPr>
              <w:t>, 0.40</w:t>
            </w:r>
            <w:r>
              <w:rPr>
                <w:rFonts w:hint="default" w:ascii="Times New Roman" w:hAnsi="Times New Roman" w:eastAsia="宋体" w:cs="Times New Roman"/>
                <w:kern w:val="0"/>
                <w:szCs w:val="21"/>
                <w:lang w:val="en-US" w:eastAsia="zh-CN" w:bidi="ar"/>
              </w:rPr>
              <w:t>8</w:t>
            </w:r>
            <w:r>
              <w:rPr>
                <w:rFonts w:hint="default" w:ascii="Times New Roman" w:hAnsi="Times New Roman" w:eastAsia="宋体" w:cs="Times New Roman"/>
                <w:kern w:val="0"/>
                <w:szCs w:val="21"/>
                <w:lang w:bidi="ar"/>
              </w:rPr>
              <w:t>]</w:t>
            </w:r>
          </w:p>
        </w:tc>
      </w:tr>
      <w:tr w14:paraId="65954C61">
        <w:tblPrEx>
          <w:tblCellMar>
            <w:top w:w="0" w:type="dxa"/>
            <w:left w:w="108" w:type="dxa"/>
            <w:bottom w:w="0" w:type="dxa"/>
            <w:right w:w="108" w:type="dxa"/>
          </w:tblCellMar>
        </w:tblPrEx>
        <w:trPr>
          <w:cantSplit/>
          <w:trHeight w:val="283" w:hRule="atLeast"/>
          <w:jc w:val="center"/>
        </w:trPr>
        <w:tc>
          <w:tcPr>
            <w:tcW w:w="375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39F3E5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doctorate, adjusted predicted probability</w:t>
            </w:r>
          </w:p>
        </w:tc>
        <w:tc>
          <w:tcPr>
            <w:tcW w:w="132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7E4AEF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0.447</w:t>
            </w:r>
          </w:p>
        </w:tc>
        <w:tc>
          <w:tcPr>
            <w:tcW w:w="124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92BB071">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0.00</w:t>
            </w:r>
            <w:r>
              <w:rPr>
                <w:rFonts w:hint="default" w:ascii="Times New Roman" w:hAnsi="Times New Roman" w:eastAsia="宋体" w:cs="Times New Roman"/>
                <w:kern w:val="0"/>
                <w:szCs w:val="21"/>
                <w:lang w:val="en-US" w:eastAsia="zh-CN" w:bidi="ar"/>
              </w:rPr>
              <w:t>1</w:t>
            </w:r>
          </w:p>
        </w:tc>
        <w:tc>
          <w:tcPr>
            <w:tcW w:w="85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21E0EF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478.36</w:t>
            </w:r>
          </w:p>
        </w:tc>
        <w:tc>
          <w:tcPr>
            <w:tcW w:w="92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064EFA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57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4B8E9F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[0.445, 0.44</w:t>
            </w:r>
            <w:r>
              <w:rPr>
                <w:rFonts w:hint="default" w:ascii="Times New Roman" w:hAnsi="Times New Roman" w:eastAsia="宋体" w:cs="Times New Roman"/>
                <w:kern w:val="0"/>
                <w:szCs w:val="21"/>
                <w:lang w:val="en-US" w:eastAsia="zh-CN" w:bidi="ar"/>
              </w:rPr>
              <w:t>9</w:t>
            </w:r>
            <w:r>
              <w:rPr>
                <w:rFonts w:hint="default" w:ascii="Times New Roman" w:hAnsi="Times New Roman" w:eastAsia="宋体" w:cs="Times New Roman"/>
                <w:kern w:val="0"/>
                <w:szCs w:val="21"/>
                <w:lang w:bidi="ar"/>
              </w:rPr>
              <w:t>]</w:t>
            </w:r>
          </w:p>
        </w:tc>
      </w:tr>
      <w:tr w14:paraId="41F787F5">
        <w:tblPrEx>
          <w:tblCellMar>
            <w:top w:w="0" w:type="dxa"/>
            <w:left w:w="108" w:type="dxa"/>
            <w:bottom w:w="0" w:type="dxa"/>
            <w:right w:w="108" w:type="dxa"/>
          </w:tblCellMar>
        </w:tblPrEx>
        <w:trPr>
          <w:cantSplit/>
          <w:trHeight w:val="283" w:hRule="atLeast"/>
          <w:jc w:val="center"/>
        </w:trPr>
        <w:tc>
          <w:tcPr>
            <w:tcW w:w="9677" w:type="dxa"/>
            <w:gridSpan w:val="6"/>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5B0DCE9">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 xml:space="preserve">Panel </w:t>
            </w:r>
            <w:r>
              <w:rPr>
                <w:rFonts w:hint="default" w:ascii="Times New Roman" w:hAnsi="Times New Roman" w:cs="Times New Roman"/>
                <w:lang w:val="en-US" w:eastAsia="zh-CN"/>
              </w:rPr>
              <w:t>b</w:t>
            </w:r>
            <w:r>
              <w:rPr>
                <w:rFonts w:hint="default" w:ascii="Times New Roman" w:hAnsi="Times New Roman" w:cs="Times New Roman"/>
              </w:rPr>
              <w:t>. Inverse-probability-weighted model: attainment of full professorship</w:t>
            </w:r>
          </w:p>
        </w:tc>
      </w:tr>
      <w:tr w14:paraId="1BDB1145">
        <w:tblPrEx>
          <w:tblCellMar>
            <w:top w:w="0" w:type="dxa"/>
            <w:left w:w="108" w:type="dxa"/>
            <w:bottom w:w="0" w:type="dxa"/>
            <w:right w:w="108" w:type="dxa"/>
          </w:tblCellMar>
        </w:tblPrEx>
        <w:trPr>
          <w:cantSplit/>
          <w:trHeight w:val="283" w:hRule="atLeast"/>
          <w:jc w:val="center"/>
        </w:trPr>
        <w:tc>
          <w:tcPr>
            <w:tcW w:w="375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AB5463E">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ATET of elite versus non-elite doctorate</w:t>
            </w:r>
          </w:p>
        </w:tc>
        <w:tc>
          <w:tcPr>
            <w:tcW w:w="132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76141D1">
            <w:pPr>
              <w:widowControl/>
              <w:spacing w:before="0" w:after="0" w:line="240" w:lineRule="auto"/>
              <w:jc w:val="center"/>
              <w:textAlignment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bidi="ar"/>
              </w:rPr>
              <w:t>0.030</w:t>
            </w:r>
            <w:r>
              <w:rPr>
                <w:rFonts w:hint="default" w:ascii="Times New Roman" w:hAnsi="Times New Roman" w:eastAsia="宋体" w:cs="Times New Roman"/>
                <w:kern w:val="0"/>
                <w:szCs w:val="21"/>
                <w:lang w:val="en-US" w:eastAsia="zh-CN" w:bidi="ar"/>
              </w:rPr>
              <w:t>7</w:t>
            </w:r>
          </w:p>
        </w:tc>
        <w:tc>
          <w:tcPr>
            <w:tcW w:w="124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76619D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0.001</w:t>
            </w:r>
          </w:p>
        </w:tc>
        <w:tc>
          <w:tcPr>
            <w:tcW w:w="85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DD5F3CA">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25.24</w:t>
            </w:r>
          </w:p>
        </w:tc>
        <w:tc>
          <w:tcPr>
            <w:tcW w:w="92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F9912C2">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57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4F33DA9D">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[0.028</w:t>
            </w:r>
            <w:r>
              <w:rPr>
                <w:rFonts w:hint="default" w:ascii="Times New Roman" w:hAnsi="Times New Roman" w:eastAsia="宋体" w:cs="Times New Roman"/>
                <w:kern w:val="0"/>
                <w:szCs w:val="21"/>
                <w:lang w:val="en-US" w:eastAsia="zh-CN" w:bidi="ar"/>
              </w:rPr>
              <w:t>3</w:t>
            </w:r>
            <w:r>
              <w:rPr>
                <w:rFonts w:hint="default" w:ascii="Times New Roman" w:hAnsi="Times New Roman" w:eastAsia="宋体" w:cs="Times New Roman"/>
                <w:kern w:val="0"/>
                <w:szCs w:val="21"/>
                <w:lang w:bidi="ar"/>
              </w:rPr>
              <w:t>, 0.033]</w:t>
            </w:r>
          </w:p>
        </w:tc>
      </w:tr>
      <w:tr w14:paraId="788EDB82">
        <w:tblPrEx>
          <w:tblCellMar>
            <w:top w:w="0" w:type="dxa"/>
            <w:left w:w="108" w:type="dxa"/>
            <w:bottom w:w="0" w:type="dxa"/>
            <w:right w:w="108" w:type="dxa"/>
          </w:tblCellMar>
        </w:tblPrEx>
        <w:trPr>
          <w:cantSplit/>
          <w:trHeight w:val="393" w:hRule="atLeast"/>
          <w:jc w:val="center"/>
        </w:trPr>
        <w:tc>
          <w:tcPr>
            <w:tcW w:w="375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55C325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Potential-outcome mean for non-elite doctorate (POmean)</w:t>
            </w:r>
          </w:p>
        </w:tc>
        <w:tc>
          <w:tcPr>
            <w:tcW w:w="132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6FB6285">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0.428</w:t>
            </w:r>
          </w:p>
        </w:tc>
        <w:tc>
          <w:tcPr>
            <w:tcW w:w="124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1698500">
            <w:pPr>
              <w:widowControl/>
              <w:spacing w:before="0" w:after="0" w:line="240" w:lineRule="auto"/>
              <w:jc w:val="center"/>
              <w:textAlignment w:val="center"/>
              <w:rPr>
                <w:rFonts w:hint="default" w:ascii="Times New Roman" w:hAnsi="Times New Roman" w:eastAsia="宋体" w:cs="Times New Roman"/>
                <w:kern w:val="0"/>
                <w:szCs w:val="21"/>
                <w:lang w:eastAsia="zh-CN" w:bidi="ar"/>
              </w:rPr>
            </w:pPr>
            <w:r>
              <w:rPr>
                <w:rFonts w:hint="default" w:ascii="Times New Roman" w:hAnsi="Times New Roman" w:eastAsia="宋体" w:cs="Times New Roman"/>
                <w:kern w:val="0"/>
                <w:szCs w:val="21"/>
                <w:lang w:bidi="ar"/>
              </w:rPr>
              <w:t>0.00</w:t>
            </w:r>
            <w:r>
              <w:rPr>
                <w:rFonts w:hint="default" w:ascii="Times New Roman" w:hAnsi="Times New Roman" w:eastAsia="宋体" w:cs="Times New Roman"/>
                <w:kern w:val="0"/>
                <w:szCs w:val="21"/>
                <w:lang w:val="en-US" w:eastAsia="zh-CN" w:bidi="ar"/>
              </w:rPr>
              <w:t>1</w:t>
            </w:r>
          </w:p>
        </w:tc>
        <w:tc>
          <w:tcPr>
            <w:tcW w:w="85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F6C21D7">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435.89</w:t>
            </w:r>
          </w:p>
        </w:tc>
        <w:tc>
          <w:tcPr>
            <w:tcW w:w="92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78173A1">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57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C3D6788">
            <w:pPr>
              <w:widowControl/>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[0.426, 0.4</w:t>
            </w:r>
            <w:r>
              <w:rPr>
                <w:rFonts w:hint="default" w:ascii="Times New Roman" w:hAnsi="Times New Roman" w:eastAsia="宋体" w:cs="Times New Roman"/>
                <w:kern w:val="0"/>
                <w:szCs w:val="21"/>
                <w:lang w:val="en-US" w:eastAsia="zh-CN" w:bidi="ar"/>
              </w:rPr>
              <w:t>30</w:t>
            </w:r>
            <w:r>
              <w:rPr>
                <w:rFonts w:hint="default" w:ascii="Times New Roman" w:hAnsi="Times New Roman" w:eastAsia="宋体" w:cs="Times New Roman"/>
                <w:kern w:val="0"/>
                <w:szCs w:val="21"/>
                <w:lang w:bidi="ar"/>
              </w:rPr>
              <w:t>]</w:t>
            </w:r>
          </w:p>
        </w:tc>
      </w:tr>
    </w:tbl>
    <w:p w14:paraId="2683535F">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model sample contains 1,204,962 faculty members, irrespective of current employment at an elite or non-elite university. Adjustment and weighting variables include elite undergraduate education, gender, discipline, doctoral-completion year and its square, a missing-year indicator, and country/region. Adjusted predicted probabilities average model predictions after accounting for these covariates. An AME of 0.040141 indicates a 4.01-percentage-point higher predicted probability of full professorship for elite-doctorate faculty. An ATET of 0.030669 indicates that, after weighting non-elite-doctorate faculty to resemble elite-doctorate faculty on observed characteristics, the probability remains 3.07 percentage points higher</w:t>
      </w:r>
      <w:r>
        <w:rPr>
          <w:rFonts w:hint="default" w:ascii="Times New Roman" w:hAnsi="Times New Roman" w:cs="Times New Roman"/>
          <w:b w:val="0"/>
          <w:i w:val="0"/>
          <w:sz w:val="20"/>
          <w:szCs w:val="28"/>
          <w:lang w:val="en-US" w:eastAsia="zh-CN"/>
        </w:rPr>
        <w:t>.</w:t>
      </w:r>
    </w:p>
    <w:p w14:paraId="3B11F864">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B. Cox proportional-hazards models of promotion rates</w:t>
      </w:r>
    </w:p>
    <w:tbl>
      <w:tblPr>
        <w:tblStyle w:val="5"/>
        <w:tblW w:w="9500" w:type="dxa"/>
        <w:jc w:val="center"/>
        <w:tblLayout w:type="fixed"/>
        <w:tblCellMar>
          <w:top w:w="0" w:type="dxa"/>
          <w:left w:w="108" w:type="dxa"/>
          <w:bottom w:w="0" w:type="dxa"/>
          <w:right w:w="108" w:type="dxa"/>
        </w:tblCellMar>
      </w:tblPr>
      <w:tblGrid>
        <w:gridCol w:w="1840"/>
        <w:gridCol w:w="960"/>
        <w:gridCol w:w="1283"/>
        <w:gridCol w:w="1182"/>
        <w:gridCol w:w="932"/>
        <w:gridCol w:w="801"/>
        <w:gridCol w:w="997"/>
        <w:gridCol w:w="1505"/>
      </w:tblGrid>
      <w:tr w14:paraId="42B244D1">
        <w:tblPrEx>
          <w:tblCellMar>
            <w:top w:w="0" w:type="dxa"/>
            <w:left w:w="108" w:type="dxa"/>
            <w:bottom w:w="0" w:type="dxa"/>
            <w:right w:w="108" w:type="dxa"/>
          </w:tblCellMar>
        </w:tblPrEx>
        <w:trPr>
          <w:cantSplit/>
          <w:trHeight w:val="283" w:hRule="atLeast"/>
          <w:tblHeader/>
          <w:jc w:val="center"/>
        </w:trPr>
        <w:tc>
          <w:tcPr>
            <w:tcW w:w="1840" w:type="dxa"/>
            <w:tcBorders>
              <w:top w:val="single" w:color="auto" w:sz="4" w:space="0"/>
              <w:left w:val="single" w:color="auto" w:sz="4" w:space="0"/>
              <w:bottom w:val="nil"/>
              <w:right w:val="nil"/>
            </w:tcBorders>
            <w:tcMar>
              <w:top w:w="-1" w:type="dxa"/>
              <w:left w:w="-1" w:type="dxa"/>
              <w:bottom w:w="-1" w:type="dxa"/>
              <w:right w:w="-1" w:type="dxa"/>
            </w:tcMar>
            <w:vAlign w:val="center"/>
          </w:tcPr>
          <w:p w14:paraId="05072DE2">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Promotion transition</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2CA141B8">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N</w:t>
            </w:r>
          </w:p>
        </w:tc>
        <w:tc>
          <w:tcPr>
            <w:tcW w:w="1283" w:type="dxa"/>
            <w:tcBorders>
              <w:top w:val="single" w:color="auto" w:sz="4" w:space="0"/>
              <w:left w:val="single" w:color="auto" w:sz="4" w:space="0"/>
              <w:bottom w:val="nil"/>
              <w:right w:val="nil"/>
            </w:tcBorders>
            <w:tcMar>
              <w:top w:w="-1" w:type="dxa"/>
              <w:left w:w="-1" w:type="dxa"/>
              <w:bottom w:w="-1" w:type="dxa"/>
              <w:right w:w="-1" w:type="dxa"/>
            </w:tcMar>
            <w:vAlign w:val="center"/>
          </w:tcPr>
          <w:p w14:paraId="69F1365B">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Promotion events</w:t>
            </w:r>
          </w:p>
        </w:tc>
        <w:tc>
          <w:tcPr>
            <w:tcW w:w="1182" w:type="dxa"/>
            <w:tcBorders>
              <w:top w:val="single" w:color="auto" w:sz="4" w:space="0"/>
              <w:left w:val="single" w:color="auto" w:sz="4" w:space="0"/>
              <w:bottom w:val="nil"/>
              <w:right w:val="nil"/>
            </w:tcBorders>
            <w:tcMar>
              <w:top w:w="-1" w:type="dxa"/>
              <w:left w:w="-1" w:type="dxa"/>
              <w:bottom w:w="-1" w:type="dxa"/>
              <w:right w:w="-1" w:type="dxa"/>
            </w:tcMar>
            <w:vAlign w:val="center"/>
          </w:tcPr>
          <w:p w14:paraId="60DF0594">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Hazard ratio (HR)</w:t>
            </w:r>
          </w:p>
        </w:tc>
        <w:tc>
          <w:tcPr>
            <w:tcW w:w="932" w:type="dxa"/>
            <w:tcBorders>
              <w:top w:val="single" w:color="auto" w:sz="4" w:space="0"/>
              <w:left w:val="single" w:color="auto" w:sz="4" w:space="0"/>
              <w:bottom w:val="nil"/>
              <w:right w:val="nil"/>
            </w:tcBorders>
            <w:tcMar>
              <w:top w:w="-1" w:type="dxa"/>
              <w:left w:w="-1" w:type="dxa"/>
              <w:bottom w:w="-1" w:type="dxa"/>
              <w:right w:w="-1" w:type="dxa"/>
            </w:tcMar>
            <w:vAlign w:val="center"/>
          </w:tcPr>
          <w:p w14:paraId="53FA9596">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Robust SE</w:t>
            </w:r>
          </w:p>
        </w:tc>
        <w:tc>
          <w:tcPr>
            <w:tcW w:w="801" w:type="dxa"/>
            <w:tcBorders>
              <w:top w:val="single" w:color="auto" w:sz="4" w:space="0"/>
              <w:left w:val="single" w:color="auto" w:sz="4" w:space="0"/>
              <w:bottom w:val="nil"/>
              <w:right w:val="nil"/>
            </w:tcBorders>
            <w:tcMar>
              <w:top w:w="-1" w:type="dxa"/>
              <w:left w:w="-1" w:type="dxa"/>
              <w:bottom w:w="-1" w:type="dxa"/>
              <w:right w:w="-1" w:type="dxa"/>
            </w:tcMar>
            <w:vAlign w:val="center"/>
          </w:tcPr>
          <w:p w14:paraId="0454D31F">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z</w:t>
            </w:r>
          </w:p>
        </w:tc>
        <w:tc>
          <w:tcPr>
            <w:tcW w:w="997" w:type="dxa"/>
            <w:tcBorders>
              <w:top w:val="single" w:color="auto" w:sz="4" w:space="0"/>
              <w:left w:val="single" w:color="auto" w:sz="4" w:space="0"/>
              <w:bottom w:val="nil"/>
              <w:right w:val="nil"/>
            </w:tcBorders>
            <w:tcMar>
              <w:top w:w="-1" w:type="dxa"/>
              <w:left w:w="-1" w:type="dxa"/>
              <w:bottom w:w="-1" w:type="dxa"/>
              <w:right w:w="-1" w:type="dxa"/>
            </w:tcMar>
            <w:vAlign w:val="center"/>
          </w:tcPr>
          <w:p w14:paraId="69F48921">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c>
          <w:tcPr>
            <w:tcW w:w="150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FECFF2B">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w:t>
            </w:r>
          </w:p>
        </w:tc>
      </w:tr>
      <w:tr w14:paraId="4BCAEEC6">
        <w:tblPrEx>
          <w:tblCellMar>
            <w:top w:w="0" w:type="dxa"/>
            <w:left w:w="108" w:type="dxa"/>
            <w:bottom w:w="0" w:type="dxa"/>
            <w:right w:w="108" w:type="dxa"/>
          </w:tblCellMar>
        </w:tblPrEx>
        <w:trPr>
          <w:cantSplit/>
          <w:trHeight w:val="283" w:hRule="atLeast"/>
          <w:jc w:val="center"/>
        </w:trPr>
        <w:tc>
          <w:tcPr>
            <w:tcW w:w="1840" w:type="dxa"/>
            <w:tcBorders>
              <w:top w:val="single" w:color="auto" w:sz="4" w:space="0"/>
              <w:left w:val="single" w:color="auto" w:sz="4" w:space="0"/>
              <w:bottom w:val="nil"/>
              <w:right w:val="nil"/>
            </w:tcBorders>
            <w:tcMar>
              <w:top w:w="-1" w:type="dxa"/>
              <w:left w:w="-1" w:type="dxa"/>
              <w:bottom w:w="-1" w:type="dxa"/>
              <w:right w:w="-1" w:type="dxa"/>
            </w:tcMar>
            <w:vAlign w:val="center"/>
          </w:tcPr>
          <w:p w14:paraId="4BBC6447">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Junior rank → first higher rank</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4B7DC68F">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307,006</w:t>
            </w:r>
          </w:p>
        </w:tc>
        <w:tc>
          <w:tcPr>
            <w:tcW w:w="1283" w:type="dxa"/>
            <w:tcBorders>
              <w:top w:val="single" w:color="auto" w:sz="4" w:space="0"/>
              <w:left w:val="single" w:color="auto" w:sz="4" w:space="0"/>
              <w:bottom w:val="nil"/>
              <w:right w:val="nil"/>
            </w:tcBorders>
            <w:tcMar>
              <w:top w:w="-1" w:type="dxa"/>
              <w:left w:w="-1" w:type="dxa"/>
              <w:bottom w:w="-1" w:type="dxa"/>
              <w:right w:w="-1" w:type="dxa"/>
            </w:tcMar>
            <w:vAlign w:val="center"/>
          </w:tcPr>
          <w:p w14:paraId="0BE6FDDA">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133,391</w:t>
            </w:r>
          </w:p>
        </w:tc>
        <w:tc>
          <w:tcPr>
            <w:tcW w:w="1182" w:type="dxa"/>
            <w:tcBorders>
              <w:top w:val="single" w:color="auto" w:sz="4" w:space="0"/>
              <w:left w:val="single" w:color="auto" w:sz="4" w:space="0"/>
              <w:bottom w:val="nil"/>
              <w:right w:val="nil"/>
            </w:tcBorders>
            <w:tcMar>
              <w:top w:w="-1" w:type="dxa"/>
              <w:left w:w="-1" w:type="dxa"/>
              <w:bottom w:w="-1" w:type="dxa"/>
              <w:right w:w="-1" w:type="dxa"/>
            </w:tcMar>
            <w:vAlign w:val="center"/>
          </w:tcPr>
          <w:p w14:paraId="514F6ADD">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1.325</w:t>
            </w:r>
          </w:p>
        </w:tc>
        <w:tc>
          <w:tcPr>
            <w:tcW w:w="932" w:type="dxa"/>
            <w:tcBorders>
              <w:top w:val="single" w:color="auto" w:sz="4" w:space="0"/>
              <w:left w:val="single" w:color="auto" w:sz="4" w:space="0"/>
              <w:bottom w:val="nil"/>
              <w:right w:val="nil"/>
            </w:tcBorders>
            <w:tcMar>
              <w:top w:w="-1" w:type="dxa"/>
              <w:left w:w="-1" w:type="dxa"/>
              <w:bottom w:w="-1" w:type="dxa"/>
              <w:right w:w="-1" w:type="dxa"/>
            </w:tcMar>
            <w:vAlign w:val="center"/>
          </w:tcPr>
          <w:p w14:paraId="036AE80C">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0.008</w:t>
            </w:r>
          </w:p>
        </w:tc>
        <w:tc>
          <w:tcPr>
            <w:tcW w:w="801" w:type="dxa"/>
            <w:tcBorders>
              <w:top w:val="single" w:color="auto" w:sz="4" w:space="0"/>
              <w:left w:val="single" w:color="auto" w:sz="4" w:space="0"/>
              <w:bottom w:val="nil"/>
              <w:right w:val="nil"/>
            </w:tcBorders>
            <w:tcMar>
              <w:top w:w="-1" w:type="dxa"/>
              <w:left w:w="-1" w:type="dxa"/>
              <w:bottom w:w="-1" w:type="dxa"/>
              <w:right w:w="-1" w:type="dxa"/>
            </w:tcMar>
            <w:vAlign w:val="center"/>
          </w:tcPr>
          <w:p w14:paraId="436C342B">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46.32</w:t>
            </w:r>
          </w:p>
        </w:tc>
        <w:tc>
          <w:tcPr>
            <w:tcW w:w="997" w:type="dxa"/>
            <w:tcBorders>
              <w:top w:val="single" w:color="auto" w:sz="4" w:space="0"/>
              <w:left w:val="single" w:color="auto" w:sz="4" w:space="0"/>
              <w:bottom w:val="nil"/>
              <w:right w:val="nil"/>
            </w:tcBorders>
            <w:tcMar>
              <w:top w:w="-1" w:type="dxa"/>
              <w:left w:w="-1" w:type="dxa"/>
              <w:bottom w:w="-1" w:type="dxa"/>
              <w:right w:w="-1" w:type="dxa"/>
            </w:tcMar>
            <w:vAlign w:val="center"/>
          </w:tcPr>
          <w:p w14:paraId="4BB2C1D9">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50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1DC7F9A">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w:t>
            </w:r>
            <w:r>
              <w:rPr>
                <w:rFonts w:hint="default" w:ascii="Times New Roman" w:hAnsi="Times New Roman" w:eastAsia="宋体" w:cs="Times New Roman"/>
                <w:kern w:val="0"/>
                <w:szCs w:val="21"/>
                <w:lang w:val="en-US" w:eastAsia="zh-CN" w:bidi="ar"/>
              </w:rPr>
              <w:t>10</w:t>
            </w:r>
            <w:r>
              <w:rPr>
                <w:rFonts w:hint="default" w:ascii="Times New Roman" w:hAnsi="Times New Roman" w:eastAsia="宋体" w:cs="Times New Roman"/>
                <w:kern w:val="0"/>
                <w:szCs w:val="21"/>
                <w:lang w:bidi="ar"/>
              </w:rPr>
              <w:t>, 1.341]</w:t>
            </w:r>
          </w:p>
        </w:tc>
      </w:tr>
      <w:tr w14:paraId="4F600AFC">
        <w:tblPrEx>
          <w:tblCellMar>
            <w:top w:w="0" w:type="dxa"/>
            <w:left w:w="108" w:type="dxa"/>
            <w:bottom w:w="0" w:type="dxa"/>
            <w:right w:w="108" w:type="dxa"/>
          </w:tblCellMar>
        </w:tblPrEx>
        <w:trPr>
          <w:cantSplit/>
          <w:trHeight w:val="283" w:hRule="atLeast"/>
          <w:jc w:val="center"/>
        </w:trPr>
        <w:tc>
          <w:tcPr>
            <w:tcW w:w="1840" w:type="dxa"/>
            <w:tcBorders>
              <w:top w:val="single" w:color="auto" w:sz="4" w:space="0"/>
              <w:left w:val="single" w:color="auto" w:sz="4" w:space="0"/>
              <w:bottom w:val="nil"/>
              <w:right w:val="nil"/>
            </w:tcBorders>
            <w:tcMar>
              <w:top w:w="-1" w:type="dxa"/>
              <w:left w:w="-1" w:type="dxa"/>
              <w:bottom w:w="-1" w:type="dxa"/>
              <w:right w:w="-1" w:type="dxa"/>
            </w:tcMar>
            <w:vAlign w:val="center"/>
          </w:tcPr>
          <w:p w14:paraId="38E289C6">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Mid/senior rank → full professor</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59E967B8">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241,492</w:t>
            </w:r>
          </w:p>
        </w:tc>
        <w:tc>
          <w:tcPr>
            <w:tcW w:w="1283" w:type="dxa"/>
            <w:tcBorders>
              <w:top w:val="single" w:color="auto" w:sz="4" w:space="0"/>
              <w:left w:val="single" w:color="auto" w:sz="4" w:space="0"/>
              <w:bottom w:val="nil"/>
              <w:right w:val="nil"/>
            </w:tcBorders>
            <w:tcMar>
              <w:top w:w="-1" w:type="dxa"/>
              <w:left w:w="-1" w:type="dxa"/>
              <w:bottom w:w="-1" w:type="dxa"/>
              <w:right w:w="-1" w:type="dxa"/>
            </w:tcMar>
            <w:vAlign w:val="center"/>
          </w:tcPr>
          <w:p w14:paraId="3EF7C540">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80,559</w:t>
            </w:r>
          </w:p>
        </w:tc>
        <w:tc>
          <w:tcPr>
            <w:tcW w:w="1182" w:type="dxa"/>
            <w:tcBorders>
              <w:top w:val="single" w:color="auto" w:sz="4" w:space="0"/>
              <w:left w:val="single" w:color="auto" w:sz="4" w:space="0"/>
              <w:bottom w:val="nil"/>
              <w:right w:val="nil"/>
            </w:tcBorders>
            <w:tcMar>
              <w:top w:w="-1" w:type="dxa"/>
              <w:left w:w="-1" w:type="dxa"/>
              <w:bottom w:w="-1" w:type="dxa"/>
              <w:right w:w="-1" w:type="dxa"/>
            </w:tcMar>
            <w:vAlign w:val="center"/>
          </w:tcPr>
          <w:p w14:paraId="17E453AD">
            <w:pPr>
              <w:keepNext/>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1.22</w:t>
            </w:r>
            <w:r>
              <w:rPr>
                <w:rFonts w:hint="default" w:ascii="Times New Roman" w:hAnsi="Times New Roman" w:eastAsia="宋体" w:cs="Times New Roman"/>
                <w:kern w:val="0"/>
                <w:szCs w:val="21"/>
                <w:lang w:val="en-US" w:eastAsia="zh-CN" w:bidi="ar"/>
              </w:rPr>
              <w:t>9</w:t>
            </w:r>
          </w:p>
        </w:tc>
        <w:tc>
          <w:tcPr>
            <w:tcW w:w="932" w:type="dxa"/>
            <w:tcBorders>
              <w:top w:val="single" w:color="auto" w:sz="4" w:space="0"/>
              <w:left w:val="single" w:color="auto" w:sz="4" w:space="0"/>
              <w:bottom w:val="nil"/>
              <w:right w:val="nil"/>
            </w:tcBorders>
            <w:tcMar>
              <w:top w:w="-1" w:type="dxa"/>
              <w:left w:w="-1" w:type="dxa"/>
              <w:bottom w:w="-1" w:type="dxa"/>
              <w:right w:w="-1" w:type="dxa"/>
            </w:tcMar>
            <w:vAlign w:val="center"/>
          </w:tcPr>
          <w:p w14:paraId="678F341A">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0.009</w:t>
            </w:r>
          </w:p>
        </w:tc>
        <w:tc>
          <w:tcPr>
            <w:tcW w:w="801" w:type="dxa"/>
            <w:tcBorders>
              <w:top w:val="single" w:color="auto" w:sz="4" w:space="0"/>
              <w:left w:val="single" w:color="auto" w:sz="4" w:space="0"/>
              <w:bottom w:val="nil"/>
              <w:right w:val="nil"/>
            </w:tcBorders>
            <w:tcMar>
              <w:top w:w="-1" w:type="dxa"/>
              <w:left w:w="-1" w:type="dxa"/>
              <w:bottom w:w="-1" w:type="dxa"/>
              <w:right w:w="-1" w:type="dxa"/>
            </w:tcMar>
            <w:vAlign w:val="center"/>
          </w:tcPr>
          <w:p w14:paraId="1C62E9BF">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27.71</w:t>
            </w:r>
          </w:p>
        </w:tc>
        <w:tc>
          <w:tcPr>
            <w:tcW w:w="997" w:type="dxa"/>
            <w:tcBorders>
              <w:top w:val="single" w:color="auto" w:sz="4" w:space="0"/>
              <w:left w:val="single" w:color="auto" w:sz="4" w:space="0"/>
              <w:bottom w:val="nil"/>
              <w:right w:val="nil"/>
            </w:tcBorders>
            <w:tcMar>
              <w:top w:w="-1" w:type="dxa"/>
              <w:left w:w="-1" w:type="dxa"/>
              <w:bottom w:w="-1" w:type="dxa"/>
              <w:right w:w="-1" w:type="dxa"/>
            </w:tcMar>
            <w:vAlign w:val="center"/>
          </w:tcPr>
          <w:p w14:paraId="5CD2A880">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50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7BE3E8D">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[1.21</w:t>
            </w:r>
            <w:r>
              <w:rPr>
                <w:rFonts w:hint="default" w:ascii="Times New Roman" w:hAnsi="Times New Roman" w:eastAsia="宋体" w:cs="Times New Roman"/>
                <w:kern w:val="0"/>
                <w:szCs w:val="21"/>
                <w:lang w:val="en-US" w:eastAsia="zh-CN" w:bidi="ar"/>
              </w:rPr>
              <w:t>1</w:t>
            </w:r>
            <w:r>
              <w:rPr>
                <w:rFonts w:hint="default" w:ascii="Times New Roman" w:hAnsi="Times New Roman" w:eastAsia="宋体" w:cs="Times New Roman"/>
                <w:kern w:val="0"/>
                <w:szCs w:val="21"/>
                <w:lang w:bidi="ar"/>
              </w:rPr>
              <w:t>, 1.24</w:t>
            </w:r>
            <w:r>
              <w:rPr>
                <w:rFonts w:hint="default" w:ascii="Times New Roman" w:hAnsi="Times New Roman" w:eastAsia="宋体" w:cs="Times New Roman"/>
                <w:kern w:val="0"/>
                <w:szCs w:val="21"/>
                <w:lang w:val="en-US" w:eastAsia="zh-CN" w:bidi="ar"/>
              </w:rPr>
              <w:t>7</w:t>
            </w:r>
            <w:r>
              <w:rPr>
                <w:rFonts w:hint="default" w:ascii="Times New Roman" w:hAnsi="Times New Roman" w:eastAsia="宋体" w:cs="Times New Roman"/>
                <w:kern w:val="0"/>
                <w:szCs w:val="21"/>
                <w:lang w:bidi="ar"/>
              </w:rPr>
              <w:t>]</w:t>
            </w:r>
          </w:p>
        </w:tc>
      </w:tr>
      <w:tr w14:paraId="41AEB711">
        <w:tblPrEx>
          <w:tblCellMar>
            <w:top w:w="0" w:type="dxa"/>
            <w:left w:w="108" w:type="dxa"/>
            <w:bottom w:w="0" w:type="dxa"/>
            <w:right w:w="108" w:type="dxa"/>
          </w:tblCellMar>
        </w:tblPrEx>
        <w:trPr>
          <w:cantSplit/>
          <w:trHeight w:val="283" w:hRule="atLeast"/>
          <w:jc w:val="center"/>
        </w:trPr>
        <w:tc>
          <w:tcPr>
            <w:tcW w:w="184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3A18946">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Junior rank → full professor</w:t>
            </w:r>
          </w:p>
        </w:tc>
        <w:tc>
          <w:tcPr>
            <w:tcW w:w="96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F89854F">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307,014</w:t>
            </w:r>
          </w:p>
        </w:tc>
        <w:tc>
          <w:tcPr>
            <w:tcW w:w="128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16A1EC7">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67,465</w:t>
            </w:r>
          </w:p>
        </w:tc>
        <w:tc>
          <w:tcPr>
            <w:tcW w:w="118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812C3C2">
            <w:pPr>
              <w:keepNext/>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1.3</w:t>
            </w:r>
            <w:r>
              <w:rPr>
                <w:rFonts w:hint="default" w:ascii="Times New Roman" w:hAnsi="Times New Roman" w:eastAsia="宋体" w:cs="Times New Roman"/>
                <w:kern w:val="0"/>
                <w:szCs w:val="21"/>
                <w:lang w:val="en-US" w:eastAsia="zh-CN" w:bidi="ar"/>
              </w:rPr>
              <w:t>50</w:t>
            </w:r>
          </w:p>
        </w:tc>
        <w:tc>
          <w:tcPr>
            <w:tcW w:w="93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B9E4A43">
            <w:pPr>
              <w:keepNext/>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0.01</w:t>
            </w:r>
            <w:r>
              <w:rPr>
                <w:rFonts w:hint="default" w:ascii="Times New Roman" w:hAnsi="Times New Roman" w:eastAsia="宋体" w:cs="Times New Roman"/>
                <w:kern w:val="0"/>
                <w:szCs w:val="21"/>
                <w:lang w:val="en-US" w:eastAsia="zh-CN" w:bidi="ar"/>
              </w:rPr>
              <w:t>2</w:t>
            </w:r>
          </w:p>
        </w:tc>
        <w:tc>
          <w:tcPr>
            <w:tcW w:w="80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CED32EC">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34.22</w:t>
            </w:r>
          </w:p>
        </w:tc>
        <w:tc>
          <w:tcPr>
            <w:tcW w:w="99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FCB8B2D">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50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D8CDA62">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[1.32</w:t>
            </w:r>
            <w:r>
              <w:rPr>
                <w:rFonts w:hint="default" w:ascii="Times New Roman" w:hAnsi="Times New Roman" w:eastAsia="宋体" w:cs="Times New Roman"/>
                <w:kern w:val="0"/>
                <w:szCs w:val="21"/>
                <w:lang w:val="en-US" w:eastAsia="zh-CN" w:bidi="ar"/>
              </w:rPr>
              <w:t>7</w:t>
            </w:r>
            <w:r>
              <w:rPr>
                <w:rFonts w:hint="default" w:ascii="Times New Roman" w:hAnsi="Times New Roman" w:eastAsia="宋体" w:cs="Times New Roman"/>
                <w:kern w:val="0"/>
                <w:szCs w:val="21"/>
                <w:lang w:bidi="ar"/>
              </w:rPr>
              <w:t>, 1.373]</w:t>
            </w:r>
          </w:p>
        </w:tc>
      </w:tr>
    </w:tbl>
    <w:p w14:paraId="4355A137">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The analysis compares elite- and non-elite-doctorate faculty across all universities and retains right-censored observations. HR values above one indicate a higher subsequent promotion rate among faculty with the same career duration who have not yet completed the transition. Models control for elite undergraduate education, gender, discipline, doctoral-completion year and its square, missing year, and country/region, with robust standard errors.</w:t>
      </w:r>
    </w:p>
    <w:p w14:paraId="65584438">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C. Weibull accelerated-failure-time models of expected promotion time</w:t>
      </w:r>
    </w:p>
    <w:tbl>
      <w:tblPr>
        <w:tblStyle w:val="5"/>
        <w:tblW w:w="10074" w:type="dxa"/>
        <w:jc w:val="center"/>
        <w:tblLayout w:type="fixed"/>
        <w:tblCellMar>
          <w:top w:w="0" w:type="dxa"/>
          <w:left w:w="108" w:type="dxa"/>
          <w:bottom w:w="0" w:type="dxa"/>
          <w:right w:w="108" w:type="dxa"/>
        </w:tblCellMar>
      </w:tblPr>
      <w:tblGrid>
        <w:gridCol w:w="1277"/>
        <w:gridCol w:w="923"/>
        <w:gridCol w:w="1209"/>
        <w:gridCol w:w="1145"/>
        <w:gridCol w:w="867"/>
        <w:gridCol w:w="843"/>
        <w:gridCol w:w="978"/>
        <w:gridCol w:w="942"/>
        <w:gridCol w:w="923"/>
        <w:gridCol w:w="967"/>
      </w:tblGrid>
      <w:tr w14:paraId="764ACC31">
        <w:tblPrEx>
          <w:tblCellMar>
            <w:top w:w="0" w:type="dxa"/>
            <w:left w:w="108" w:type="dxa"/>
            <w:bottom w:w="0" w:type="dxa"/>
            <w:right w:w="108" w:type="dxa"/>
          </w:tblCellMar>
        </w:tblPrEx>
        <w:trPr>
          <w:trHeight w:val="283" w:hRule="atLeast"/>
          <w:jc w:val="center"/>
        </w:trPr>
        <w:tc>
          <w:tcPr>
            <w:tcW w:w="1277" w:type="dxa"/>
            <w:tcBorders>
              <w:top w:val="single" w:color="auto" w:sz="4" w:space="0"/>
              <w:left w:val="single" w:color="auto" w:sz="4" w:space="0"/>
              <w:bottom w:val="nil"/>
              <w:right w:val="nil"/>
            </w:tcBorders>
            <w:tcMar>
              <w:top w:w="-1" w:type="dxa"/>
              <w:left w:w="-1" w:type="dxa"/>
              <w:bottom w:w="-1" w:type="dxa"/>
              <w:right w:w="-1" w:type="dxa"/>
            </w:tcMar>
            <w:vAlign w:val="center"/>
          </w:tcPr>
          <w:p w14:paraId="34BED11D">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Promotion transition</w:t>
            </w:r>
          </w:p>
        </w:tc>
        <w:tc>
          <w:tcPr>
            <w:tcW w:w="923" w:type="dxa"/>
            <w:tcBorders>
              <w:top w:val="single" w:color="auto" w:sz="4" w:space="0"/>
              <w:left w:val="single" w:color="auto" w:sz="4" w:space="0"/>
              <w:bottom w:val="nil"/>
              <w:right w:val="nil"/>
            </w:tcBorders>
            <w:tcMar>
              <w:top w:w="-1" w:type="dxa"/>
              <w:left w:w="-1" w:type="dxa"/>
              <w:bottom w:w="-1" w:type="dxa"/>
              <w:right w:w="-1" w:type="dxa"/>
            </w:tcMar>
            <w:vAlign w:val="center"/>
          </w:tcPr>
          <w:p w14:paraId="7A820B78">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N</w:t>
            </w:r>
          </w:p>
        </w:tc>
        <w:tc>
          <w:tcPr>
            <w:tcW w:w="1209" w:type="dxa"/>
            <w:tcBorders>
              <w:top w:val="single" w:color="auto" w:sz="4" w:space="0"/>
              <w:left w:val="single" w:color="auto" w:sz="4" w:space="0"/>
              <w:bottom w:val="nil"/>
              <w:right w:val="nil"/>
            </w:tcBorders>
            <w:tcMar>
              <w:top w:w="-1" w:type="dxa"/>
              <w:left w:w="-1" w:type="dxa"/>
              <w:bottom w:w="-1" w:type="dxa"/>
              <w:right w:w="-1" w:type="dxa"/>
            </w:tcMar>
            <w:vAlign w:val="center"/>
          </w:tcPr>
          <w:p w14:paraId="60C052E9">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Promotion events</w:t>
            </w:r>
          </w:p>
        </w:tc>
        <w:tc>
          <w:tcPr>
            <w:tcW w:w="1145" w:type="dxa"/>
            <w:tcBorders>
              <w:top w:val="single" w:color="auto" w:sz="4" w:space="0"/>
              <w:left w:val="single" w:color="auto" w:sz="4" w:space="0"/>
              <w:bottom w:val="nil"/>
              <w:right w:val="nil"/>
            </w:tcBorders>
            <w:tcMar>
              <w:top w:w="-1" w:type="dxa"/>
              <w:left w:w="-1" w:type="dxa"/>
              <w:bottom w:w="-1" w:type="dxa"/>
              <w:right w:w="-1" w:type="dxa"/>
            </w:tcMar>
            <w:vAlign w:val="center"/>
          </w:tcPr>
          <w:p w14:paraId="5477C38B">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Raw coefficient b</w:t>
            </w:r>
          </w:p>
        </w:tc>
        <w:tc>
          <w:tcPr>
            <w:tcW w:w="867" w:type="dxa"/>
            <w:tcBorders>
              <w:top w:val="single" w:color="auto" w:sz="4" w:space="0"/>
              <w:left w:val="single" w:color="auto" w:sz="4" w:space="0"/>
              <w:bottom w:val="nil"/>
              <w:right w:val="nil"/>
            </w:tcBorders>
            <w:tcMar>
              <w:top w:w="-1" w:type="dxa"/>
              <w:left w:w="-1" w:type="dxa"/>
              <w:bottom w:w="-1" w:type="dxa"/>
              <w:right w:w="-1" w:type="dxa"/>
            </w:tcMar>
            <w:vAlign w:val="center"/>
          </w:tcPr>
          <w:p w14:paraId="68F5C3A3">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Robust SE</w:t>
            </w:r>
          </w:p>
        </w:tc>
        <w:tc>
          <w:tcPr>
            <w:tcW w:w="843" w:type="dxa"/>
            <w:tcBorders>
              <w:top w:val="single" w:color="auto" w:sz="4" w:space="0"/>
              <w:left w:val="single" w:color="auto" w:sz="4" w:space="0"/>
              <w:bottom w:val="nil"/>
              <w:right w:val="nil"/>
            </w:tcBorders>
            <w:tcMar>
              <w:top w:w="-1" w:type="dxa"/>
              <w:left w:w="-1" w:type="dxa"/>
              <w:bottom w:w="-1" w:type="dxa"/>
              <w:right w:w="-1" w:type="dxa"/>
            </w:tcMar>
            <w:vAlign w:val="center"/>
          </w:tcPr>
          <w:p w14:paraId="04A84F6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z</w:t>
            </w:r>
          </w:p>
        </w:tc>
        <w:tc>
          <w:tcPr>
            <w:tcW w:w="978" w:type="dxa"/>
            <w:tcBorders>
              <w:top w:val="single" w:color="auto" w:sz="4" w:space="0"/>
              <w:left w:val="single" w:color="auto" w:sz="4" w:space="0"/>
              <w:bottom w:val="nil"/>
              <w:right w:val="nil"/>
            </w:tcBorders>
            <w:tcMar>
              <w:top w:w="-1" w:type="dxa"/>
              <w:left w:w="-1" w:type="dxa"/>
              <w:bottom w:w="-1" w:type="dxa"/>
              <w:right w:w="-1" w:type="dxa"/>
            </w:tcMar>
            <w:vAlign w:val="center"/>
          </w:tcPr>
          <w:p w14:paraId="2993871A">
            <w:pPr>
              <w:widowControl/>
              <w:snapToGrid w:val="0"/>
              <w:spacing w:before="0" w:after="0" w:line="240" w:lineRule="auto"/>
              <w:jc w:val="center"/>
              <w:textAlignment w:val="center"/>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p-value</w:t>
            </w:r>
          </w:p>
        </w:tc>
        <w:tc>
          <w:tcPr>
            <w:tcW w:w="942" w:type="dxa"/>
            <w:tcBorders>
              <w:top w:val="single" w:color="auto" w:sz="4" w:space="0"/>
              <w:left w:val="single" w:color="auto" w:sz="4" w:space="0"/>
              <w:bottom w:val="nil"/>
              <w:right w:val="nil"/>
            </w:tcBorders>
            <w:tcMar>
              <w:top w:w="-1" w:type="dxa"/>
              <w:left w:w="-1" w:type="dxa"/>
              <w:bottom w:w="-1" w:type="dxa"/>
              <w:right w:w="-1" w:type="dxa"/>
            </w:tcMar>
            <w:vAlign w:val="center"/>
          </w:tcPr>
          <w:p w14:paraId="0F43D61A">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 for b</w:t>
            </w:r>
          </w:p>
        </w:tc>
        <w:tc>
          <w:tcPr>
            <w:tcW w:w="923" w:type="dxa"/>
            <w:tcBorders>
              <w:top w:val="single" w:color="auto" w:sz="4" w:space="0"/>
              <w:left w:val="single" w:color="auto" w:sz="4" w:space="0"/>
              <w:bottom w:val="nil"/>
              <w:right w:val="nil"/>
            </w:tcBorders>
            <w:tcMar>
              <w:top w:w="-1" w:type="dxa"/>
              <w:left w:w="-1" w:type="dxa"/>
              <w:bottom w:w="-1" w:type="dxa"/>
              <w:right w:w="-1" w:type="dxa"/>
            </w:tcMar>
            <w:vAlign w:val="center"/>
          </w:tcPr>
          <w:p w14:paraId="71BB58DD">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Time ratio exp(b)</w:t>
            </w:r>
          </w:p>
        </w:tc>
        <w:tc>
          <w:tcPr>
            <w:tcW w:w="9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C17F0DE">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 for time ratio</w:t>
            </w:r>
          </w:p>
        </w:tc>
      </w:tr>
      <w:tr w14:paraId="5D175541">
        <w:tblPrEx>
          <w:tblCellMar>
            <w:top w:w="0" w:type="dxa"/>
            <w:left w:w="108" w:type="dxa"/>
            <w:bottom w:w="0" w:type="dxa"/>
            <w:right w:w="108" w:type="dxa"/>
          </w:tblCellMar>
        </w:tblPrEx>
        <w:trPr>
          <w:trHeight w:val="283" w:hRule="atLeast"/>
          <w:jc w:val="center"/>
        </w:trPr>
        <w:tc>
          <w:tcPr>
            <w:tcW w:w="1277" w:type="dxa"/>
            <w:tcBorders>
              <w:top w:val="single" w:color="auto" w:sz="4" w:space="0"/>
              <w:left w:val="single" w:color="auto" w:sz="4" w:space="0"/>
              <w:bottom w:val="nil"/>
              <w:right w:val="nil"/>
            </w:tcBorders>
            <w:tcMar>
              <w:top w:w="-1" w:type="dxa"/>
              <w:left w:w="-1" w:type="dxa"/>
              <w:bottom w:w="-1" w:type="dxa"/>
              <w:right w:w="-1" w:type="dxa"/>
            </w:tcMar>
            <w:vAlign w:val="center"/>
          </w:tcPr>
          <w:p w14:paraId="5EA0F5C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Junior rank → first higher rank</w:t>
            </w:r>
          </w:p>
        </w:tc>
        <w:tc>
          <w:tcPr>
            <w:tcW w:w="923" w:type="dxa"/>
            <w:tcBorders>
              <w:top w:val="single" w:color="auto" w:sz="4" w:space="0"/>
              <w:left w:val="single" w:color="auto" w:sz="4" w:space="0"/>
              <w:bottom w:val="nil"/>
              <w:right w:val="nil"/>
            </w:tcBorders>
            <w:tcMar>
              <w:top w:w="-1" w:type="dxa"/>
              <w:left w:w="-1" w:type="dxa"/>
              <w:bottom w:w="-1" w:type="dxa"/>
              <w:right w:w="-1" w:type="dxa"/>
            </w:tcMar>
            <w:vAlign w:val="center"/>
          </w:tcPr>
          <w:p w14:paraId="5686A87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307,006</w:t>
            </w:r>
          </w:p>
        </w:tc>
        <w:tc>
          <w:tcPr>
            <w:tcW w:w="1209" w:type="dxa"/>
            <w:tcBorders>
              <w:top w:val="single" w:color="auto" w:sz="4" w:space="0"/>
              <w:left w:val="single" w:color="auto" w:sz="4" w:space="0"/>
              <w:bottom w:val="nil"/>
              <w:right w:val="nil"/>
            </w:tcBorders>
            <w:tcMar>
              <w:top w:w="-1" w:type="dxa"/>
              <w:left w:w="-1" w:type="dxa"/>
              <w:bottom w:w="-1" w:type="dxa"/>
              <w:right w:w="-1" w:type="dxa"/>
            </w:tcMar>
            <w:vAlign w:val="center"/>
          </w:tcPr>
          <w:p w14:paraId="5365DA0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133,391</w:t>
            </w:r>
          </w:p>
        </w:tc>
        <w:tc>
          <w:tcPr>
            <w:tcW w:w="1145" w:type="dxa"/>
            <w:tcBorders>
              <w:top w:val="single" w:color="auto" w:sz="4" w:space="0"/>
              <w:left w:val="single" w:color="auto" w:sz="4" w:space="0"/>
              <w:bottom w:val="nil"/>
              <w:right w:val="nil"/>
            </w:tcBorders>
            <w:tcMar>
              <w:top w:w="-1" w:type="dxa"/>
              <w:left w:w="-1" w:type="dxa"/>
              <w:bottom w:w="-1" w:type="dxa"/>
              <w:right w:w="-1" w:type="dxa"/>
            </w:tcMar>
            <w:vAlign w:val="center"/>
          </w:tcPr>
          <w:p w14:paraId="7F065D5D">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−0.20</w:t>
            </w:r>
            <w:r>
              <w:rPr>
                <w:rFonts w:hint="default" w:ascii="Times New Roman" w:hAnsi="Times New Roman" w:eastAsia="宋体" w:cs="Times New Roman"/>
                <w:kern w:val="0"/>
                <w:szCs w:val="21"/>
                <w:lang w:val="en-US" w:eastAsia="zh-CN" w:bidi="ar"/>
              </w:rPr>
              <w:t>5</w:t>
            </w:r>
          </w:p>
        </w:tc>
        <w:tc>
          <w:tcPr>
            <w:tcW w:w="867" w:type="dxa"/>
            <w:tcBorders>
              <w:top w:val="single" w:color="auto" w:sz="4" w:space="0"/>
              <w:left w:val="single" w:color="auto" w:sz="4" w:space="0"/>
              <w:bottom w:val="nil"/>
              <w:right w:val="nil"/>
            </w:tcBorders>
            <w:tcMar>
              <w:top w:w="-1" w:type="dxa"/>
              <w:left w:w="-1" w:type="dxa"/>
              <w:bottom w:w="-1" w:type="dxa"/>
              <w:right w:w="-1" w:type="dxa"/>
            </w:tcMar>
            <w:vAlign w:val="center"/>
          </w:tcPr>
          <w:p w14:paraId="254FEB36">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0.00</w:t>
            </w:r>
            <w:r>
              <w:rPr>
                <w:rFonts w:hint="default" w:ascii="Times New Roman" w:hAnsi="Times New Roman" w:eastAsia="宋体" w:cs="Times New Roman"/>
                <w:kern w:val="0"/>
                <w:szCs w:val="21"/>
                <w:lang w:val="en-US" w:eastAsia="zh-CN" w:bidi="ar"/>
              </w:rPr>
              <w:t>5</w:t>
            </w:r>
          </w:p>
        </w:tc>
        <w:tc>
          <w:tcPr>
            <w:tcW w:w="843" w:type="dxa"/>
            <w:tcBorders>
              <w:top w:val="single" w:color="auto" w:sz="4" w:space="0"/>
              <w:left w:val="single" w:color="auto" w:sz="4" w:space="0"/>
              <w:bottom w:val="nil"/>
              <w:right w:val="nil"/>
            </w:tcBorders>
            <w:tcMar>
              <w:top w:w="-1" w:type="dxa"/>
              <w:left w:w="-1" w:type="dxa"/>
              <w:bottom w:w="-1" w:type="dxa"/>
              <w:right w:w="-1" w:type="dxa"/>
            </w:tcMar>
            <w:vAlign w:val="center"/>
          </w:tcPr>
          <w:p w14:paraId="6D4EC51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−43.35</w:t>
            </w:r>
          </w:p>
        </w:tc>
        <w:tc>
          <w:tcPr>
            <w:tcW w:w="978" w:type="dxa"/>
            <w:tcBorders>
              <w:top w:val="single" w:color="auto" w:sz="4" w:space="0"/>
              <w:left w:val="single" w:color="auto" w:sz="4" w:space="0"/>
              <w:bottom w:val="nil"/>
              <w:right w:val="nil"/>
            </w:tcBorders>
            <w:tcMar>
              <w:top w:w="-1" w:type="dxa"/>
              <w:left w:w="-1" w:type="dxa"/>
              <w:bottom w:w="-1" w:type="dxa"/>
              <w:right w:w="-1" w:type="dxa"/>
            </w:tcMar>
            <w:vAlign w:val="center"/>
          </w:tcPr>
          <w:p w14:paraId="18409FD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942" w:type="dxa"/>
            <w:tcBorders>
              <w:top w:val="single" w:color="auto" w:sz="4" w:space="0"/>
              <w:left w:val="single" w:color="auto" w:sz="4" w:space="0"/>
              <w:bottom w:val="nil"/>
              <w:right w:val="nil"/>
            </w:tcBorders>
            <w:tcMar>
              <w:top w:w="-1" w:type="dxa"/>
              <w:left w:w="-1" w:type="dxa"/>
              <w:bottom w:w="-1" w:type="dxa"/>
              <w:right w:w="-1" w:type="dxa"/>
            </w:tcMar>
            <w:vAlign w:val="center"/>
          </w:tcPr>
          <w:p w14:paraId="455F376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[−0.214, −0.196]</w:t>
            </w:r>
          </w:p>
        </w:tc>
        <w:tc>
          <w:tcPr>
            <w:tcW w:w="923" w:type="dxa"/>
            <w:tcBorders>
              <w:top w:val="single" w:color="auto" w:sz="4" w:space="0"/>
              <w:left w:val="single" w:color="auto" w:sz="4" w:space="0"/>
              <w:bottom w:val="nil"/>
              <w:right w:val="nil"/>
            </w:tcBorders>
            <w:tcMar>
              <w:top w:w="-1" w:type="dxa"/>
              <w:left w:w="-1" w:type="dxa"/>
              <w:bottom w:w="-1" w:type="dxa"/>
              <w:right w:w="-1" w:type="dxa"/>
            </w:tcMar>
            <w:vAlign w:val="center"/>
          </w:tcPr>
          <w:p w14:paraId="70D1B23D">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0.81</w:t>
            </w:r>
            <w:r>
              <w:rPr>
                <w:rFonts w:hint="default" w:ascii="Times New Roman" w:hAnsi="Times New Roman" w:eastAsia="宋体" w:cs="Times New Roman"/>
                <w:kern w:val="0"/>
                <w:szCs w:val="21"/>
                <w:lang w:val="en-US" w:eastAsia="zh-CN" w:bidi="ar"/>
              </w:rPr>
              <w:t>5</w:t>
            </w:r>
          </w:p>
        </w:tc>
        <w:tc>
          <w:tcPr>
            <w:tcW w:w="9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AC4DB6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[0.807, 0.822]</w:t>
            </w:r>
          </w:p>
        </w:tc>
      </w:tr>
      <w:tr w14:paraId="1302149E">
        <w:tblPrEx>
          <w:tblCellMar>
            <w:top w:w="0" w:type="dxa"/>
            <w:left w:w="108" w:type="dxa"/>
            <w:bottom w:w="0" w:type="dxa"/>
            <w:right w:w="108" w:type="dxa"/>
          </w:tblCellMar>
        </w:tblPrEx>
        <w:trPr>
          <w:trHeight w:val="283" w:hRule="atLeast"/>
          <w:jc w:val="center"/>
        </w:trPr>
        <w:tc>
          <w:tcPr>
            <w:tcW w:w="1277" w:type="dxa"/>
            <w:tcBorders>
              <w:top w:val="single" w:color="auto" w:sz="4" w:space="0"/>
              <w:left w:val="single" w:color="auto" w:sz="4" w:space="0"/>
              <w:bottom w:val="nil"/>
              <w:right w:val="nil"/>
            </w:tcBorders>
            <w:tcMar>
              <w:top w:w="-1" w:type="dxa"/>
              <w:left w:w="-1" w:type="dxa"/>
              <w:bottom w:w="-1" w:type="dxa"/>
              <w:right w:w="-1" w:type="dxa"/>
            </w:tcMar>
            <w:vAlign w:val="center"/>
          </w:tcPr>
          <w:p w14:paraId="4CEFCC1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Mid/senior rank → full professor</w:t>
            </w:r>
          </w:p>
        </w:tc>
        <w:tc>
          <w:tcPr>
            <w:tcW w:w="923" w:type="dxa"/>
            <w:tcBorders>
              <w:top w:val="single" w:color="auto" w:sz="4" w:space="0"/>
              <w:left w:val="single" w:color="auto" w:sz="4" w:space="0"/>
              <w:bottom w:val="nil"/>
              <w:right w:val="nil"/>
            </w:tcBorders>
            <w:tcMar>
              <w:top w:w="-1" w:type="dxa"/>
              <w:left w:w="-1" w:type="dxa"/>
              <w:bottom w:w="-1" w:type="dxa"/>
              <w:right w:w="-1" w:type="dxa"/>
            </w:tcMar>
            <w:vAlign w:val="center"/>
          </w:tcPr>
          <w:p w14:paraId="0A42E05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241,492</w:t>
            </w:r>
          </w:p>
        </w:tc>
        <w:tc>
          <w:tcPr>
            <w:tcW w:w="1209" w:type="dxa"/>
            <w:tcBorders>
              <w:top w:val="single" w:color="auto" w:sz="4" w:space="0"/>
              <w:left w:val="single" w:color="auto" w:sz="4" w:space="0"/>
              <w:bottom w:val="nil"/>
              <w:right w:val="nil"/>
            </w:tcBorders>
            <w:tcMar>
              <w:top w:w="-1" w:type="dxa"/>
              <w:left w:w="-1" w:type="dxa"/>
              <w:bottom w:w="-1" w:type="dxa"/>
              <w:right w:w="-1" w:type="dxa"/>
            </w:tcMar>
            <w:vAlign w:val="center"/>
          </w:tcPr>
          <w:p w14:paraId="24F7FC8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80,559</w:t>
            </w:r>
          </w:p>
        </w:tc>
        <w:tc>
          <w:tcPr>
            <w:tcW w:w="1145" w:type="dxa"/>
            <w:tcBorders>
              <w:top w:val="single" w:color="auto" w:sz="4" w:space="0"/>
              <w:left w:val="single" w:color="auto" w:sz="4" w:space="0"/>
              <w:bottom w:val="nil"/>
              <w:right w:val="nil"/>
            </w:tcBorders>
            <w:tcMar>
              <w:top w:w="-1" w:type="dxa"/>
              <w:left w:w="-1" w:type="dxa"/>
              <w:bottom w:w="-1" w:type="dxa"/>
              <w:right w:w="-1" w:type="dxa"/>
            </w:tcMar>
            <w:vAlign w:val="center"/>
          </w:tcPr>
          <w:p w14:paraId="0098D8F5">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−0.15</w:t>
            </w:r>
            <w:r>
              <w:rPr>
                <w:rFonts w:hint="default" w:ascii="Times New Roman" w:hAnsi="Times New Roman" w:eastAsia="宋体" w:cs="Times New Roman"/>
                <w:kern w:val="0"/>
                <w:szCs w:val="21"/>
                <w:lang w:val="en-US" w:eastAsia="zh-CN" w:bidi="ar"/>
              </w:rPr>
              <w:t>4</w:t>
            </w:r>
          </w:p>
        </w:tc>
        <w:tc>
          <w:tcPr>
            <w:tcW w:w="867" w:type="dxa"/>
            <w:tcBorders>
              <w:top w:val="single" w:color="auto" w:sz="4" w:space="0"/>
              <w:left w:val="single" w:color="auto" w:sz="4" w:space="0"/>
              <w:bottom w:val="nil"/>
              <w:right w:val="nil"/>
            </w:tcBorders>
            <w:tcMar>
              <w:top w:w="-1" w:type="dxa"/>
              <w:left w:w="-1" w:type="dxa"/>
              <w:bottom w:w="-1" w:type="dxa"/>
              <w:right w:w="-1" w:type="dxa"/>
            </w:tcMar>
            <w:vAlign w:val="center"/>
          </w:tcPr>
          <w:p w14:paraId="7D1179DE">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0.00</w:t>
            </w:r>
            <w:r>
              <w:rPr>
                <w:rFonts w:hint="default" w:ascii="Times New Roman" w:hAnsi="Times New Roman" w:eastAsia="宋体" w:cs="Times New Roman"/>
                <w:kern w:val="0"/>
                <w:szCs w:val="21"/>
                <w:lang w:val="en-US" w:eastAsia="zh-CN" w:bidi="ar"/>
              </w:rPr>
              <w:t>5</w:t>
            </w:r>
          </w:p>
        </w:tc>
        <w:tc>
          <w:tcPr>
            <w:tcW w:w="843" w:type="dxa"/>
            <w:tcBorders>
              <w:top w:val="single" w:color="auto" w:sz="4" w:space="0"/>
              <w:left w:val="single" w:color="auto" w:sz="4" w:space="0"/>
              <w:bottom w:val="nil"/>
              <w:right w:val="nil"/>
            </w:tcBorders>
            <w:tcMar>
              <w:top w:w="-1" w:type="dxa"/>
              <w:left w:w="-1" w:type="dxa"/>
              <w:bottom w:w="-1" w:type="dxa"/>
              <w:right w:w="-1" w:type="dxa"/>
            </w:tcMar>
            <w:vAlign w:val="center"/>
          </w:tcPr>
          <w:p w14:paraId="1623C8E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−28.32</w:t>
            </w:r>
          </w:p>
        </w:tc>
        <w:tc>
          <w:tcPr>
            <w:tcW w:w="978" w:type="dxa"/>
            <w:tcBorders>
              <w:top w:val="single" w:color="auto" w:sz="4" w:space="0"/>
              <w:left w:val="single" w:color="auto" w:sz="4" w:space="0"/>
              <w:bottom w:val="nil"/>
              <w:right w:val="nil"/>
            </w:tcBorders>
            <w:tcMar>
              <w:top w:w="-1" w:type="dxa"/>
              <w:left w:w="-1" w:type="dxa"/>
              <w:bottom w:w="-1" w:type="dxa"/>
              <w:right w:w="-1" w:type="dxa"/>
            </w:tcMar>
            <w:vAlign w:val="center"/>
          </w:tcPr>
          <w:p w14:paraId="07103BB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942" w:type="dxa"/>
            <w:tcBorders>
              <w:top w:val="single" w:color="auto" w:sz="4" w:space="0"/>
              <w:left w:val="single" w:color="auto" w:sz="4" w:space="0"/>
              <w:bottom w:val="nil"/>
              <w:right w:val="nil"/>
            </w:tcBorders>
            <w:tcMar>
              <w:top w:w="-1" w:type="dxa"/>
              <w:left w:w="-1" w:type="dxa"/>
              <w:bottom w:w="-1" w:type="dxa"/>
              <w:right w:w="-1" w:type="dxa"/>
            </w:tcMar>
            <w:vAlign w:val="center"/>
          </w:tcPr>
          <w:p w14:paraId="4B9DEBE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[−0.164, −0.14</w:t>
            </w:r>
            <w:r>
              <w:rPr>
                <w:rFonts w:hint="default" w:ascii="Times New Roman" w:hAnsi="Times New Roman" w:eastAsia="宋体" w:cs="Times New Roman"/>
                <w:kern w:val="0"/>
                <w:szCs w:val="21"/>
                <w:lang w:val="en-US" w:eastAsia="zh-CN" w:bidi="ar"/>
              </w:rPr>
              <w:t>3</w:t>
            </w:r>
            <w:r>
              <w:rPr>
                <w:rFonts w:hint="default" w:ascii="Times New Roman" w:hAnsi="Times New Roman" w:eastAsia="宋体" w:cs="Times New Roman"/>
                <w:kern w:val="0"/>
                <w:szCs w:val="21"/>
                <w:lang w:bidi="ar"/>
              </w:rPr>
              <w:t>]</w:t>
            </w:r>
          </w:p>
        </w:tc>
        <w:tc>
          <w:tcPr>
            <w:tcW w:w="923" w:type="dxa"/>
            <w:tcBorders>
              <w:top w:val="single" w:color="auto" w:sz="4" w:space="0"/>
              <w:left w:val="single" w:color="auto" w:sz="4" w:space="0"/>
              <w:bottom w:val="nil"/>
              <w:right w:val="nil"/>
            </w:tcBorders>
            <w:tcMar>
              <w:top w:w="-1" w:type="dxa"/>
              <w:left w:w="-1" w:type="dxa"/>
              <w:bottom w:w="-1" w:type="dxa"/>
              <w:right w:w="-1" w:type="dxa"/>
            </w:tcMar>
            <w:vAlign w:val="center"/>
          </w:tcPr>
          <w:p w14:paraId="32C3CB0D">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0.85</w:t>
            </w:r>
            <w:r>
              <w:rPr>
                <w:rFonts w:hint="default" w:ascii="Times New Roman" w:hAnsi="Times New Roman" w:eastAsia="宋体" w:cs="Times New Roman"/>
                <w:kern w:val="0"/>
                <w:szCs w:val="21"/>
                <w:lang w:val="en-US" w:eastAsia="zh-CN" w:bidi="ar"/>
              </w:rPr>
              <w:t>8</w:t>
            </w:r>
          </w:p>
        </w:tc>
        <w:tc>
          <w:tcPr>
            <w:tcW w:w="9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5BC747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[0.84</w:t>
            </w:r>
            <w:r>
              <w:rPr>
                <w:rFonts w:hint="default" w:ascii="Times New Roman" w:hAnsi="Times New Roman" w:eastAsia="宋体" w:cs="Times New Roman"/>
                <w:kern w:val="0"/>
                <w:szCs w:val="21"/>
                <w:lang w:val="en-US" w:eastAsia="zh-CN" w:bidi="ar"/>
              </w:rPr>
              <w:t>9</w:t>
            </w:r>
            <w:r>
              <w:rPr>
                <w:rFonts w:hint="default" w:ascii="Times New Roman" w:hAnsi="Times New Roman" w:eastAsia="宋体" w:cs="Times New Roman"/>
                <w:kern w:val="0"/>
                <w:szCs w:val="21"/>
                <w:lang w:bidi="ar"/>
              </w:rPr>
              <w:t>, 0.86</w:t>
            </w:r>
            <w:r>
              <w:rPr>
                <w:rFonts w:hint="default" w:ascii="Times New Roman" w:hAnsi="Times New Roman" w:eastAsia="宋体" w:cs="Times New Roman"/>
                <w:kern w:val="0"/>
                <w:szCs w:val="21"/>
                <w:lang w:val="en-US" w:eastAsia="zh-CN" w:bidi="ar"/>
              </w:rPr>
              <w:t>7</w:t>
            </w:r>
            <w:r>
              <w:rPr>
                <w:rFonts w:hint="default" w:ascii="Times New Roman" w:hAnsi="Times New Roman" w:eastAsia="宋体" w:cs="Times New Roman"/>
                <w:kern w:val="0"/>
                <w:szCs w:val="21"/>
                <w:lang w:bidi="ar"/>
              </w:rPr>
              <w:t>]</w:t>
            </w:r>
          </w:p>
        </w:tc>
      </w:tr>
      <w:tr w14:paraId="25DC2489">
        <w:tblPrEx>
          <w:tblCellMar>
            <w:top w:w="0" w:type="dxa"/>
            <w:left w:w="108" w:type="dxa"/>
            <w:bottom w:w="0" w:type="dxa"/>
            <w:right w:w="108" w:type="dxa"/>
          </w:tblCellMar>
        </w:tblPrEx>
        <w:trPr>
          <w:trHeight w:val="283" w:hRule="atLeast"/>
          <w:jc w:val="center"/>
        </w:trPr>
        <w:tc>
          <w:tcPr>
            <w:tcW w:w="127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EB836E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Junior rank → full professor</w:t>
            </w:r>
          </w:p>
        </w:tc>
        <w:tc>
          <w:tcPr>
            <w:tcW w:w="92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FD23EB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307,014</w:t>
            </w:r>
          </w:p>
        </w:tc>
        <w:tc>
          <w:tcPr>
            <w:tcW w:w="12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EFA787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67,465</w:t>
            </w:r>
          </w:p>
        </w:tc>
        <w:tc>
          <w:tcPr>
            <w:tcW w:w="114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B108813">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−0.14</w:t>
            </w:r>
            <w:r>
              <w:rPr>
                <w:rFonts w:hint="default" w:ascii="Times New Roman" w:hAnsi="Times New Roman" w:eastAsia="宋体" w:cs="Times New Roman"/>
                <w:kern w:val="0"/>
                <w:szCs w:val="21"/>
                <w:lang w:val="en-US" w:eastAsia="zh-CN" w:bidi="ar"/>
              </w:rPr>
              <w:t>3</w:t>
            </w:r>
          </w:p>
        </w:tc>
        <w:tc>
          <w:tcPr>
            <w:tcW w:w="86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37C286A">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0.00</w:t>
            </w:r>
            <w:r>
              <w:rPr>
                <w:rFonts w:hint="default" w:ascii="Times New Roman" w:hAnsi="Times New Roman" w:eastAsia="宋体" w:cs="Times New Roman"/>
                <w:kern w:val="0"/>
                <w:szCs w:val="21"/>
                <w:lang w:val="en-US" w:eastAsia="zh-CN" w:bidi="ar"/>
              </w:rPr>
              <w:t>4</w:t>
            </w:r>
          </w:p>
        </w:tc>
        <w:tc>
          <w:tcPr>
            <w:tcW w:w="84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2A7DB1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−31.96</w:t>
            </w:r>
          </w:p>
        </w:tc>
        <w:tc>
          <w:tcPr>
            <w:tcW w:w="97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471BF1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94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96B754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[−0.15</w:t>
            </w:r>
            <w:r>
              <w:rPr>
                <w:rFonts w:hint="default" w:ascii="Times New Roman" w:hAnsi="Times New Roman" w:eastAsia="宋体" w:cs="Times New Roman"/>
                <w:kern w:val="0"/>
                <w:szCs w:val="21"/>
                <w:lang w:val="en-US" w:eastAsia="zh-CN" w:bidi="ar"/>
              </w:rPr>
              <w:t>2</w:t>
            </w:r>
            <w:r>
              <w:rPr>
                <w:rFonts w:hint="default" w:ascii="Times New Roman" w:hAnsi="Times New Roman" w:eastAsia="宋体" w:cs="Times New Roman"/>
                <w:kern w:val="0"/>
                <w:szCs w:val="21"/>
                <w:lang w:bidi="ar"/>
              </w:rPr>
              <w:t>, −0.134]</w:t>
            </w:r>
          </w:p>
        </w:tc>
        <w:tc>
          <w:tcPr>
            <w:tcW w:w="92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9B0D122">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0.86</w:t>
            </w:r>
            <w:r>
              <w:rPr>
                <w:rFonts w:hint="default" w:ascii="Times New Roman" w:hAnsi="Times New Roman" w:eastAsia="宋体" w:cs="Times New Roman"/>
                <w:kern w:val="0"/>
                <w:szCs w:val="21"/>
                <w:lang w:val="en-US" w:eastAsia="zh-CN" w:bidi="ar"/>
              </w:rPr>
              <w:t>7</w:t>
            </w:r>
          </w:p>
        </w:tc>
        <w:tc>
          <w:tcPr>
            <w:tcW w:w="967"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92DBFD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[0.859, 0.87</w:t>
            </w:r>
            <w:r>
              <w:rPr>
                <w:rFonts w:hint="default" w:ascii="Times New Roman" w:hAnsi="Times New Roman" w:eastAsia="宋体" w:cs="Times New Roman"/>
                <w:kern w:val="0"/>
                <w:szCs w:val="21"/>
                <w:lang w:val="en-US" w:eastAsia="zh-CN" w:bidi="ar"/>
              </w:rPr>
              <w:t>5</w:t>
            </w:r>
            <w:r>
              <w:rPr>
                <w:rFonts w:hint="default" w:ascii="Times New Roman" w:hAnsi="Times New Roman" w:eastAsia="宋体" w:cs="Times New Roman"/>
                <w:kern w:val="0"/>
                <w:szCs w:val="21"/>
                <w:lang w:bidi="ar"/>
              </w:rPr>
              <w:t>]</w:t>
            </w:r>
          </w:p>
        </w:tc>
      </w:tr>
    </w:tbl>
    <w:p w14:paraId="7250AD35">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analysis compares elite- and non-elite-doctorate faculty across all universities and retains right-censored observations. Time ratios below one indicate shorter model-predicted promotion times for elite-doctorate faculty. For example, a junior-to-full-professor time ratio of 0.8669 corresponds to an estimated 13.31% shorter promotion time. Models use the same controls as the Cox specifications and robust standard errors</w:t>
      </w:r>
      <w:r>
        <w:rPr>
          <w:rFonts w:hint="default" w:ascii="Times New Roman" w:hAnsi="Times New Roman" w:cs="Times New Roman"/>
          <w:b w:val="0"/>
          <w:i w:val="0"/>
          <w:sz w:val="20"/>
          <w:szCs w:val="28"/>
          <w:lang w:val="en-US" w:eastAsia="zh-CN"/>
        </w:rPr>
        <w:t>.</w:t>
      </w:r>
    </w:p>
    <w:p w14:paraId="53D9F460">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D. OLS and inverse-probability-weighted estimates among observed promotion completers</w:t>
      </w:r>
    </w:p>
    <w:p w14:paraId="661D30CE">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Subpanel D1. OLS models</w:t>
      </w:r>
    </w:p>
    <w:tbl>
      <w:tblPr>
        <w:tblStyle w:val="5"/>
        <w:tblW w:w="0" w:type="auto"/>
        <w:jc w:val="center"/>
        <w:tblLayout w:type="fixed"/>
        <w:tblCellMar>
          <w:top w:w="0" w:type="dxa"/>
          <w:left w:w="108" w:type="dxa"/>
          <w:bottom w:w="0" w:type="dxa"/>
          <w:right w:w="108" w:type="dxa"/>
        </w:tblCellMar>
      </w:tblPr>
      <w:tblGrid>
        <w:gridCol w:w="1446"/>
        <w:gridCol w:w="899"/>
        <w:gridCol w:w="1173"/>
        <w:gridCol w:w="1269"/>
        <w:gridCol w:w="907"/>
        <w:gridCol w:w="883"/>
        <w:gridCol w:w="1506"/>
        <w:gridCol w:w="874"/>
      </w:tblGrid>
      <w:tr w14:paraId="4F692ED4">
        <w:tblPrEx>
          <w:tblCellMar>
            <w:top w:w="0" w:type="dxa"/>
            <w:left w:w="108" w:type="dxa"/>
            <w:bottom w:w="0" w:type="dxa"/>
            <w:right w:w="108" w:type="dxa"/>
          </w:tblCellMar>
        </w:tblPrEx>
        <w:trPr>
          <w:cantSplit/>
          <w:trHeight w:val="283" w:hRule="atLeast"/>
          <w:tblHeader/>
          <w:jc w:val="center"/>
        </w:trPr>
        <w:tc>
          <w:tcPr>
            <w:tcW w:w="1446" w:type="dxa"/>
            <w:tcBorders>
              <w:top w:val="single" w:color="auto" w:sz="4" w:space="0"/>
              <w:left w:val="single" w:color="auto" w:sz="4" w:space="0"/>
              <w:bottom w:val="nil"/>
              <w:right w:val="nil"/>
            </w:tcBorders>
            <w:tcMar>
              <w:top w:w="-1" w:type="dxa"/>
              <w:left w:w="-1" w:type="dxa"/>
              <w:bottom w:w="-1" w:type="dxa"/>
              <w:right w:w="-1" w:type="dxa"/>
            </w:tcMar>
            <w:vAlign w:val="center"/>
          </w:tcPr>
          <w:p w14:paraId="2505F666">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Promotion transition</w:t>
            </w:r>
          </w:p>
        </w:tc>
        <w:tc>
          <w:tcPr>
            <w:tcW w:w="899" w:type="dxa"/>
            <w:tcBorders>
              <w:top w:val="single" w:color="auto" w:sz="4" w:space="0"/>
              <w:left w:val="single" w:color="auto" w:sz="4" w:space="0"/>
              <w:bottom w:val="nil"/>
              <w:right w:val="nil"/>
            </w:tcBorders>
            <w:tcMar>
              <w:top w:w="-1" w:type="dxa"/>
              <w:left w:w="-1" w:type="dxa"/>
              <w:bottom w:w="-1" w:type="dxa"/>
              <w:right w:w="-1" w:type="dxa"/>
            </w:tcMar>
            <w:vAlign w:val="center"/>
          </w:tcPr>
          <w:p w14:paraId="7E35FE31">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N</w:t>
            </w:r>
          </w:p>
        </w:tc>
        <w:tc>
          <w:tcPr>
            <w:tcW w:w="1173" w:type="dxa"/>
            <w:tcBorders>
              <w:top w:val="single" w:color="auto" w:sz="4" w:space="0"/>
              <w:left w:val="single" w:color="auto" w:sz="4" w:space="0"/>
              <w:bottom w:val="nil"/>
              <w:right w:val="nil"/>
            </w:tcBorders>
            <w:tcMar>
              <w:top w:w="-1" w:type="dxa"/>
              <w:left w:w="-1" w:type="dxa"/>
              <w:bottom w:w="-1" w:type="dxa"/>
              <w:right w:w="-1" w:type="dxa"/>
            </w:tcMar>
            <w:vAlign w:val="center"/>
          </w:tcPr>
          <w:p w14:paraId="11ADCD87">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Elite-doctorate coefficient</w:t>
            </w:r>
          </w:p>
        </w:tc>
        <w:tc>
          <w:tcPr>
            <w:tcW w:w="1269" w:type="dxa"/>
            <w:tcBorders>
              <w:top w:val="single" w:color="auto" w:sz="4" w:space="0"/>
              <w:left w:val="single" w:color="auto" w:sz="4" w:space="0"/>
              <w:bottom w:val="nil"/>
              <w:right w:val="nil"/>
            </w:tcBorders>
            <w:tcMar>
              <w:top w:w="-1" w:type="dxa"/>
              <w:left w:w="-1" w:type="dxa"/>
              <w:bottom w:w="-1" w:type="dxa"/>
              <w:right w:w="-1" w:type="dxa"/>
            </w:tcMar>
            <w:vAlign w:val="center"/>
          </w:tcPr>
          <w:p w14:paraId="2AD5C25E">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Robust SE</w:t>
            </w:r>
          </w:p>
        </w:tc>
        <w:tc>
          <w:tcPr>
            <w:tcW w:w="907" w:type="dxa"/>
            <w:tcBorders>
              <w:top w:val="single" w:color="auto" w:sz="4" w:space="0"/>
              <w:left w:val="single" w:color="auto" w:sz="4" w:space="0"/>
              <w:bottom w:val="nil"/>
              <w:right w:val="nil"/>
            </w:tcBorders>
            <w:tcMar>
              <w:top w:w="-1" w:type="dxa"/>
              <w:left w:w="-1" w:type="dxa"/>
              <w:bottom w:w="-1" w:type="dxa"/>
              <w:right w:w="-1" w:type="dxa"/>
            </w:tcMar>
            <w:vAlign w:val="center"/>
          </w:tcPr>
          <w:p w14:paraId="32132981">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t</w:t>
            </w:r>
          </w:p>
        </w:tc>
        <w:tc>
          <w:tcPr>
            <w:tcW w:w="883" w:type="dxa"/>
            <w:tcBorders>
              <w:top w:val="single" w:color="auto" w:sz="4" w:space="0"/>
              <w:left w:val="single" w:color="auto" w:sz="4" w:space="0"/>
              <w:bottom w:val="nil"/>
              <w:right w:val="nil"/>
            </w:tcBorders>
            <w:tcMar>
              <w:top w:w="-1" w:type="dxa"/>
              <w:left w:w="-1" w:type="dxa"/>
              <w:bottom w:w="-1" w:type="dxa"/>
              <w:right w:w="-1" w:type="dxa"/>
            </w:tcMar>
            <w:vAlign w:val="center"/>
          </w:tcPr>
          <w:p w14:paraId="77F1802B">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c>
          <w:tcPr>
            <w:tcW w:w="1506" w:type="dxa"/>
            <w:tcBorders>
              <w:top w:val="single" w:color="auto" w:sz="4" w:space="0"/>
              <w:left w:val="single" w:color="auto" w:sz="4" w:space="0"/>
              <w:bottom w:val="nil"/>
              <w:right w:val="nil"/>
            </w:tcBorders>
            <w:tcMar>
              <w:top w:w="-1" w:type="dxa"/>
              <w:left w:w="-1" w:type="dxa"/>
              <w:bottom w:w="-1" w:type="dxa"/>
              <w:right w:w="-1" w:type="dxa"/>
            </w:tcMar>
            <w:vAlign w:val="center"/>
          </w:tcPr>
          <w:p w14:paraId="3DE6D425">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w:t>
            </w:r>
          </w:p>
        </w:tc>
        <w:tc>
          <w:tcPr>
            <w:tcW w:w="874"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FEF9D1A">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R²</w:t>
            </w:r>
          </w:p>
        </w:tc>
      </w:tr>
      <w:tr w14:paraId="537F63A7">
        <w:tblPrEx>
          <w:tblCellMar>
            <w:top w:w="0" w:type="dxa"/>
            <w:left w:w="108" w:type="dxa"/>
            <w:bottom w:w="0" w:type="dxa"/>
            <w:right w:w="108" w:type="dxa"/>
          </w:tblCellMar>
        </w:tblPrEx>
        <w:trPr>
          <w:cantSplit/>
          <w:trHeight w:val="283" w:hRule="atLeast"/>
          <w:jc w:val="center"/>
        </w:trPr>
        <w:tc>
          <w:tcPr>
            <w:tcW w:w="1446" w:type="dxa"/>
            <w:tcBorders>
              <w:top w:val="single" w:color="auto" w:sz="4" w:space="0"/>
              <w:left w:val="single" w:color="auto" w:sz="4" w:space="0"/>
              <w:bottom w:val="nil"/>
              <w:right w:val="nil"/>
            </w:tcBorders>
            <w:tcMar>
              <w:top w:w="-1" w:type="dxa"/>
              <w:left w:w="-1" w:type="dxa"/>
              <w:bottom w:w="-1" w:type="dxa"/>
              <w:right w:w="-1" w:type="dxa"/>
            </w:tcMar>
            <w:vAlign w:val="center"/>
          </w:tcPr>
          <w:p w14:paraId="6F1FD63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Junior rank → mid/senior rank</w:t>
            </w:r>
          </w:p>
        </w:tc>
        <w:tc>
          <w:tcPr>
            <w:tcW w:w="899" w:type="dxa"/>
            <w:tcBorders>
              <w:top w:val="single" w:color="auto" w:sz="4" w:space="0"/>
              <w:left w:val="single" w:color="auto" w:sz="4" w:space="0"/>
              <w:bottom w:val="nil"/>
              <w:right w:val="nil"/>
            </w:tcBorders>
            <w:tcMar>
              <w:top w:w="-1" w:type="dxa"/>
              <w:left w:w="-1" w:type="dxa"/>
              <w:bottom w:w="-1" w:type="dxa"/>
              <w:right w:w="-1" w:type="dxa"/>
            </w:tcMar>
            <w:vAlign w:val="center"/>
          </w:tcPr>
          <w:p w14:paraId="1B516BE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119,152</w:t>
            </w:r>
          </w:p>
        </w:tc>
        <w:tc>
          <w:tcPr>
            <w:tcW w:w="1173" w:type="dxa"/>
            <w:tcBorders>
              <w:top w:val="single" w:color="auto" w:sz="4" w:space="0"/>
              <w:left w:val="single" w:color="auto" w:sz="4" w:space="0"/>
              <w:bottom w:val="nil"/>
              <w:right w:val="nil"/>
            </w:tcBorders>
            <w:tcMar>
              <w:top w:w="-1" w:type="dxa"/>
              <w:left w:w="-1" w:type="dxa"/>
              <w:bottom w:w="-1" w:type="dxa"/>
              <w:right w:w="-1" w:type="dxa"/>
            </w:tcMar>
            <w:vAlign w:val="center"/>
          </w:tcPr>
          <w:p w14:paraId="1CA684A0">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−0.77</w:t>
            </w:r>
            <w:r>
              <w:rPr>
                <w:rFonts w:hint="default" w:ascii="Times New Roman" w:hAnsi="Times New Roman" w:eastAsia="宋体" w:cs="Times New Roman"/>
                <w:kern w:val="0"/>
                <w:szCs w:val="21"/>
                <w:lang w:val="en-US" w:eastAsia="zh-CN" w:bidi="ar"/>
              </w:rPr>
              <w:t>6</w:t>
            </w:r>
          </w:p>
        </w:tc>
        <w:tc>
          <w:tcPr>
            <w:tcW w:w="1269" w:type="dxa"/>
            <w:tcBorders>
              <w:top w:val="single" w:color="auto" w:sz="4" w:space="0"/>
              <w:left w:val="single" w:color="auto" w:sz="4" w:space="0"/>
              <w:bottom w:val="nil"/>
              <w:right w:val="nil"/>
            </w:tcBorders>
            <w:tcMar>
              <w:top w:w="-1" w:type="dxa"/>
              <w:left w:w="-1" w:type="dxa"/>
              <w:bottom w:w="-1" w:type="dxa"/>
              <w:right w:w="-1" w:type="dxa"/>
            </w:tcMar>
            <w:vAlign w:val="center"/>
          </w:tcPr>
          <w:p w14:paraId="342295C7">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0.02</w:t>
            </w:r>
            <w:r>
              <w:rPr>
                <w:rFonts w:hint="default" w:ascii="Times New Roman" w:hAnsi="Times New Roman" w:eastAsia="宋体" w:cs="Times New Roman"/>
                <w:kern w:val="0"/>
                <w:szCs w:val="21"/>
                <w:lang w:val="en-US" w:eastAsia="zh-CN" w:bidi="ar"/>
              </w:rPr>
              <w:t>6</w:t>
            </w:r>
          </w:p>
        </w:tc>
        <w:tc>
          <w:tcPr>
            <w:tcW w:w="907" w:type="dxa"/>
            <w:tcBorders>
              <w:top w:val="single" w:color="auto" w:sz="4" w:space="0"/>
              <w:left w:val="single" w:color="auto" w:sz="4" w:space="0"/>
              <w:bottom w:val="nil"/>
              <w:right w:val="nil"/>
            </w:tcBorders>
            <w:tcMar>
              <w:top w:w="-1" w:type="dxa"/>
              <w:left w:w="-1" w:type="dxa"/>
              <w:bottom w:w="-1" w:type="dxa"/>
              <w:right w:w="-1" w:type="dxa"/>
            </w:tcMar>
            <w:vAlign w:val="center"/>
          </w:tcPr>
          <w:p w14:paraId="4A329D9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−30.07</w:t>
            </w:r>
          </w:p>
        </w:tc>
        <w:tc>
          <w:tcPr>
            <w:tcW w:w="883" w:type="dxa"/>
            <w:tcBorders>
              <w:top w:val="single" w:color="auto" w:sz="4" w:space="0"/>
              <w:left w:val="single" w:color="auto" w:sz="4" w:space="0"/>
              <w:bottom w:val="nil"/>
              <w:right w:val="nil"/>
            </w:tcBorders>
            <w:tcMar>
              <w:top w:w="-1" w:type="dxa"/>
              <w:left w:w="-1" w:type="dxa"/>
              <w:bottom w:w="-1" w:type="dxa"/>
              <w:right w:w="-1" w:type="dxa"/>
            </w:tcMar>
            <w:vAlign w:val="center"/>
          </w:tcPr>
          <w:p w14:paraId="6E7829C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506" w:type="dxa"/>
            <w:tcBorders>
              <w:top w:val="single" w:color="auto" w:sz="4" w:space="0"/>
              <w:left w:val="single" w:color="auto" w:sz="4" w:space="0"/>
              <w:bottom w:val="nil"/>
              <w:right w:val="nil"/>
            </w:tcBorders>
            <w:tcMar>
              <w:top w:w="-1" w:type="dxa"/>
              <w:left w:w="-1" w:type="dxa"/>
              <w:bottom w:w="-1" w:type="dxa"/>
              <w:right w:w="-1" w:type="dxa"/>
            </w:tcMar>
            <w:vAlign w:val="center"/>
          </w:tcPr>
          <w:p w14:paraId="531EC4D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[−0.827, −0.725]</w:t>
            </w:r>
          </w:p>
        </w:tc>
        <w:tc>
          <w:tcPr>
            <w:tcW w:w="874"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6E9158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0.0909</w:t>
            </w:r>
          </w:p>
        </w:tc>
      </w:tr>
      <w:tr w14:paraId="1F00CB81">
        <w:tblPrEx>
          <w:tblCellMar>
            <w:top w:w="0" w:type="dxa"/>
            <w:left w:w="108" w:type="dxa"/>
            <w:bottom w:w="0" w:type="dxa"/>
            <w:right w:w="108" w:type="dxa"/>
          </w:tblCellMar>
        </w:tblPrEx>
        <w:trPr>
          <w:cantSplit/>
          <w:trHeight w:val="283" w:hRule="atLeast"/>
          <w:jc w:val="center"/>
        </w:trPr>
        <w:tc>
          <w:tcPr>
            <w:tcW w:w="1446" w:type="dxa"/>
            <w:tcBorders>
              <w:top w:val="single" w:color="auto" w:sz="4" w:space="0"/>
              <w:left w:val="single" w:color="auto" w:sz="4" w:space="0"/>
              <w:bottom w:val="nil"/>
              <w:right w:val="nil"/>
            </w:tcBorders>
            <w:tcMar>
              <w:top w:w="-1" w:type="dxa"/>
              <w:left w:w="-1" w:type="dxa"/>
              <w:bottom w:w="-1" w:type="dxa"/>
              <w:right w:w="-1" w:type="dxa"/>
            </w:tcMar>
            <w:vAlign w:val="center"/>
          </w:tcPr>
          <w:p w14:paraId="038F579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Mid/senior rank → full professor</w:t>
            </w:r>
          </w:p>
        </w:tc>
        <w:tc>
          <w:tcPr>
            <w:tcW w:w="899" w:type="dxa"/>
            <w:tcBorders>
              <w:top w:val="single" w:color="auto" w:sz="4" w:space="0"/>
              <w:left w:val="single" w:color="auto" w:sz="4" w:space="0"/>
              <w:bottom w:val="nil"/>
              <w:right w:val="nil"/>
            </w:tcBorders>
            <w:tcMar>
              <w:top w:w="-1" w:type="dxa"/>
              <w:left w:w="-1" w:type="dxa"/>
              <w:bottom w:w="-1" w:type="dxa"/>
              <w:right w:w="-1" w:type="dxa"/>
            </w:tcMar>
            <w:vAlign w:val="center"/>
          </w:tcPr>
          <w:p w14:paraId="31BF323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80,559</w:t>
            </w:r>
          </w:p>
        </w:tc>
        <w:tc>
          <w:tcPr>
            <w:tcW w:w="1173" w:type="dxa"/>
            <w:tcBorders>
              <w:top w:val="single" w:color="auto" w:sz="4" w:space="0"/>
              <w:left w:val="single" w:color="auto" w:sz="4" w:space="0"/>
              <w:bottom w:val="nil"/>
              <w:right w:val="nil"/>
            </w:tcBorders>
            <w:tcMar>
              <w:top w:w="-1" w:type="dxa"/>
              <w:left w:w="-1" w:type="dxa"/>
              <w:bottom w:w="-1" w:type="dxa"/>
              <w:right w:w="-1" w:type="dxa"/>
            </w:tcMar>
            <w:vAlign w:val="center"/>
          </w:tcPr>
          <w:p w14:paraId="4DC99ABD">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−0.21</w:t>
            </w:r>
            <w:r>
              <w:rPr>
                <w:rFonts w:hint="default" w:ascii="Times New Roman" w:hAnsi="Times New Roman" w:eastAsia="宋体" w:cs="Times New Roman"/>
                <w:kern w:val="0"/>
                <w:szCs w:val="21"/>
                <w:lang w:val="en-US" w:eastAsia="zh-CN" w:bidi="ar"/>
              </w:rPr>
              <w:t>6</w:t>
            </w:r>
          </w:p>
        </w:tc>
        <w:tc>
          <w:tcPr>
            <w:tcW w:w="1269" w:type="dxa"/>
            <w:tcBorders>
              <w:top w:val="single" w:color="auto" w:sz="4" w:space="0"/>
              <w:left w:val="single" w:color="auto" w:sz="4" w:space="0"/>
              <w:bottom w:val="nil"/>
              <w:right w:val="nil"/>
            </w:tcBorders>
            <w:tcMar>
              <w:top w:w="-1" w:type="dxa"/>
              <w:left w:w="-1" w:type="dxa"/>
              <w:bottom w:w="-1" w:type="dxa"/>
              <w:right w:w="-1" w:type="dxa"/>
            </w:tcMar>
            <w:vAlign w:val="center"/>
          </w:tcPr>
          <w:p w14:paraId="14354B2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0.033</w:t>
            </w:r>
          </w:p>
        </w:tc>
        <w:tc>
          <w:tcPr>
            <w:tcW w:w="907" w:type="dxa"/>
            <w:tcBorders>
              <w:top w:val="single" w:color="auto" w:sz="4" w:space="0"/>
              <w:left w:val="single" w:color="auto" w:sz="4" w:space="0"/>
              <w:bottom w:val="nil"/>
              <w:right w:val="nil"/>
            </w:tcBorders>
            <w:tcMar>
              <w:top w:w="-1" w:type="dxa"/>
              <w:left w:w="-1" w:type="dxa"/>
              <w:bottom w:w="-1" w:type="dxa"/>
              <w:right w:w="-1" w:type="dxa"/>
            </w:tcMar>
            <w:vAlign w:val="center"/>
          </w:tcPr>
          <w:p w14:paraId="4A1ADFF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−6.47</w:t>
            </w:r>
          </w:p>
        </w:tc>
        <w:tc>
          <w:tcPr>
            <w:tcW w:w="883" w:type="dxa"/>
            <w:tcBorders>
              <w:top w:val="single" w:color="auto" w:sz="4" w:space="0"/>
              <w:left w:val="single" w:color="auto" w:sz="4" w:space="0"/>
              <w:bottom w:val="nil"/>
              <w:right w:val="nil"/>
            </w:tcBorders>
            <w:tcMar>
              <w:top w:w="-1" w:type="dxa"/>
              <w:left w:w="-1" w:type="dxa"/>
              <w:bottom w:w="-1" w:type="dxa"/>
              <w:right w:w="-1" w:type="dxa"/>
            </w:tcMar>
            <w:vAlign w:val="center"/>
          </w:tcPr>
          <w:p w14:paraId="75B22EC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506" w:type="dxa"/>
            <w:tcBorders>
              <w:top w:val="single" w:color="auto" w:sz="4" w:space="0"/>
              <w:left w:val="single" w:color="auto" w:sz="4" w:space="0"/>
              <w:bottom w:val="nil"/>
              <w:right w:val="nil"/>
            </w:tcBorders>
            <w:tcMar>
              <w:top w:w="-1" w:type="dxa"/>
              <w:left w:w="-1" w:type="dxa"/>
              <w:bottom w:w="-1" w:type="dxa"/>
              <w:right w:w="-1" w:type="dxa"/>
            </w:tcMar>
            <w:vAlign w:val="center"/>
          </w:tcPr>
          <w:p w14:paraId="55FF9C4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[−0.28</w:t>
            </w:r>
            <w:r>
              <w:rPr>
                <w:rFonts w:hint="default" w:ascii="Times New Roman" w:hAnsi="Times New Roman" w:eastAsia="宋体" w:cs="Times New Roman"/>
                <w:kern w:val="0"/>
                <w:szCs w:val="21"/>
                <w:lang w:val="en-US" w:eastAsia="zh-CN" w:bidi="ar"/>
              </w:rPr>
              <w:t>1</w:t>
            </w:r>
            <w:r>
              <w:rPr>
                <w:rFonts w:hint="default" w:ascii="Times New Roman" w:hAnsi="Times New Roman" w:eastAsia="宋体" w:cs="Times New Roman"/>
                <w:kern w:val="0"/>
                <w:szCs w:val="21"/>
                <w:lang w:bidi="ar"/>
              </w:rPr>
              <w:t>, −0.150]</w:t>
            </w:r>
          </w:p>
        </w:tc>
        <w:tc>
          <w:tcPr>
            <w:tcW w:w="874"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4268B0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0.0637</w:t>
            </w:r>
          </w:p>
        </w:tc>
      </w:tr>
      <w:tr w14:paraId="6F6CB7CC">
        <w:tblPrEx>
          <w:tblCellMar>
            <w:top w:w="0" w:type="dxa"/>
            <w:left w:w="108" w:type="dxa"/>
            <w:bottom w:w="0" w:type="dxa"/>
            <w:right w:w="108" w:type="dxa"/>
          </w:tblCellMar>
        </w:tblPrEx>
        <w:trPr>
          <w:cantSplit/>
          <w:trHeight w:val="283" w:hRule="atLeast"/>
          <w:jc w:val="center"/>
        </w:trPr>
        <w:tc>
          <w:tcPr>
            <w:tcW w:w="144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BCE6FB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Junior rank → full professor</w:t>
            </w:r>
          </w:p>
        </w:tc>
        <w:tc>
          <w:tcPr>
            <w:tcW w:w="89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181415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67,465</w:t>
            </w:r>
          </w:p>
        </w:tc>
        <w:tc>
          <w:tcPr>
            <w:tcW w:w="117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5898EF2">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−0.80</w:t>
            </w:r>
            <w:r>
              <w:rPr>
                <w:rFonts w:hint="default" w:ascii="Times New Roman" w:hAnsi="Times New Roman" w:eastAsia="宋体" w:cs="Times New Roman"/>
                <w:kern w:val="0"/>
                <w:szCs w:val="21"/>
                <w:lang w:val="en-US" w:eastAsia="zh-CN" w:bidi="ar"/>
              </w:rPr>
              <w:t>8</w:t>
            </w:r>
          </w:p>
        </w:tc>
        <w:tc>
          <w:tcPr>
            <w:tcW w:w="126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024A27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0.049</w:t>
            </w:r>
          </w:p>
        </w:tc>
        <w:tc>
          <w:tcPr>
            <w:tcW w:w="90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667EE5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−16.47</w:t>
            </w:r>
          </w:p>
        </w:tc>
        <w:tc>
          <w:tcPr>
            <w:tcW w:w="88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A817E6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50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B61D38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[−0.90</w:t>
            </w:r>
            <w:r>
              <w:rPr>
                <w:rFonts w:hint="default" w:ascii="Times New Roman" w:hAnsi="Times New Roman" w:eastAsia="宋体" w:cs="Times New Roman"/>
                <w:kern w:val="0"/>
                <w:szCs w:val="21"/>
                <w:lang w:val="en-US" w:eastAsia="zh-CN" w:bidi="ar"/>
              </w:rPr>
              <w:t>4</w:t>
            </w:r>
            <w:r>
              <w:rPr>
                <w:rFonts w:hint="default" w:ascii="Times New Roman" w:hAnsi="Times New Roman" w:eastAsia="宋体" w:cs="Times New Roman"/>
                <w:kern w:val="0"/>
                <w:szCs w:val="21"/>
                <w:lang w:bidi="ar"/>
              </w:rPr>
              <w:t>, −0.71</w:t>
            </w:r>
            <w:r>
              <w:rPr>
                <w:rFonts w:hint="default" w:ascii="Times New Roman" w:hAnsi="Times New Roman" w:eastAsia="宋体" w:cs="Times New Roman"/>
                <w:kern w:val="0"/>
                <w:szCs w:val="21"/>
                <w:lang w:val="en-US" w:eastAsia="zh-CN" w:bidi="ar"/>
              </w:rPr>
              <w:t>2</w:t>
            </w:r>
            <w:r>
              <w:rPr>
                <w:rFonts w:hint="default" w:ascii="Times New Roman" w:hAnsi="Times New Roman" w:eastAsia="宋体" w:cs="Times New Roman"/>
                <w:kern w:val="0"/>
                <w:szCs w:val="21"/>
                <w:lang w:bidi="ar"/>
              </w:rPr>
              <w:t>]</w:t>
            </w:r>
          </w:p>
        </w:tc>
        <w:tc>
          <w:tcPr>
            <w:tcW w:w="874"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7B0577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0.0959</w:t>
            </w:r>
          </w:p>
        </w:tc>
      </w:tr>
    </w:tbl>
    <w:p w14:paraId="068B97E5">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Subpanel D2. Inverse-probability-weighted model (outcome: years from junior rank to full professorship; estimand: ATET)</w:t>
      </w:r>
    </w:p>
    <w:tbl>
      <w:tblPr>
        <w:tblStyle w:val="5"/>
        <w:tblW w:w="8815" w:type="dxa"/>
        <w:jc w:val="center"/>
        <w:tblLayout w:type="fixed"/>
        <w:tblCellMar>
          <w:top w:w="0" w:type="dxa"/>
          <w:left w:w="108" w:type="dxa"/>
          <w:bottom w:w="0" w:type="dxa"/>
          <w:right w:w="108" w:type="dxa"/>
        </w:tblCellMar>
      </w:tblPr>
      <w:tblGrid>
        <w:gridCol w:w="2785"/>
        <w:gridCol w:w="1024"/>
        <w:gridCol w:w="1385"/>
        <w:gridCol w:w="897"/>
        <w:gridCol w:w="1007"/>
        <w:gridCol w:w="1717"/>
      </w:tblGrid>
      <w:tr w14:paraId="0F37DEAC">
        <w:tblPrEx>
          <w:tblCellMar>
            <w:top w:w="0" w:type="dxa"/>
            <w:left w:w="108" w:type="dxa"/>
            <w:bottom w:w="0" w:type="dxa"/>
            <w:right w:w="108" w:type="dxa"/>
          </w:tblCellMar>
        </w:tblPrEx>
        <w:trPr>
          <w:cantSplit/>
          <w:trHeight w:val="283" w:hRule="atLeast"/>
          <w:tblHeader/>
          <w:jc w:val="center"/>
        </w:trPr>
        <w:tc>
          <w:tcPr>
            <w:tcW w:w="2785" w:type="dxa"/>
            <w:tcBorders>
              <w:top w:val="single" w:color="auto" w:sz="4" w:space="0"/>
              <w:left w:val="single" w:color="auto" w:sz="4" w:space="0"/>
              <w:bottom w:val="nil"/>
              <w:right w:val="nil"/>
            </w:tcBorders>
            <w:tcMar>
              <w:top w:w="-1" w:type="dxa"/>
              <w:left w:w="-1" w:type="dxa"/>
              <w:bottom w:w="-1" w:type="dxa"/>
              <w:right w:w="-1" w:type="dxa"/>
            </w:tcMar>
            <w:vAlign w:val="center"/>
          </w:tcPr>
          <w:p w14:paraId="2D20BF03">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Original estimate</w:t>
            </w:r>
          </w:p>
        </w:tc>
        <w:tc>
          <w:tcPr>
            <w:tcW w:w="1024" w:type="dxa"/>
            <w:tcBorders>
              <w:top w:val="single" w:color="auto" w:sz="4" w:space="0"/>
              <w:left w:val="single" w:color="auto" w:sz="4" w:space="0"/>
              <w:bottom w:val="nil"/>
              <w:right w:val="nil"/>
            </w:tcBorders>
            <w:tcMar>
              <w:top w:w="-1" w:type="dxa"/>
              <w:left w:w="-1" w:type="dxa"/>
              <w:bottom w:w="-1" w:type="dxa"/>
              <w:right w:w="-1" w:type="dxa"/>
            </w:tcMar>
            <w:vAlign w:val="center"/>
          </w:tcPr>
          <w:p w14:paraId="6A4C5EB4">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Estimate</w:t>
            </w:r>
          </w:p>
        </w:tc>
        <w:tc>
          <w:tcPr>
            <w:tcW w:w="1385" w:type="dxa"/>
            <w:tcBorders>
              <w:top w:val="single" w:color="auto" w:sz="4" w:space="0"/>
              <w:left w:val="single" w:color="auto" w:sz="4" w:space="0"/>
              <w:bottom w:val="nil"/>
              <w:right w:val="nil"/>
            </w:tcBorders>
            <w:tcMar>
              <w:top w:w="-1" w:type="dxa"/>
              <w:left w:w="-1" w:type="dxa"/>
              <w:bottom w:w="-1" w:type="dxa"/>
              <w:right w:w="-1" w:type="dxa"/>
            </w:tcMar>
            <w:vAlign w:val="center"/>
          </w:tcPr>
          <w:p w14:paraId="6DB2F069">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Robust SE</w:t>
            </w:r>
          </w:p>
        </w:tc>
        <w:tc>
          <w:tcPr>
            <w:tcW w:w="897" w:type="dxa"/>
            <w:tcBorders>
              <w:top w:val="single" w:color="auto" w:sz="4" w:space="0"/>
              <w:left w:val="single" w:color="auto" w:sz="4" w:space="0"/>
              <w:bottom w:val="nil"/>
              <w:right w:val="nil"/>
            </w:tcBorders>
            <w:tcMar>
              <w:top w:w="-1" w:type="dxa"/>
              <w:left w:w="-1" w:type="dxa"/>
              <w:bottom w:w="-1" w:type="dxa"/>
              <w:right w:w="-1" w:type="dxa"/>
            </w:tcMar>
            <w:vAlign w:val="center"/>
          </w:tcPr>
          <w:p w14:paraId="016B2CCF">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z</w:t>
            </w:r>
          </w:p>
        </w:tc>
        <w:tc>
          <w:tcPr>
            <w:tcW w:w="1007" w:type="dxa"/>
            <w:tcBorders>
              <w:top w:val="single" w:color="auto" w:sz="4" w:space="0"/>
              <w:left w:val="single" w:color="auto" w:sz="4" w:space="0"/>
              <w:bottom w:val="nil"/>
              <w:right w:val="nil"/>
            </w:tcBorders>
            <w:tcMar>
              <w:top w:w="-1" w:type="dxa"/>
              <w:left w:w="-1" w:type="dxa"/>
              <w:bottom w:w="-1" w:type="dxa"/>
              <w:right w:w="-1" w:type="dxa"/>
            </w:tcMar>
            <w:vAlign w:val="center"/>
          </w:tcPr>
          <w:p w14:paraId="4DB9EF01">
            <w:pPr>
              <w:widowControl/>
              <w:snapToGrid w:val="0"/>
              <w:spacing w:before="0" w:after="0" w:line="240" w:lineRule="auto"/>
              <w:jc w:val="center"/>
              <w:textAlignment w:val="center"/>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p-value</w:t>
            </w:r>
          </w:p>
        </w:tc>
        <w:tc>
          <w:tcPr>
            <w:tcW w:w="171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47BCB7A">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w:t>
            </w:r>
          </w:p>
        </w:tc>
      </w:tr>
      <w:tr w14:paraId="2494F8E2">
        <w:tblPrEx>
          <w:tblCellMar>
            <w:top w:w="0" w:type="dxa"/>
            <w:left w:w="108" w:type="dxa"/>
            <w:bottom w:w="0" w:type="dxa"/>
            <w:right w:w="108" w:type="dxa"/>
          </w:tblCellMar>
        </w:tblPrEx>
        <w:trPr>
          <w:cantSplit/>
          <w:trHeight w:val="283" w:hRule="atLeast"/>
          <w:jc w:val="center"/>
        </w:trPr>
        <w:tc>
          <w:tcPr>
            <w:tcW w:w="2785" w:type="dxa"/>
            <w:tcBorders>
              <w:top w:val="single" w:color="auto" w:sz="4" w:space="0"/>
              <w:left w:val="single" w:color="auto" w:sz="4" w:space="0"/>
              <w:bottom w:val="nil"/>
              <w:right w:val="nil"/>
            </w:tcBorders>
            <w:tcMar>
              <w:top w:w="-1" w:type="dxa"/>
              <w:left w:w="-1" w:type="dxa"/>
              <w:bottom w:w="-1" w:type="dxa"/>
              <w:right w:w="-1" w:type="dxa"/>
            </w:tcMar>
            <w:vAlign w:val="center"/>
          </w:tcPr>
          <w:p w14:paraId="16CDBFF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ATET of elite versus non-elite doctorate</w:t>
            </w:r>
          </w:p>
        </w:tc>
        <w:tc>
          <w:tcPr>
            <w:tcW w:w="1024" w:type="dxa"/>
            <w:tcBorders>
              <w:top w:val="single" w:color="auto" w:sz="4" w:space="0"/>
              <w:left w:val="single" w:color="auto" w:sz="4" w:space="0"/>
              <w:bottom w:val="nil"/>
              <w:right w:val="nil"/>
            </w:tcBorders>
            <w:tcMar>
              <w:top w:w="-1" w:type="dxa"/>
              <w:left w:w="-1" w:type="dxa"/>
              <w:bottom w:w="-1" w:type="dxa"/>
              <w:right w:w="-1" w:type="dxa"/>
            </w:tcMar>
            <w:vAlign w:val="center"/>
          </w:tcPr>
          <w:p w14:paraId="44D6B169">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−0.66</w:t>
            </w:r>
            <w:r>
              <w:rPr>
                <w:rFonts w:hint="default" w:ascii="Times New Roman" w:hAnsi="Times New Roman" w:eastAsia="宋体" w:cs="Times New Roman"/>
                <w:kern w:val="0"/>
                <w:szCs w:val="21"/>
                <w:lang w:val="en-US" w:eastAsia="zh-CN" w:bidi="ar"/>
              </w:rPr>
              <w:t>4</w:t>
            </w:r>
          </w:p>
        </w:tc>
        <w:tc>
          <w:tcPr>
            <w:tcW w:w="1385" w:type="dxa"/>
            <w:tcBorders>
              <w:top w:val="single" w:color="auto" w:sz="4" w:space="0"/>
              <w:left w:val="single" w:color="auto" w:sz="4" w:space="0"/>
              <w:bottom w:val="nil"/>
              <w:right w:val="nil"/>
            </w:tcBorders>
            <w:tcMar>
              <w:top w:w="-1" w:type="dxa"/>
              <w:left w:w="-1" w:type="dxa"/>
              <w:bottom w:w="-1" w:type="dxa"/>
              <w:right w:w="-1" w:type="dxa"/>
            </w:tcMar>
            <w:vAlign w:val="center"/>
          </w:tcPr>
          <w:p w14:paraId="5224620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0.055</w:t>
            </w:r>
          </w:p>
        </w:tc>
        <w:tc>
          <w:tcPr>
            <w:tcW w:w="897" w:type="dxa"/>
            <w:tcBorders>
              <w:top w:val="single" w:color="auto" w:sz="4" w:space="0"/>
              <w:left w:val="single" w:color="auto" w:sz="4" w:space="0"/>
              <w:bottom w:val="nil"/>
              <w:right w:val="nil"/>
            </w:tcBorders>
            <w:tcMar>
              <w:top w:w="-1" w:type="dxa"/>
              <w:left w:w="-1" w:type="dxa"/>
              <w:bottom w:w="-1" w:type="dxa"/>
              <w:right w:w="-1" w:type="dxa"/>
            </w:tcMar>
            <w:vAlign w:val="center"/>
          </w:tcPr>
          <w:p w14:paraId="5E9980F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−11.97</w:t>
            </w:r>
          </w:p>
        </w:tc>
        <w:tc>
          <w:tcPr>
            <w:tcW w:w="1007" w:type="dxa"/>
            <w:tcBorders>
              <w:top w:val="single" w:color="auto" w:sz="4" w:space="0"/>
              <w:left w:val="single" w:color="auto" w:sz="4" w:space="0"/>
              <w:bottom w:val="nil"/>
              <w:right w:val="nil"/>
            </w:tcBorders>
            <w:tcMar>
              <w:top w:w="-1" w:type="dxa"/>
              <w:left w:w="-1" w:type="dxa"/>
              <w:bottom w:w="-1" w:type="dxa"/>
              <w:right w:w="-1" w:type="dxa"/>
            </w:tcMar>
            <w:vAlign w:val="center"/>
          </w:tcPr>
          <w:p w14:paraId="7EFA32B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1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C8D015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[−0.772, −0.55</w:t>
            </w:r>
            <w:r>
              <w:rPr>
                <w:rFonts w:hint="default" w:ascii="Times New Roman" w:hAnsi="Times New Roman" w:eastAsia="宋体" w:cs="Times New Roman"/>
                <w:kern w:val="0"/>
                <w:szCs w:val="21"/>
                <w:lang w:val="en-US" w:eastAsia="zh-CN" w:bidi="ar"/>
              </w:rPr>
              <w:t>5</w:t>
            </w:r>
            <w:r>
              <w:rPr>
                <w:rFonts w:hint="default" w:ascii="Times New Roman" w:hAnsi="Times New Roman" w:eastAsia="宋体" w:cs="Times New Roman"/>
                <w:kern w:val="0"/>
                <w:szCs w:val="21"/>
                <w:lang w:bidi="ar"/>
              </w:rPr>
              <w:t>]</w:t>
            </w:r>
          </w:p>
        </w:tc>
      </w:tr>
      <w:tr w14:paraId="428CA854">
        <w:tblPrEx>
          <w:tblCellMar>
            <w:top w:w="0" w:type="dxa"/>
            <w:left w:w="108" w:type="dxa"/>
            <w:bottom w:w="0" w:type="dxa"/>
            <w:right w:w="108" w:type="dxa"/>
          </w:tblCellMar>
        </w:tblPrEx>
        <w:trPr>
          <w:cantSplit/>
          <w:trHeight w:val="283" w:hRule="atLeast"/>
          <w:jc w:val="center"/>
        </w:trPr>
        <w:tc>
          <w:tcPr>
            <w:tcW w:w="278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B8BCF9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Estimated promotion duration under non-elite doctorate status after weighting to the elite-doctorate group (POmean)</w:t>
            </w:r>
          </w:p>
        </w:tc>
        <w:tc>
          <w:tcPr>
            <w:tcW w:w="102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A99DC23">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11.90</w:t>
            </w:r>
            <w:r>
              <w:rPr>
                <w:rFonts w:hint="default" w:ascii="Times New Roman" w:hAnsi="Times New Roman" w:eastAsia="宋体" w:cs="Times New Roman"/>
                <w:kern w:val="0"/>
                <w:szCs w:val="21"/>
                <w:lang w:val="en-US" w:eastAsia="zh-CN" w:bidi="ar"/>
              </w:rPr>
              <w:t>7</w:t>
            </w:r>
          </w:p>
        </w:tc>
        <w:tc>
          <w:tcPr>
            <w:tcW w:w="138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586FB78">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0.04</w:t>
            </w:r>
            <w:r>
              <w:rPr>
                <w:rFonts w:hint="default" w:ascii="Times New Roman" w:hAnsi="Times New Roman" w:eastAsia="宋体" w:cs="Times New Roman"/>
                <w:kern w:val="0"/>
                <w:szCs w:val="21"/>
                <w:lang w:val="en-US" w:eastAsia="zh-CN" w:bidi="ar"/>
              </w:rPr>
              <w:t>7</w:t>
            </w:r>
          </w:p>
        </w:tc>
        <w:tc>
          <w:tcPr>
            <w:tcW w:w="89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6CF21B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255.21</w:t>
            </w:r>
          </w:p>
        </w:tc>
        <w:tc>
          <w:tcPr>
            <w:tcW w:w="100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9237D9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17"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B34C9D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[11.815, 11.998]</w:t>
            </w:r>
          </w:p>
        </w:tc>
      </w:tr>
    </w:tbl>
    <w:p w14:paraId="652BDB6F">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models include only faculty with an observed promotion event. Negative coefficients indicate shorter promotion times for elite-doctorate faculty. Subpanels D1 and D2 report full-sample comparisons without stratification by current institution type. The IPW sample contains 67,465 observations</w:t>
      </w:r>
      <w:r>
        <w:rPr>
          <w:rFonts w:hint="default" w:ascii="Times New Roman" w:hAnsi="Times New Roman" w:cs="Times New Roman"/>
          <w:b w:val="0"/>
          <w:i w:val="0"/>
          <w:sz w:val="20"/>
          <w:szCs w:val="28"/>
          <w:lang w:val="en-US" w:eastAsia="zh-CN"/>
        </w:rPr>
        <w:t>.</w:t>
      </w:r>
    </w:p>
    <w:p w14:paraId="33FEC984">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E. Time-varying Cox models of changes in the promotion advantage over career duration</w:t>
      </w:r>
    </w:p>
    <w:tbl>
      <w:tblPr>
        <w:tblStyle w:val="5"/>
        <w:tblW w:w="9236" w:type="dxa"/>
        <w:jc w:val="center"/>
        <w:tblLayout w:type="fixed"/>
        <w:tblCellMar>
          <w:top w:w="0" w:type="dxa"/>
          <w:left w:w="108" w:type="dxa"/>
          <w:bottom w:w="0" w:type="dxa"/>
          <w:right w:w="108" w:type="dxa"/>
        </w:tblCellMar>
      </w:tblPr>
      <w:tblGrid>
        <w:gridCol w:w="1536"/>
        <w:gridCol w:w="1209"/>
        <w:gridCol w:w="877"/>
        <w:gridCol w:w="920"/>
        <w:gridCol w:w="823"/>
        <w:gridCol w:w="897"/>
        <w:gridCol w:w="1164"/>
        <w:gridCol w:w="905"/>
        <w:gridCol w:w="905"/>
      </w:tblGrid>
      <w:tr w14:paraId="2EC97FAC">
        <w:tblPrEx>
          <w:tblCellMar>
            <w:top w:w="0" w:type="dxa"/>
            <w:left w:w="108" w:type="dxa"/>
            <w:bottom w:w="0" w:type="dxa"/>
            <w:right w:w="108" w:type="dxa"/>
          </w:tblCellMar>
        </w:tblPrEx>
        <w:trPr>
          <w:trHeight w:val="283" w:hRule="atLeast"/>
          <w:jc w:val="center"/>
        </w:trPr>
        <w:tc>
          <w:tcPr>
            <w:tcW w:w="1536" w:type="dxa"/>
            <w:tcBorders>
              <w:top w:val="single" w:color="auto" w:sz="4" w:space="0"/>
              <w:left w:val="single" w:color="auto" w:sz="4" w:space="0"/>
              <w:bottom w:val="nil"/>
              <w:right w:val="nil"/>
            </w:tcBorders>
            <w:tcMar>
              <w:top w:w="-1" w:type="dxa"/>
              <w:left w:w="-1" w:type="dxa"/>
              <w:bottom w:w="-1" w:type="dxa"/>
              <w:right w:w="-1" w:type="dxa"/>
            </w:tcMar>
            <w:vAlign w:val="center"/>
          </w:tcPr>
          <w:p w14:paraId="3343161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Promotion transition</w:t>
            </w:r>
          </w:p>
        </w:tc>
        <w:tc>
          <w:tcPr>
            <w:tcW w:w="1209" w:type="dxa"/>
            <w:tcBorders>
              <w:top w:val="single" w:color="auto" w:sz="4" w:space="0"/>
              <w:left w:val="single" w:color="auto" w:sz="4" w:space="0"/>
              <w:bottom w:val="nil"/>
              <w:right w:val="nil"/>
            </w:tcBorders>
            <w:tcMar>
              <w:top w:w="-1" w:type="dxa"/>
              <w:left w:w="-1" w:type="dxa"/>
              <w:bottom w:w="-1" w:type="dxa"/>
              <w:right w:w="-1" w:type="dxa"/>
            </w:tcMar>
            <w:vAlign w:val="center"/>
          </w:tcPr>
          <w:p w14:paraId="4740439F">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Model term</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1B3D3B0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Hazard ratio (HR)</w:t>
            </w:r>
          </w:p>
        </w:tc>
        <w:tc>
          <w:tcPr>
            <w:tcW w:w="920" w:type="dxa"/>
            <w:tcBorders>
              <w:top w:val="single" w:color="auto" w:sz="4" w:space="0"/>
              <w:left w:val="single" w:color="auto" w:sz="4" w:space="0"/>
              <w:bottom w:val="nil"/>
              <w:right w:val="nil"/>
            </w:tcBorders>
            <w:tcMar>
              <w:top w:w="-1" w:type="dxa"/>
              <w:left w:w="-1" w:type="dxa"/>
              <w:bottom w:w="-1" w:type="dxa"/>
              <w:right w:w="-1" w:type="dxa"/>
            </w:tcMar>
            <w:vAlign w:val="center"/>
          </w:tcPr>
          <w:p w14:paraId="6862DAD5">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Robust SE</w:t>
            </w:r>
          </w:p>
        </w:tc>
        <w:tc>
          <w:tcPr>
            <w:tcW w:w="823" w:type="dxa"/>
            <w:tcBorders>
              <w:top w:val="single" w:color="auto" w:sz="4" w:space="0"/>
              <w:left w:val="single" w:color="auto" w:sz="4" w:space="0"/>
              <w:bottom w:val="nil"/>
              <w:right w:val="nil"/>
            </w:tcBorders>
            <w:tcMar>
              <w:top w:w="-1" w:type="dxa"/>
              <w:left w:w="-1" w:type="dxa"/>
              <w:bottom w:w="-1" w:type="dxa"/>
              <w:right w:w="-1" w:type="dxa"/>
            </w:tcMar>
            <w:vAlign w:val="center"/>
          </w:tcPr>
          <w:p w14:paraId="24F2EBCA">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z</w:t>
            </w:r>
          </w:p>
        </w:tc>
        <w:tc>
          <w:tcPr>
            <w:tcW w:w="897" w:type="dxa"/>
            <w:tcBorders>
              <w:top w:val="single" w:color="auto" w:sz="4" w:space="0"/>
              <w:left w:val="single" w:color="auto" w:sz="4" w:space="0"/>
              <w:bottom w:val="nil"/>
              <w:right w:val="nil"/>
            </w:tcBorders>
            <w:tcMar>
              <w:top w:w="-1" w:type="dxa"/>
              <w:left w:w="-1" w:type="dxa"/>
              <w:bottom w:w="-1" w:type="dxa"/>
              <w:right w:w="-1" w:type="dxa"/>
            </w:tcMar>
            <w:vAlign w:val="center"/>
          </w:tcPr>
          <w:p w14:paraId="03496866">
            <w:pPr>
              <w:widowControl/>
              <w:snapToGrid w:val="0"/>
              <w:spacing w:before="0" w:after="0" w:line="240" w:lineRule="auto"/>
              <w:jc w:val="center"/>
              <w:textAlignment w:val="center"/>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p-value</w:t>
            </w:r>
          </w:p>
        </w:tc>
        <w:tc>
          <w:tcPr>
            <w:tcW w:w="1164" w:type="dxa"/>
            <w:tcBorders>
              <w:top w:val="single" w:color="auto" w:sz="4" w:space="0"/>
              <w:left w:val="single" w:color="auto" w:sz="4" w:space="0"/>
              <w:bottom w:val="nil"/>
              <w:right w:val="nil"/>
            </w:tcBorders>
            <w:tcMar>
              <w:top w:w="-1" w:type="dxa"/>
              <w:left w:w="-1" w:type="dxa"/>
              <w:bottom w:w="-1" w:type="dxa"/>
              <w:right w:w="-1" w:type="dxa"/>
            </w:tcMar>
            <w:vAlign w:val="center"/>
          </w:tcPr>
          <w:p w14:paraId="3EE14307">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w:t>
            </w:r>
          </w:p>
        </w:tc>
        <w:tc>
          <w:tcPr>
            <w:tcW w:w="905" w:type="dxa"/>
            <w:tcBorders>
              <w:top w:val="single" w:color="auto" w:sz="4" w:space="0"/>
              <w:left w:val="single" w:color="auto" w:sz="4" w:space="0"/>
              <w:bottom w:val="nil"/>
              <w:right w:val="nil"/>
            </w:tcBorders>
            <w:tcMar>
              <w:top w:w="-1" w:type="dxa"/>
              <w:left w:w="-1" w:type="dxa"/>
              <w:bottom w:w="-1" w:type="dxa"/>
              <w:right w:w="-1" w:type="dxa"/>
            </w:tcMar>
            <w:vAlign w:val="center"/>
          </w:tcPr>
          <w:p w14:paraId="5EEB2C38">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N</w:t>
            </w:r>
          </w:p>
        </w:tc>
        <w:tc>
          <w:tcPr>
            <w:tcW w:w="90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34B3D3C">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Events</w:t>
            </w:r>
          </w:p>
        </w:tc>
      </w:tr>
      <w:tr w14:paraId="6C29CF79">
        <w:tblPrEx>
          <w:tblCellMar>
            <w:top w:w="0" w:type="dxa"/>
            <w:left w:w="108" w:type="dxa"/>
            <w:bottom w:w="0" w:type="dxa"/>
            <w:right w:w="108" w:type="dxa"/>
          </w:tblCellMar>
        </w:tblPrEx>
        <w:trPr>
          <w:trHeight w:val="283" w:hRule="atLeast"/>
          <w:jc w:val="center"/>
        </w:trPr>
        <w:tc>
          <w:tcPr>
            <w:tcW w:w="1536" w:type="dxa"/>
            <w:tcBorders>
              <w:top w:val="single" w:color="auto" w:sz="4" w:space="0"/>
              <w:left w:val="single" w:color="auto" w:sz="4" w:space="0"/>
              <w:bottom w:val="nil"/>
              <w:right w:val="nil"/>
            </w:tcBorders>
            <w:tcMar>
              <w:top w:w="-1" w:type="dxa"/>
              <w:left w:w="-1" w:type="dxa"/>
              <w:bottom w:w="-1" w:type="dxa"/>
              <w:right w:w="-1" w:type="dxa"/>
            </w:tcMar>
            <w:vAlign w:val="center"/>
          </w:tcPr>
          <w:p w14:paraId="2BD47CB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Junior rank → first higher rank</w:t>
            </w:r>
          </w:p>
        </w:tc>
        <w:tc>
          <w:tcPr>
            <w:tcW w:w="1209" w:type="dxa"/>
            <w:tcBorders>
              <w:top w:val="single" w:color="auto" w:sz="4" w:space="0"/>
              <w:left w:val="single" w:color="auto" w:sz="4" w:space="0"/>
              <w:bottom w:val="nil"/>
              <w:right w:val="nil"/>
            </w:tcBorders>
            <w:tcMar>
              <w:top w:w="-1" w:type="dxa"/>
              <w:left w:w="-1" w:type="dxa"/>
              <w:bottom w:w="-1" w:type="dxa"/>
              <w:right w:w="-1" w:type="dxa"/>
            </w:tcMar>
            <w:vAlign w:val="center"/>
          </w:tcPr>
          <w:p w14:paraId="67B3EFA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Elite-doctorate main effect</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0AB35768">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1.38</w:t>
            </w:r>
            <w:r>
              <w:rPr>
                <w:rFonts w:hint="default" w:ascii="Times New Roman" w:hAnsi="Times New Roman" w:eastAsia="宋体" w:cs="Times New Roman"/>
                <w:kern w:val="0"/>
                <w:szCs w:val="21"/>
                <w:lang w:val="en-US" w:eastAsia="zh-CN" w:bidi="ar"/>
              </w:rPr>
              <w:t>5</w:t>
            </w:r>
          </w:p>
        </w:tc>
        <w:tc>
          <w:tcPr>
            <w:tcW w:w="920" w:type="dxa"/>
            <w:tcBorders>
              <w:top w:val="single" w:color="auto" w:sz="4" w:space="0"/>
              <w:left w:val="single" w:color="auto" w:sz="4" w:space="0"/>
              <w:bottom w:val="nil"/>
              <w:right w:val="nil"/>
            </w:tcBorders>
            <w:tcMar>
              <w:top w:w="-1" w:type="dxa"/>
              <w:left w:w="-1" w:type="dxa"/>
              <w:bottom w:w="-1" w:type="dxa"/>
              <w:right w:w="-1" w:type="dxa"/>
            </w:tcMar>
            <w:vAlign w:val="center"/>
          </w:tcPr>
          <w:p w14:paraId="53023A1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0.019</w:t>
            </w:r>
          </w:p>
        </w:tc>
        <w:tc>
          <w:tcPr>
            <w:tcW w:w="823" w:type="dxa"/>
            <w:tcBorders>
              <w:top w:val="single" w:color="auto" w:sz="4" w:space="0"/>
              <w:left w:val="single" w:color="auto" w:sz="4" w:space="0"/>
              <w:bottom w:val="nil"/>
              <w:right w:val="nil"/>
            </w:tcBorders>
            <w:tcMar>
              <w:top w:w="-1" w:type="dxa"/>
              <w:left w:w="-1" w:type="dxa"/>
              <w:bottom w:w="-1" w:type="dxa"/>
              <w:right w:w="-1" w:type="dxa"/>
            </w:tcMar>
            <w:vAlign w:val="center"/>
          </w:tcPr>
          <w:p w14:paraId="275D1C1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22.97</w:t>
            </w:r>
          </w:p>
        </w:tc>
        <w:tc>
          <w:tcPr>
            <w:tcW w:w="897" w:type="dxa"/>
            <w:tcBorders>
              <w:top w:val="single" w:color="auto" w:sz="4" w:space="0"/>
              <w:left w:val="single" w:color="auto" w:sz="4" w:space="0"/>
              <w:bottom w:val="nil"/>
              <w:right w:val="nil"/>
            </w:tcBorders>
            <w:tcMar>
              <w:top w:w="-1" w:type="dxa"/>
              <w:left w:w="-1" w:type="dxa"/>
              <w:bottom w:w="-1" w:type="dxa"/>
              <w:right w:w="-1" w:type="dxa"/>
            </w:tcMar>
            <w:vAlign w:val="center"/>
          </w:tcPr>
          <w:p w14:paraId="4DC0B47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164" w:type="dxa"/>
            <w:tcBorders>
              <w:top w:val="single" w:color="auto" w:sz="4" w:space="0"/>
              <w:left w:val="single" w:color="auto" w:sz="4" w:space="0"/>
              <w:bottom w:val="nil"/>
              <w:right w:val="nil"/>
            </w:tcBorders>
            <w:tcMar>
              <w:top w:w="-1" w:type="dxa"/>
              <w:left w:w="-1" w:type="dxa"/>
              <w:bottom w:w="-1" w:type="dxa"/>
              <w:right w:w="-1" w:type="dxa"/>
            </w:tcMar>
            <w:vAlign w:val="center"/>
          </w:tcPr>
          <w:p w14:paraId="582831C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[1.347, 1.424]</w:t>
            </w:r>
          </w:p>
        </w:tc>
        <w:tc>
          <w:tcPr>
            <w:tcW w:w="905" w:type="dxa"/>
            <w:tcBorders>
              <w:top w:val="single" w:color="auto" w:sz="4" w:space="0"/>
              <w:left w:val="single" w:color="auto" w:sz="4" w:space="0"/>
              <w:bottom w:val="nil"/>
              <w:right w:val="nil"/>
            </w:tcBorders>
            <w:tcMar>
              <w:top w:w="-1" w:type="dxa"/>
              <w:left w:w="-1" w:type="dxa"/>
              <w:bottom w:w="-1" w:type="dxa"/>
              <w:right w:w="-1" w:type="dxa"/>
            </w:tcMar>
            <w:vAlign w:val="center"/>
          </w:tcPr>
          <w:p w14:paraId="4EAC655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307,006</w:t>
            </w:r>
          </w:p>
        </w:tc>
        <w:tc>
          <w:tcPr>
            <w:tcW w:w="90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3AE7CD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133,391</w:t>
            </w:r>
          </w:p>
        </w:tc>
      </w:tr>
      <w:tr w14:paraId="710D0F94">
        <w:tblPrEx>
          <w:tblCellMar>
            <w:top w:w="0" w:type="dxa"/>
            <w:left w:w="108" w:type="dxa"/>
            <w:bottom w:w="0" w:type="dxa"/>
            <w:right w:w="108" w:type="dxa"/>
          </w:tblCellMar>
        </w:tblPrEx>
        <w:trPr>
          <w:trHeight w:val="283" w:hRule="atLeast"/>
          <w:jc w:val="center"/>
        </w:trPr>
        <w:tc>
          <w:tcPr>
            <w:tcW w:w="1536" w:type="dxa"/>
            <w:tcBorders>
              <w:top w:val="single" w:color="auto" w:sz="4" w:space="0"/>
              <w:left w:val="single" w:color="auto" w:sz="4" w:space="0"/>
              <w:bottom w:val="nil"/>
              <w:right w:val="nil"/>
            </w:tcBorders>
            <w:tcMar>
              <w:top w:w="-1" w:type="dxa"/>
              <w:left w:w="-1" w:type="dxa"/>
              <w:bottom w:w="-1" w:type="dxa"/>
              <w:right w:w="-1" w:type="dxa"/>
            </w:tcMar>
            <w:vAlign w:val="center"/>
          </w:tcPr>
          <w:p w14:paraId="134A266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Junior rank → first higher rank</w:t>
            </w:r>
          </w:p>
        </w:tc>
        <w:tc>
          <w:tcPr>
            <w:tcW w:w="1209" w:type="dxa"/>
            <w:tcBorders>
              <w:top w:val="single" w:color="auto" w:sz="4" w:space="0"/>
              <w:left w:val="single" w:color="auto" w:sz="4" w:space="0"/>
              <w:bottom w:val="nil"/>
              <w:right w:val="nil"/>
            </w:tcBorders>
            <w:tcMar>
              <w:top w:w="-1" w:type="dxa"/>
              <w:left w:w="-1" w:type="dxa"/>
              <w:bottom w:w="-1" w:type="dxa"/>
              <w:right w:w="-1" w:type="dxa"/>
            </w:tcMar>
            <w:vAlign w:val="center"/>
          </w:tcPr>
          <w:p w14:paraId="7B58C58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doctorate × ln(time)</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2E243326">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0.97</w:t>
            </w:r>
            <w:r>
              <w:rPr>
                <w:rFonts w:hint="default" w:ascii="Times New Roman" w:hAnsi="Times New Roman" w:eastAsia="宋体" w:cs="Times New Roman"/>
                <w:kern w:val="0"/>
                <w:szCs w:val="21"/>
                <w:lang w:val="en-US" w:eastAsia="zh-CN" w:bidi="ar"/>
              </w:rPr>
              <w:t>5</w:t>
            </w:r>
          </w:p>
        </w:tc>
        <w:tc>
          <w:tcPr>
            <w:tcW w:w="920" w:type="dxa"/>
            <w:tcBorders>
              <w:top w:val="single" w:color="auto" w:sz="4" w:space="0"/>
              <w:left w:val="single" w:color="auto" w:sz="4" w:space="0"/>
              <w:bottom w:val="nil"/>
              <w:right w:val="nil"/>
            </w:tcBorders>
            <w:tcMar>
              <w:top w:w="-1" w:type="dxa"/>
              <w:left w:w="-1" w:type="dxa"/>
              <w:bottom w:w="-1" w:type="dxa"/>
              <w:right w:w="-1" w:type="dxa"/>
            </w:tcMar>
            <w:vAlign w:val="center"/>
          </w:tcPr>
          <w:p w14:paraId="2332100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0.007</w:t>
            </w:r>
          </w:p>
        </w:tc>
        <w:tc>
          <w:tcPr>
            <w:tcW w:w="823" w:type="dxa"/>
            <w:tcBorders>
              <w:top w:val="single" w:color="auto" w:sz="4" w:space="0"/>
              <w:left w:val="single" w:color="auto" w:sz="4" w:space="0"/>
              <w:bottom w:val="nil"/>
              <w:right w:val="nil"/>
            </w:tcBorders>
            <w:tcMar>
              <w:top w:w="-1" w:type="dxa"/>
              <w:left w:w="-1" w:type="dxa"/>
              <w:bottom w:w="-1" w:type="dxa"/>
              <w:right w:w="-1" w:type="dxa"/>
            </w:tcMar>
            <w:vAlign w:val="center"/>
          </w:tcPr>
          <w:p w14:paraId="6795C2F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−3.38</w:t>
            </w:r>
          </w:p>
        </w:tc>
        <w:tc>
          <w:tcPr>
            <w:tcW w:w="897" w:type="dxa"/>
            <w:tcBorders>
              <w:top w:val="single" w:color="auto" w:sz="4" w:space="0"/>
              <w:left w:val="single" w:color="auto" w:sz="4" w:space="0"/>
              <w:bottom w:val="nil"/>
              <w:right w:val="nil"/>
            </w:tcBorders>
            <w:tcMar>
              <w:top w:w="-1" w:type="dxa"/>
              <w:left w:w="-1" w:type="dxa"/>
              <w:bottom w:w="-1" w:type="dxa"/>
              <w:right w:w="-1" w:type="dxa"/>
            </w:tcMar>
            <w:vAlign w:val="center"/>
          </w:tcPr>
          <w:p w14:paraId="06D1C5A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0.001</w:t>
            </w:r>
          </w:p>
        </w:tc>
        <w:tc>
          <w:tcPr>
            <w:tcW w:w="1164" w:type="dxa"/>
            <w:tcBorders>
              <w:top w:val="single" w:color="auto" w:sz="4" w:space="0"/>
              <w:left w:val="single" w:color="auto" w:sz="4" w:space="0"/>
              <w:bottom w:val="nil"/>
              <w:right w:val="nil"/>
            </w:tcBorders>
            <w:tcMar>
              <w:top w:w="-1" w:type="dxa"/>
              <w:left w:w="-1" w:type="dxa"/>
              <w:bottom w:w="-1" w:type="dxa"/>
              <w:right w:w="-1" w:type="dxa"/>
            </w:tcMar>
            <w:vAlign w:val="center"/>
          </w:tcPr>
          <w:p w14:paraId="15E64ED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[0.960, 0.989]</w:t>
            </w:r>
          </w:p>
        </w:tc>
        <w:tc>
          <w:tcPr>
            <w:tcW w:w="905" w:type="dxa"/>
            <w:tcBorders>
              <w:top w:val="single" w:color="auto" w:sz="4" w:space="0"/>
              <w:left w:val="single" w:color="auto" w:sz="4" w:space="0"/>
              <w:bottom w:val="nil"/>
              <w:right w:val="nil"/>
            </w:tcBorders>
            <w:tcMar>
              <w:top w:w="-1" w:type="dxa"/>
              <w:left w:w="-1" w:type="dxa"/>
              <w:bottom w:w="-1" w:type="dxa"/>
              <w:right w:w="-1" w:type="dxa"/>
            </w:tcMar>
            <w:vAlign w:val="center"/>
          </w:tcPr>
          <w:p w14:paraId="7BB473E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307,006</w:t>
            </w:r>
          </w:p>
        </w:tc>
        <w:tc>
          <w:tcPr>
            <w:tcW w:w="90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AB2F3D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133,391</w:t>
            </w:r>
          </w:p>
        </w:tc>
      </w:tr>
      <w:tr w14:paraId="0D666E20">
        <w:tblPrEx>
          <w:tblCellMar>
            <w:top w:w="0" w:type="dxa"/>
            <w:left w:w="108" w:type="dxa"/>
            <w:bottom w:w="0" w:type="dxa"/>
            <w:right w:w="108" w:type="dxa"/>
          </w:tblCellMar>
        </w:tblPrEx>
        <w:trPr>
          <w:trHeight w:val="283" w:hRule="atLeast"/>
          <w:jc w:val="center"/>
        </w:trPr>
        <w:tc>
          <w:tcPr>
            <w:tcW w:w="1536" w:type="dxa"/>
            <w:tcBorders>
              <w:top w:val="single" w:color="auto" w:sz="4" w:space="0"/>
              <w:left w:val="single" w:color="auto" w:sz="4" w:space="0"/>
              <w:bottom w:val="nil"/>
              <w:right w:val="nil"/>
            </w:tcBorders>
            <w:tcMar>
              <w:top w:w="-1" w:type="dxa"/>
              <w:left w:w="-1" w:type="dxa"/>
              <w:bottom w:w="-1" w:type="dxa"/>
              <w:right w:w="-1" w:type="dxa"/>
            </w:tcMar>
            <w:vAlign w:val="center"/>
          </w:tcPr>
          <w:p w14:paraId="7099E64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Mid/senior rank → full professor</w:t>
            </w:r>
          </w:p>
        </w:tc>
        <w:tc>
          <w:tcPr>
            <w:tcW w:w="1209" w:type="dxa"/>
            <w:tcBorders>
              <w:top w:val="single" w:color="auto" w:sz="4" w:space="0"/>
              <w:left w:val="single" w:color="auto" w:sz="4" w:space="0"/>
              <w:bottom w:val="nil"/>
              <w:right w:val="nil"/>
            </w:tcBorders>
            <w:tcMar>
              <w:top w:w="-1" w:type="dxa"/>
              <w:left w:w="-1" w:type="dxa"/>
              <w:bottom w:w="-1" w:type="dxa"/>
              <w:right w:w="-1" w:type="dxa"/>
            </w:tcMar>
            <w:vAlign w:val="center"/>
          </w:tcPr>
          <w:p w14:paraId="259ECD0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Elite-doctorate main effect</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2196EDC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0.968</w:t>
            </w:r>
          </w:p>
        </w:tc>
        <w:tc>
          <w:tcPr>
            <w:tcW w:w="920" w:type="dxa"/>
            <w:tcBorders>
              <w:top w:val="single" w:color="auto" w:sz="4" w:space="0"/>
              <w:left w:val="single" w:color="auto" w:sz="4" w:space="0"/>
              <w:bottom w:val="nil"/>
              <w:right w:val="nil"/>
            </w:tcBorders>
            <w:tcMar>
              <w:top w:w="-1" w:type="dxa"/>
              <w:left w:w="-1" w:type="dxa"/>
              <w:bottom w:w="-1" w:type="dxa"/>
              <w:right w:w="-1" w:type="dxa"/>
            </w:tcMar>
            <w:vAlign w:val="center"/>
          </w:tcPr>
          <w:p w14:paraId="75E09AE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0.021</w:t>
            </w:r>
          </w:p>
        </w:tc>
        <w:tc>
          <w:tcPr>
            <w:tcW w:w="823" w:type="dxa"/>
            <w:tcBorders>
              <w:top w:val="single" w:color="auto" w:sz="4" w:space="0"/>
              <w:left w:val="single" w:color="auto" w:sz="4" w:space="0"/>
              <w:bottom w:val="nil"/>
              <w:right w:val="nil"/>
            </w:tcBorders>
            <w:tcMar>
              <w:top w:w="-1" w:type="dxa"/>
              <w:left w:w="-1" w:type="dxa"/>
              <w:bottom w:w="-1" w:type="dxa"/>
              <w:right w:w="-1" w:type="dxa"/>
            </w:tcMar>
            <w:vAlign w:val="center"/>
          </w:tcPr>
          <w:p w14:paraId="3528F35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−1.46</w:t>
            </w:r>
          </w:p>
        </w:tc>
        <w:tc>
          <w:tcPr>
            <w:tcW w:w="897" w:type="dxa"/>
            <w:tcBorders>
              <w:top w:val="single" w:color="auto" w:sz="4" w:space="0"/>
              <w:left w:val="single" w:color="auto" w:sz="4" w:space="0"/>
              <w:bottom w:val="nil"/>
              <w:right w:val="nil"/>
            </w:tcBorders>
            <w:tcMar>
              <w:top w:w="-1" w:type="dxa"/>
              <w:left w:w="-1" w:type="dxa"/>
              <w:bottom w:w="-1" w:type="dxa"/>
              <w:right w:w="-1" w:type="dxa"/>
            </w:tcMar>
            <w:vAlign w:val="center"/>
          </w:tcPr>
          <w:p w14:paraId="2CB3893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0.145</w:t>
            </w:r>
          </w:p>
        </w:tc>
        <w:tc>
          <w:tcPr>
            <w:tcW w:w="1164" w:type="dxa"/>
            <w:tcBorders>
              <w:top w:val="single" w:color="auto" w:sz="4" w:space="0"/>
              <w:left w:val="single" w:color="auto" w:sz="4" w:space="0"/>
              <w:bottom w:val="nil"/>
              <w:right w:val="nil"/>
            </w:tcBorders>
            <w:tcMar>
              <w:top w:w="-1" w:type="dxa"/>
              <w:left w:w="-1" w:type="dxa"/>
              <w:bottom w:w="-1" w:type="dxa"/>
              <w:right w:w="-1" w:type="dxa"/>
            </w:tcMar>
            <w:vAlign w:val="center"/>
          </w:tcPr>
          <w:p w14:paraId="18766EA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[0.927, 1.011]</w:t>
            </w:r>
          </w:p>
        </w:tc>
        <w:tc>
          <w:tcPr>
            <w:tcW w:w="905" w:type="dxa"/>
            <w:tcBorders>
              <w:top w:val="single" w:color="auto" w:sz="4" w:space="0"/>
              <w:left w:val="single" w:color="auto" w:sz="4" w:space="0"/>
              <w:bottom w:val="nil"/>
              <w:right w:val="nil"/>
            </w:tcBorders>
            <w:tcMar>
              <w:top w:w="-1" w:type="dxa"/>
              <w:left w:w="-1" w:type="dxa"/>
              <w:bottom w:w="-1" w:type="dxa"/>
              <w:right w:w="-1" w:type="dxa"/>
            </w:tcMar>
            <w:vAlign w:val="center"/>
          </w:tcPr>
          <w:p w14:paraId="1D72EEA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241,492</w:t>
            </w:r>
          </w:p>
        </w:tc>
        <w:tc>
          <w:tcPr>
            <w:tcW w:w="90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3FD936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80,559</w:t>
            </w:r>
          </w:p>
        </w:tc>
      </w:tr>
      <w:tr w14:paraId="6EDD52FB">
        <w:tblPrEx>
          <w:tblCellMar>
            <w:top w:w="0" w:type="dxa"/>
            <w:left w:w="108" w:type="dxa"/>
            <w:bottom w:w="0" w:type="dxa"/>
            <w:right w:w="108" w:type="dxa"/>
          </w:tblCellMar>
        </w:tblPrEx>
        <w:trPr>
          <w:trHeight w:val="283" w:hRule="atLeast"/>
          <w:jc w:val="center"/>
        </w:trPr>
        <w:tc>
          <w:tcPr>
            <w:tcW w:w="153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3CE81D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Mid/senior rank → full professor</w:t>
            </w:r>
          </w:p>
        </w:tc>
        <w:tc>
          <w:tcPr>
            <w:tcW w:w="120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708DBB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doctorate × ln(time)</w:t>
            </w:r>
          </w:p>
        </w:tc>
        <w:tc>
          <w:tcPr>
            <w:tcW w:w="87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9F0DBD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1.138</w:t>
            </w:r>
          </w:p>
        </w:tc>
        <w:tc>
          <w:tcPr>
            <w:tcW w:w="92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83C0A82">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0.01</w:t>
            </w:r>
            <w:r>
              <w:rPr>
                <w:rFonts w:hint="default" w:ascii="Times New Roman" w:hAnsi="Times New Roman" w:eastAsia="宋体" w:cs="Times New Roman"/>
                <w:kern w:val="0"/>
                <w:szCs w:val="21"/>
                <w:lang w:val="en-US" w:eastAsia="zh-CN" w:bidi="ar"/>
              </w:rPr>
              <w:t>3</w:t>
            </w:r>
          </w:p>
        </w:tc>
        <w:tc>
          <w:tcPr>
            <w:tcW w:w="82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2C8499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11.63</w:t>
            </w:r>
          </w:p>
        </w:tc>
        <w:tc>
          <w:tcPr>
            <w:tcW w:w="89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856D32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16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57E31C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[1.11</w:t>
            </w:r>
            <w:r>
              <w:rPr>
                <w:rFonts w:hint="default" w:ascii="Times New Roman" w:hAnsi="Times New Roman" w:eastAsia="宋体" w:cs="Times New Roman"/>
                <w:kern w:val="0"/>
                <w:szCs w:val="21"/>
                <w:lang w:val="en-US" w:eastAsia="zh-CN" w:bidi="ar"/>
              </w:rPr>
              <w:t>4</w:t>
            </w:r>
            <w:r>
              <w:rPr>
                <w:rFonts w:hint="default" w:ascii="Times New Roman" w:hAnsi="Times New Roman" w:eastAsia="宋体" w:cs="Times New Roman"/>
                <w:kern w:val="0"/>
                <w:szCs w:val="21"/>
                <w:lang w:bidi="ar"/>
              </w:rPr>
              <w:t>, 1.163]</w:t>
            </w:r>
          </w:p>
        </w:tc>
        <w:tc>
          <w:tcPr>
            <w:tcW w:w="90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D419BE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241,492</w:t>
            </w:r>
          </w:p>
        </w:tc>
        <w:tc>
          <w:tcPr>
            <w:tcW w:w="90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D14F19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80,559</w:t>
            </w:r>
          </w:p>
        </w:tc>
      </w:tr>
    </w:tbl>
    <w:p w14:paraId="6EB26639">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This table uses time-varying Cox models to test whether the relative promotion-rate advantage of elite-doctorate faculty changes with time spent at a rank. At each time point, the risk set includes only faculty who have not yet completed the transition. The main effect represents the group difference at the reference time, and the time interaction represents change in this difference as duration increases. The junior-rank interaction is below one and significant, indicating a strong early advantage that weakens with time. For promotion from mid/senior rank to full professor, the main effect is not significant but the time interaction is above one and significant, indicating that the relative advantage emerges and grows among those who remain unpromoted. These are changes in relative rates, not necessarily changes in an individual’s absolute promotion rate</w:t>
      </w:r>
      <w:r>
        <w:rPr>
          <w:rFonts w:hint="default" w:ascii="Times New Roman" w:hAnsi="Times New Roman" w:cs="Times New Roman"/>
          <w:b w:val="0"/>
          <w:i w:val="0"/>
          <w:sz w:val="20"/>
          <w:szCs w:val="28"/>
          <w:lang w:val="en-US" w:eastAsia="zh-CN"/>
        </w:rPr>
        <w:t>.</w:t>
      </w:r>
    </w:p>
    <w:p w14:paraId="43D7D23D">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F. Heterogeneity in full-professorship attainment by current institution tier</w:t>
      </w:r>
    </w:p>
    <w:p w14:paraId="55214F0B">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Subpanel F1. Logit interaction estimates (N = 1,204,962; Wald χ²(30) = 134,952.59; p &lt; 0.001)</w:t>
      </w:r>
    </w:p>
    <w:tbl>
      <w:tblPr>
        <w:tblStyle w:val="5"/>
        <w:tblW w:w="0" w:type="auto"/>
        <w:jc w:val="center"/>
        <w:tblLayout w:type="fixed"/>
        <w:tblCellMar>
          <w:top w:w="0" w:type="dxa"/>
          <w:left w:w="108" w:type="dxa"/>
          <w:bottom w:w="0" w:type="dxa"/>
          <w:right w:w="108" w:type="dxa"/>
        </w:tblCellMar>
      </w:tblPr>
      <w:tblGrid>
        <w:gridCol w:w="2604"/>
        <w:gridCol w:w="1228"/>
        <w:gridCol w:w="1356"/>
        <w:gridCol w:w="887"/>
        <w:gridCol w:w="924"/>
        <w:gridCol w:w="1681"/>
      </w:tblGrid>
      <w:tr w14:paraId="0DF78854">
        <w:tblPrEx>
          <w:tblCellMar>
            <w:top w:w="0" w:type="dxa"/>
            <w:left w:w="108" w:type="dxa"/>
            <w:bottom w:w="0" w:type="dxa"/>
            <w:right w:w="108" w:type="dxa"/>
          </w:tblCellMar>
        </w:tblPrEx>
        <w:trPr>
          <w:cantSplit/>
          <w:trHeight w:val="283" w:hRule="atLeast"/>
          <w:tblHeader/>
          <w:jc w:val="center"/>
        </w:trPr>
        <w:tc>
          <w:tcPr>
            <w:tcW w:w="2604" w:type="dxa"/>
            <w:tcBorders>
              <w:top w:val="single" w:color="auto" w:sz="4" w:space="0"/>
              <w:left w:val="single" w:color="auto" w:sz="4" w:space="0"/>
              <w:bottom w:val="nil"/>
              <w:right w:val="nil"/>
            </w:tcBorders>
            <w:tcMar>
              <w:top w:w="-1" w:type="dxa"/>
              <w:left w:w="-1" w:type="dxa"/>
              <w:bottom w:w="-1" w:type="dxa"/>
              <w:right w:w="-1" w:type="dxa"/>
            </w:tcMar>
            <w:vAlign w:val="center"/>
          </w:tcPr>
          <w:p w14:paraId="7CFDD6F4">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Model term</w:t>
            </w:r>
          </w:p>
        </w:tc>
        <w:tc>
          <w:tcPr>
            <w:tcW w:w="1228" w:type="dxa"/>
            <w:tcBorders>
              <w:top w:val="single" w:color="auto" w:sz="4" w:space="0"/>
              <w:left w:val="single" w:color="auto" w:sz="4" w:space="0"/>
              <w:bottom w:val="nil"/>
              <w:right w:val="nil"/>
            </w:tcBorders>
            <w:tcMar>
              <w:top w:w="-1" w:type="dxa"/>
              <w:left w:w="-1" w:type="dxa"/>
              <w:bottom w:w="-1" w:type="dxa"/>
              <w:right w:w="-1" w:type="dxa"/>
            </w:tcMar>
            <w:vAlign w:val="center"/>
          </w:tcPr>
          <w:p w14:paraId="16CCFAE8">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Coefficient</w:t>
            </w:r>
          </w:p>
        </w:tc>
        <w:tc>
          <w:tcPr>
            <w:tcW w:w="1356" w:type="dxa"/>
            <w:tcBorders>
              <w:top w:val="single" w:color="auto" w:sz="4" w:space="0"/>
              <w:left w:val="single" w:color="auto" w:sz="4" w:space="0"/>
              <w:bottom w:val="nil"/>
              <w:right w:val="nil"/>
            </w:tcBorders>
            <w:tcMar>
              <w:top w:w="-1" w:type="dxa"/>
              <w:left w:w="-1" w:type="dxa"/>
              <w:bottom w:w="-1" w:type="dxa"/>
              <w:right w:w="-1" w:type="dxa"/>
            </w:tcMar>
            <w:vAlign w:val="center"/>
          </w:tcPr>
          <w:p w14:paraId="204D09F1">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Robust SE</w:t>
            </w:r>
          </w:p>
        </w:tc>
        <w:tc>
          <w:tcPr>
            <w:tcW w:w="887" w:type="dxa"/>
            <w:tcBorders>
              <w:top w:val="single" w:color="auto" w:sz="4" w:space="0"/>
              <w:left w:val="single" w:color="auto" w:sz="4" w:space="0"/>
              <w:bottom w:val="nil"/>
              <w:right w:val="nil"/>
            </w:tcBorders>
            <w:tcMar>
              <w:top w:w="-1" w:type="dxa"/>
              <w:left w:w="-1" w:type="dxa"/>
              <w:bottom w:w="-1" w:type="dxa"/>
              <w:right w:w="-1" w:type="dxa"/>
            </w:tcMar>
            <w:vAlign w:val="center"/>
          </w:tcPr>
          <w:p w14:paraId="3FA97031">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z</w:t>
            </w:r>
          </w:p>
        </w:tc>
        <w:tc>
          <w:tcPr>
            <w:tcW w:w="924" w:type="dxa"/>
            <w:tcBorders>
              <w:top w:val="single" w:color="auto" w:sz="4" w:space="0"/>
              <w:left w:val="single" w:color="auto" w:sz="4" w:space="0"/>
              <w:bottom w:val="nil"/>
              <w:right w:val="nil"/>
            </w:tcBorders>
            <w:tcMar>
              <w:top w:w="-1" w:type="dxa"/>
              <w:left w:w="-1" w:type="dxa"/>
              <w:bottom w:w="-1" w:type="dxa"/>
              <w:right w:w="-1" w:type="dxa"/>
            </w:tcMar>
            <w:vAlign w:val="center"/>
          </w:tcPr>
          <w:p w14:paraId="2D3F8FC2">
            <w:pPr>
              <w:widowControl/>
              <w:snapToGrid w:val="0"/>
              <w:spacing w:before="0" w:after="0" w:line="240" w:lineRule="auto"/>
              <w:jc w:val="center"/>
              <w:textAlignment w:val="center"/>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p-value</w:t>
            </w:r>
          </w:p>
        </w:tc>
        <w:tc>
          <w:tcPr>
            <w:tcW w:w="168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5BCCBCA">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w:t>
            </w:r>
          </w:p>
        </w:tc>
      </w:tr>
      <w:tr w14:paraId="758CF807">
        <w:tblPrEx>
          <w:tblCellMar>
            <w:top w:w="0" w:type="dxa"/>
            <w:left w:w="108" w:type="dxa"/>
            <w:bottom w:w="0" w:type="dxa"/>
            <w:right w:w="108" w:type="dxa"/>
          </w:tblCellMar>
        </w:tblPrEx>
        <w:trPr>
          <w:cantSplit/>
          <w:trHeight w:val="283" w:hRule="atLeast"/>
          <w:jc w:val="center"/>
        </w:trPr>
        <w:tc>
          <w:tcPr>
            <w:tcW w:w="2604" w:type="dxa"/>
            <w:tcBorders>
              <w:top w:val="single" w:color="auto" w:sz="4" w:space="0"/>
              <w:left w:val="single" w:color="auto" w:sz="4" w:space="0"/>
              <w:bottom w:val="nil"/>
              <w:right w:val="nil"/>
            </w:tcBorders>
            <w:tcMar>
              <w:top w:w="-1" w:type="dxa"/>
              <w:left w:w="-1" w:type="dxa"/>
              <w:bottom w:w="-1" w:type="dxa"/>
              <w:right w:w="-1" w:type="dxa"/>
            </w:tcMar>
            <w:vAlign w:val="center"/>
          </w:tcPr>
          <w:p w14:paraId="3891356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doctorate</w:t>
            </w:r>
          </w:p>
        </w:tc>
        <w:tc>
          <w:tcPr>
            <w:tcW w:w="1228" w:type="dxa"/>
            <w:tcBorders>
              <w:top w:val="single" w:color="auto" w:sz="4" w:space="0"/>
              <w:left w:val="single" w:color="auto" w:sz="4" w:space="0"/>
              <w:bottom w:val="nil"/>
              <w:right w:val="nil"/>
            </w:tcBorders>
            <w:tcMar>
              <w:top w:w="-1" w:type="dxa"/>
              <w:left w:w="-1" w:type="dxa"/>
              <w:bottom w:w="-1" w:type="dxa"/>
              <w:right w:w="-1" w:type="dxa"/>
            </w:tcMar>
            <w:vAlign w:val="center"/>
          </w:tcPr>
          <w:p w14:paraId="48BDDDA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0.190</w:t>
            </w:r>
          </w:p>
        </w:tc>
        <w:tc>
          <w:tcPr>
            <w:tcW w:w="1356" w:type="dxa"/>
            <w:tcBorders>
              <w:top w:val="single" w:color="auto" w:sz="4" w:space="0"/>
              <w:left w:val="single" w:color="auto" w:sz="4" w:space="0"/>
              <w:bottom w:val="nil"/>
              <w:right w:val="nil"/>
            </w:tcBorders>
            <w:tcMar>
              <w:top w:w="-1" w:type="dxa"/>
              <w:left w:w="-1" w:type="dxa"/>
              <w:bottom w:w="-1" w:type="dxa"/>
              <w:right w:w="-1" w:type="dxa"/>
            </w:tcMar>
            <w:vAlign w:val="center"/>
          </w:tcPr>
          <w:p w14:paraId="332C12E7">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0.00</w:t>
            </w:r>
            <w:r>
              <w:rPr>
                <w:rFonts w:hint="default" w:ascii="Times New Roman" w:hAnsi="Times New Roman" w:eastAsia="宋体" w:cs="Times New Roman"/>
                <w:kern w:val="0"/>
                <w:szCs w:val="21"/>
                <w:lang w:val="en-US" w:eastAsia="zh-CN" w:bidi="ar"/>
              </w:rPr>
              <w:t>7</w:t>
            </w:r>
          </w:p>
        </w:tc>
        <w:tc>
          <w:tcPr>
            <w:tcW w:w="887" w:type="dxa"/>
            <w:tcBorders>
              <w:top w:val="single" w:color="auto" w:sz="4" w:space="0"/>
              <w:left w:val="single" w:color="auto" w:sz="4" w:space="0"/>
              <w:bottom w:val="nil"/>
              <w:right w:val="nil"/>
            </w:tcBorders>
            <w:tcMar>
              <w:top w:w="-1" w:type="dxa"/>
              <w:left w:w="-1" w:type="dxa"/>
              <w:bottom w:w="-1" w:type="dxa"/>
              <w:right w:w="-1" w:type="dxa"/>
            </w:tcMar>
            <w:vAlign w:val="center"/>
          </w:tcPr>
          <w:p w14:paraId="01F1D50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29.17</w:t>
            </w:r>
          </w:p>
        </w:tc>
        <w:tc>
          <w:tcPr>
            <w:tcW w:w="924" w:type="dxa"/>
            <w:tcBorders>
              <w:top w:val="single" w:color="auto" w:sz="4" w:space="0"/>
              <w:left w:val="single" w:color="auto" w:sz="4" w:space="0"/>
              <w:bottom w:val="nil"/>
              <w:right w:val="nil"/>
            </w:tcBorders>
            <w:tcMar>
              <w:top w:w="-1" w:type="dxa"/>
              <w:left w:w="-1" w:type="dxa"/>
              <w:bottom w:w="-1" w:type="dxa"/>
              <w:right w:w="-1" w:type="dxa"/>
            </w:tcMar>
            <w:vAlign w:val="center"/>
          </w:tcPr>
          <w:p w14:paraId="5AEE850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B8E3B6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[0.177, 0.20</w:t>
            </w:r>
            <w:r>
              <w:rPr>
                <w:rFonts w:hint="default" w:ascii="Times New Roman" w:hAnsi="Times New Roman" w:eastAsia="宋体" w:cs="Times New Roman"/>
                <w:kern w:val="0"/>
                <w:szCs w:val="21"/>
                <w:lang w:val="en-US" w:eastAsia="zh-CN" w:bidi="ar"/>
              </w:rPr>
              <w:t>3</w:t>
            </w:r>
            <w:r>
              <w:rPr>
                <w:rFonts w:hint="default" w:ascii="Times New Roman" w:hAnsi="Times New Roman" w:eastAsia="宋体" w:cs="Times New Roman"/>
                <w:kern w:val="0"/>
                <w:szCs w:val="21"/>
                <w:lang w:bidi="ar"/>
              </w:rPr>
              <w:t>]</w:t>
            </w:r>
          </w:p>
        </w:tc>
      </w:tr>
      <w:tr w14:paraId="04C1F437">
        <w:tblPrEx>
          <w:tblCellMar>
            <w:top w:w="0" w:type="dxa"/>
            <w:left w:w="108" w:type="dxa"/>
            <w:bottom w:w="0" w:type="dxa"/>
            <w:right w:w="108" w:type="dxa"/>
          </w:tblCellMar>
        </w:tblPrEx>
        <w:trPr>
          <w:cantSplit/>
          <w:trHeight w:val="283" w:hRule="atLeast"/>
          <w:jc w:val="center"/>
        </w:trPr>
        <w:tc>
          <w:tcPr>
            <w:tcW w:w="2604" w:type="dxa"/>
            <w:tcBorders>
              <w:top w:val="single" w:color="auto" w:sz="4" w:space="0"/>
              <w:left w:val="single" w:color="auto" w:sz="4" w:space="0"/>
              <w:bottom w:val="nil"/>
              <w:right w:val="nil"/>
            </w:tcBorders>
            <w:tcMar>
              <w:top w:w="-1" w:type="dxa"/>
              <w:left w:w="-1" w:type="dxa"/>
              <w:bottom w:w="-1" w:type="dxa"/>
              <w:right w:w="-1" w:type="dxa"/>
            </w:tcMar>
            <w:vAlign w:val="center"/>
          </w:tcPr>
          <w:p w14:paraId="331E88B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Currently employed at an elite university</w:t>
            </w:r>
          </w:p>
        </w:tc>
        <w:tc>
          <w:tcPr>
            <w:tcW w:w="1228" w:type="dxa"/>
            <w:tcBorders>
              <w:top w:val="single" w:color="auto" w:sz="4" w:space="0"/>
              <w:left w:val="single" w:color="auto" w:sz="4" w:space="0"/>
              <w:bottom w:val="nil"/>
              <w:right w:val="nil"/>
            </w:tcBorders>
            <w:tcMar>
              <w:top w:w="-1" w:type="dxa"/>
              <w:left w:w="-1" w:type="dxa"/>
              <w:bottom w:w="-1" w:type="dxa"/>
              <w:right w:w="-1" w:type="dxa"/>
            </w:tcMar>
            <w:vAlign w:val="center"/>
          </w:tcPr>
          <w:p w14:paraId="3976B42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0.232</w:t>
            </w:r>
          </w:p>
        </w:tc>
        <w:tc>
          <w:tcPr>
            <w:tcW w:w="1356" w:type="dxa"/>
            <w:tcBorders>
              <w:top w:val="single" w:color="auto" w:sz="4" w:space="0"/>
              <w:left w:val="single" w:color="auto" w:sz="4" w:space="0"/>
              <w:bottom w:val="nil"/>
              <w:right w:val="nil"/>
            </w:tcBorders>
            <w:tcMar>
              <w:top w:w="-1" w:type="dxa"/>
              <w:left w:w="-1" w:type="dxa"/>
              <w:bottom w:w="-1" w:type="dxa"/>
              <w:right w:w="-1" w:type="dxa"/>
            </w:tcMar>
            <w:vAlign w:val="center"/>
          </w:tcPr>
          <w:p w14:paraId="72C7AFF6">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0.00</w:t>
            </w:r>
            <w:r>
              <w:rPr>
                <w:rFonts w:hint="default" w:ascii="Times New Roman" w:hAnsi="Times New Roman" w:eastAsia="宋体" w:cs="Times New Roman"/>
                <w:kern w:val="0"/>
                <w:szCs w:val="21"/>
                <w:lang w:val="en-US" w:eastAsia="zh-CN" w:bidi="ar"/>
              </w:rPr>
              <w:t>7</w:t>
            </w:r>
          </w:p>
        </w:tc>
        <w:tc>
          <w:tcPr>
            <w:tcW w:w="887" w:type="dxa"/>
            <w:tcBorders>
              <w:top w:val="single" w:color="auto" w:sz="4" w:space="0"/>
              <w:left w:val="single" w:color="auto" w:sz="4" w:space="0"/>
              <w:bottom w:val="nil"/>
              <w:right w:val="nil"/>
            </w:tcBorders>
            <w:tcMar>
              <w:top w:w="-1" w:type="dxa"/>
              <w:left w:w="-1" w:type="dxa"/>
              <w:bottom w:w="-1" w:type="dxa"/>
              <w:right w:w="-1" w:type="dxa"/>
            </w:tcMar>
            <w:vAlign w:val="center"/>
          </w:tcPr>
          <w:p w14:paraId="4EC21CB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32.83</w:t>
            </w:r>
          </w:p>
        </w:tc>
        <w:tc>
          <w:tcPr>
            <w:tcW w:w="924" w:type="dxa"/>
            <w:tcBorders>
              <w:top w:val="single" w:color="auto" w:sz="4" w:space="0"/>
              <w:left w:val="single" w:color="auto" w:sz="4" w:space="0"/>
              <w:bottom w:val="nil"/>
              <w:right w:val="nil"/>
            </w:tcBorders>
            <w:tcMar>
              <w:top w:w="-1" w:type="dxa"/>
              <w:left w:w="-1" w:type="dxa"/>
              <w:bottom w:w="-1" w:type="dxa"/>
              <w:right w:w="-1" w:type="dxa"/>
            </w:tcMar>
            <w:vAlign w:val="center"/>
          </w:tcPr>
          <w:p w14:paraId="511237B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1"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742B19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[0.218, 0.24</w:t>
            </w:r>
            <w:r>
              <w:rPr>
                <w:rFonts w:hint="default" w:ascii="Times New Roman" w:hAnsi="Times New Roman" w:eastAsia="宋体" w:cs="Times New Roman"/>
                <w:kern w:val="0"/>
                <w:szCs w:val="21"/>
                <w:lang w:val="en-US" w:eastAsia="zh-CN" w:bidi="ar"/>
              </w:rPr>
              <w:t>6</w:t>
            </w:r>
            <w:r>
              <w:rPr>
                <w:rFonts w:hint="default" w:ascii="Times New Roman" w:hAnsi="Times New Roman" w:eastAsia="宋体" w:cs="Times New Roman"/>
                <w:kern w:val="0"/>
                <w:szCs w:val="21"/>
                <w:lang w:bidi="ar"/>
              </w:rPr>
              <w:t>]</w:t>
            </w:r>
          </w:p>
        </w:tc>
      </w:tr>
      <w:tr w14:paraId="6163FE52">
        <w:tblPrEx>
          <w:tblCellMar>
            <w:top w:w="0" w:type="dxa"/>
            <w:left w:w="108" w:type="dxa"/>
            <w:bottom w:w="0" w:type="dxa"/>
            <w:right w:w="108" w:type="dxa"/>
          </w:tblCellMar>
        </w:tblPrEx>
        <w:trPr>
          <w:cantSplit/>
          <w:trHeight w:val="283" w:hRule="atLeast"/>
          <w:jc w:val="center"/>
        </w:trPr>
        <w:tc>
          <w:tcPr>
            <w:tcW w:w="260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DF2132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doctorate × current elite-university employment</w:t>
            </w:r>
          </w:p>
        </w:tc>
        <w:tc>
          <w:tcPr>
            <w:tcW w:w="122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3531E3C">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−0.13</w:t>
            </w:r>
            <w:r>
              <w:rPr>
                <w:rFonts w:hint="default" w:ascii="Times New Roman" w:hAnsi="Times New Roman" w:eastAsia="宋体" w:cs="Times New Roman"/>
                <w:kern w:val="0"/>
                <w:szCs w:val="21"/>
                <w:lang w:val="en-US" w:eastAsia="zh-CN" w:bidi="ar"/>
              </w:rPr>
              <w:t>2</w:t>
            </w:r>
          </w:p>
        </w:tc>
        <w:tc>
          <w:tcPr>
            <w:tcW w:w="135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778D11A">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0.01</w:t>
            </w:r>
            <w:r>
              <w:rPr>
                <w:rFonts w:hint="default" w:ascii="Times New Roman" w:hAnsi="Times New Roman" w:eastAsia="宋体" w:cs="Times New Roman"/>
                <w:kern w:val="0"/>
                <w:szCs w:val="21"/>
                <w:lang w:val="en-US" w:eastAsia="zh-CN" w:bidi="ar"/>
              </w:rPr>
              <w:t>1</w:t>
            </w:r>
          </w:p>
        </w:tc>
        <w:tc>
          <w:tcPr>
            <w:tcW w:w="88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9C3752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−12.35</w:t>
            </w:r>
          </w:p>
        </w:tc>
        <w:tc>
          <w:tcPr>
            <w:tcW w:w="92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723EE4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681"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D63073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[−0.152, −0.11</w:t>
            </w:r>
            <w:r>
              <w:rPr>
                <w:rFonts w:hint="default" w:ascii="Times New Roman" w:hAnsi="Times New Roman" w:eastAsia="宋体" w:cs="Times New Roman"/>
                <w:kern w:val="0"/>
                <w:szCs w:val="21"/>
                <w:lang w:val="en-US" w:eastAsia="zh-CN" w:bidi="ar"/>
              </w:rPr>
              <w:t>1</w:t>
            </w:r>
            <w:r>
              <w:rPr>
                <w:rFonts w:hint="default" w:ascii="Times New Roman" w:hAnsi="Times New Roman" w:eastAsia="宋体" w:cs="Times New Roman"/>
                <w:kern w:val="0"/>
                <w:szCs w:val="21"/>
                <w:lang w:bidi="ar"/>
              </w:rPr>
              <w:t>]</w:t>
            </w:r>
          </w:p>
        </w:tc>
      </w:tr>
    </w:tbl>
    <w:p w14:paraId="14ED0A6F">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Subpanel F2. Adjusted probabilities of attaining full professorship</w:t>
      </w:r>
    </w:p>
    <w:tbl>
      <w:tblPr>
        <w:tblStyle w:val="5"/>
        <w:tblW w:w="8825" w:type="dxa"/>
        <w:jc w:val="center"/>
        <w:tblLayout w:type="fixed"/>
        <w:tblCellMar>
          <w:top w:w="0" w:type="dxa"/>
          <w:left w:w="108" w:type="dxa"/>
          <w:bottom w:w="0" w:type="dxa"/>
          <w:right w:w="108" w:type="dxa"/>
        </w:tblCellMar>
      </w:tblPr>
      <w:tblGrid>
        <w:gridCol w:w="1777"/>
        <w:gridCol w:w="1777"/>
        <w:gridCol w:w="2017"/>
        <w:gridCol w:w="1419"/>
        <w:gridCol w:w="1835"/>
      </w:tblGrid>
      <w:tr w14:paraId="58B88D85">
        <w:tblPrEx>
          <w:tblCellMar>
            <w:top w:w="0" w:type="dxa"/>
            <w:left w:w="108" w:type="dxa"/>
            <w:bottom w:w="0" w:type="dxa"/>
            <w:right w:w="108" w:type="dxa"/>
          </w:tblCellMar>
        </w:tblPrEx>
        <w:trPr>
          <w:cantSplit/>
          <w:trHeight w:val="283" w:hRule="atLeast"/>
          <w:tblHeader/>
          <w:jc w:val="center"/>
        </w:trPr>
        <w:tc>
          <w:tcPr>
            <w:tcW w:w="1777"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3EFDAFF">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Doctoral institution</w:t>
            </w:r>
          </w:p>
        </w:tc>
        <w:tc>
          <w:tcPr>
            <w:tcW w:w="1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BEA2E3">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Current institution</w:t>
            </w:r>
          </w:p>
        </w:tc>
        <w:tc>
          <w:tcPr>
            <w:tcW w:w="20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73522">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Adjusted predicted probability</w:t>
            </w: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558F3">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Robust SE</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591AA">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w:t>
            </w:r>
          </w:p>
        </w:tc>
      </w:tr>
      <w:tr w14:paraId="47646686">
        <w:tblPrEx>
          <w:tblCellMar>
            <w:top w:w="0" w:type="dxa"/>
            <w:left w:w="108" w:type="dxa"/>
            <w:bottom w:w="0" w:type="dxa"/>
            <w:right w:w="108" w:type="dxa"/>
          </w:tblCellMar>
        </w:tblPrEx>
        <w:trPr>
          <w:cantSplit/>
          <w:trHeight w:val="283" w:hRule="atLeast"/>
          <w:jc w:val="center"/>
        </w:trPr>
        <w:tc>
          <w:tcPr>
            <w:tcW w:w="1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8534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Non-elite doctorate</w:t>
            </w:r>
          </w:p>
        </w:tc>
        <w:tc>
          <w:tcPr>
            <w:tcW w:w="1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85330A">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Non-elite university</w:t>
            </w:r>
          </w:p>
        </w:tc>
        <w:tc>
          <w:tcPr>
            <w:tcW w:w="20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A6F46">
            <w:pPr>
              <w:widowControl/>
              <w:snapToGrid w:val="0"/>
              <w:spacing w:before="0" w:after="0" w:line="240" w:lineRule="auto"/>
              <w:jc w:val="center"/>
              <w:textAlignment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bidi="ar"/>
              </w:rPr>
              <w:t>0.</w:t>
            </w:r>
            <w:r>
              <w:rPr>
                <w:rFonts w:hint="default" w:ascii="Times New Roman" w:hAnsi="Times New Roman" w:eastAsia="宋体" w:cs="Times New Roman"/>
                <w:kern w:val="0"/>
                <w:szCs w:val="21"/>
                <w:lang w:val="en-US" w:eastAsia="zh-CN" w:bidi="ar"/>
              </w:rPr>
              <w:t>400</w:t>
            </w: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B7950">
            <w:pPr>
              <w:widowControl/>
              <w:snapToGrid w:val="0"/>
              <w:spacing w:before="0" w:after="0" w:line="240" w:lineRule="auto"/>
              <w:jc w:val="center"/>
              <w:textAlignment w:val="center"/>
              <w:rPr>
                <w:rFonts w:hint="default" w:ascii="Times New Roman" w:hAnsi="Times New Roman" w:eastAsia="宋体" w:cs="Times New Roman"/>
                <w:kern w:val="0"/>
                <w:szCs w:val="21"/>
                <w:lang w:eastAsia="zh-CN" w:bidi="ar"/>
              </w:rPr>
            </w:pPr>
            <w:r>
              <w:rPr>
                <w:rFonts w:hint="default" w:ascii="Times New Roman" w:hAnsi="Times New Roman" w:eastAsia="宋体" w:cs="Times New Roman"/>
                <w:kern w:val="0"/>
                <w:szCs w:val="21"/>
                <w:lang w:bidi="ar"/>
              </w:rPr>
              <w:t>0.00</w:t>
            </w:r>
            <w:r>
              <w:rPr>
                <w:rFonts w:hint="default" w:ascii="Times New Roman" w:hAnsi="Times New Roman" w:eastAsia="宋体" w:cs="Times New Roman"/>
                <w:kern w:val="0"/>
                <w:szCs w:val="21"/>
                <w:lang w:val="en-US" w:eastAsia="zh-CN" w:bidi="ar"/>
              </w:rPr>
              <w:t>0</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C1E99">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[0.39</w:t>
            </w:r>
            <w:r>
              <w:rPr>
                <w:rFonts w:hint="default" w:ascii="Times New Roman" w:hAnsi="Times New Roman" w:eastAsia="宋体" w:cs="Times New Roman"/>
                <w:kern w:val="0"/>
                <w:szCs w:val="21"/>
                <w:lang w:val="en-US" w:eastAsia="zh-CN" w:bidi="ar"/>
              </w:rPr>
              <w:t>9</w:t>
            </w:r>
            <w:r>
              <w:rPr>
                <w:rFonts w:hint="default" w:ascii="Times New Roman" w:hAnsi="Times New Roman" w:eastAsia="宋体" w:cs="Times New Roman"/>
                <w:kern w:val="0"/>
                <w:szCs w:val="21"/>
                <w:lang w:bidi="ar"/>
              </w:rPr>
              <w:t>, 0.40</w:t>
            </w:r>
            <w:r>
              <w:rPr>
                <w:rFonts w:hint="default" w:ascii="Times New Roman" w:hAnsi="Times New Roman" w:eastAsia="宋体" w:cs="Times New Roman"/>
                <w:kern w:val="0"/>
                <w:szCs w:val="21"/>
                <w:lang w:val="en-US" w:eastAsia="zh-CN" w:bidi="ar"/>
              </w:rPr>
              <w:t>1</w:t>
            </w:r>
            <w:r>
              <w:rPr>
                <w:rFonts w:hint="default" w:ascii="Times New Roman" w:hAnsi="Times New Roman" w:eastAsia="宋体" w:cs="Times New Roman"/>
                <w:kern w:val="0"/>
                <w:szCs w:val="21"/>
                <w:lang w:bidi="ar"/>
              </w:rPr>
              <w:t>]</w:t>
            </w:r>
          </w:p>
        </w:tc>
      </w:tr>
      <w:tr w14:paraId="7F3D3646">
        <w:tblPrEx>
          <w:tblCellMar>
            <w:top w:w="0" w:type="dxa"/>
            <w:left w:w="108" w:type="dxa"/>
            <w:bottom w:w="0" w:type="dxa"/>
            <w:right w:w="108" w:type="dxa"/>
          </w:tblCellMar>
        </w:tblPrEx>
        <w:trPr>
          <w:cantSplit/>
          <w:trHeight w:val="283" w:hRule="atLeast"/>
          <w:jc w:val="center"/>
        </w:trPr>
        <w:tc>
          <w:tcPr>
            <w:tcW w:w="1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77B0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Elite doctorate</w:t>
            </w:r>
          </w:p>
        </w:tc>
        <w:tc>
          <w:tcPr>
            <w:tcW w:w="1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5C0E8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Non-elite university</w:t>
            </w:r>
          </w:p>
        </w:tc>
        <w:tc>
          <w:tcPr>
            <w:tcW w:w="20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8D2B3">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0.439</w:t>
            </w: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F29B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0.001</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F766C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[0.43</w:t>
            </w:r>
            <w:r>
              <w:rPr>
                <w:rFonts w:hint="default" w:ascii="Times New Roman" w:hAnsi="Times New Roman" w:eastAsia="宋体" w:cs="Times New Roman"/>
                <w:kern w:val="0"/>
                <w:szCs w:val="21"/>
                <w:lang w:val="en-US" w:eastAsia="zh-CN" w:bidi="ar"/>
              </w:rPr>
              <w:t>7</w:t>
            </w:r>
            <w:r>
              <w:rPr>
                <w:rFonts w:hint="default" w:ascii="Times New Roman" w:hAnsi="Times New Roman" w:eastAsia="宋体" w:cs="Times New Roman"/>
                <w:kern w:val="0"/>
                <w:szCs w:val="21"/>
                <w:lang w:bidi="ar"/>
              </w:rPr>
              <w:t>, 0.44</w:t>
            </w:r>
            <w:r>
              <w:rPr>
                <w:rFonts w:hint="default" w:ascii="Times New Roman" w:hAnsi="Times New Roman" w:eastAsia="宋体" w:cs="Times New Roman"/>
                <w:kern w:val="0"/>
                <w:szCs w:val="21"/>
                <w:lang w:val="en-US" w:eastAsia="zh-CN" w:bidi="ar"/>
              </w:rPr>
              <w:t>2</w:t>
            </w:r>
            <w:r>
              <w:rPr>
                <w:rFonts w:hint="default" w:ascii="Times New Roman" w:hAnsi="Times New Roman" w:eastAsia="宋体" w:cs="Times New Roman"/>
                <w:kern w:val="0"/>
                <w:szCs w:val="21"/>
                <w:lang w:bidi="ar"/>
              </w:rPr>
              <w:t>]</w:t>
            </w:r>
          </w:p>
        </w:tc>
      </w:tr>
      <w:tr w14:paraId="54FDFE09">
        <w:tblPrEx>
          <w:tblCellMar>
            <w:top w:w="0" w:type="dxa"/>
            <w:left w:w="108" w:type="dxa"/>
            <w:bottom w:w="0" w:type="dxa"/>
            <w:right w:w="108" w:type="dxa"/>
          </w:tblCellMar>
        </w:tblPrEx>
        <w:trPr>
          <w:cantSplit/>
          <w:trHeight w:val="283" w:hRule="atLeast"/>
          <w:jc w:val="center"/>
        </w:trPr>
        <w:tc>
          <w:tcPr>
            <w:tcW w:w="1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FD704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Non-elite doctorate</w:t>
            </w:r>
          </w:p>
        </w:tc>
        <w:tc>
          <w:tcPr>
            <w:tcW w:w="1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B3BE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Elite university</w:t>
            </w:r>
          </w:p>
        </w:tc>
        <w:tc>
          <w:tcPr>
            <w:tcW w:w="20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125D96">
            <w:pPr>
              <w:widowControl/>
              <w:snapToGrid w:val="0"/>
              <w:spacing w:before="0" w:after="0" w:line="240" w:lineRule="auto"/>
              <w:jc w:val="center"/>
              <w:textAlignment w:val="center"/>
              <w:rPr>
                <w:rFonts w:hint="default" w:ascii="Times New Roman" w:hAnsi="Times New Roman" w:eastAsia="宋体" w:cs="Times New Roman"/>
                <w:kern w:val="0"/>
                <w:szCs w:val="21"/>
                <w:lang w:eastAsia="zh-CN" w:bidi="ar"/>
              </w:rPr>
            </w:pPr>
            <w:r>
              <w:rPr>
                <w:rFonts w:hint="default" w:ascii="Times New Roman" w:hAnsi="Times New Roman" w:eastAsia="宋体" w:cs="Times New Roman"/>
                <w:kern w:val="0"/>
                <w:szCs w:val="21"/>
                <w:lang w:bidi="ar"/>
              </w:rPr>
              <w:t>0.44</w:t>
            </w:r>
            <w:r>
              <w:rPr>
                <w:rFonts w:hint="default" w:ascii="Times New Roman" w:hAnsi="Times New Roman" w:eastAsia="宋体" w:cs="Times New Roman"/>
                <w:kern w:val="0"/>
                <w:szCs w:val="21"/>
                <w:lang w:val="en-US" w:eastAsia="zh-CN" w:bidi="ar"/>
              </w:rPr>
              <w:t>8</w:t>
            </w: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31444">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0.001</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A0E43">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[0.445, 0.45</w:t>
            </w:r>
            <w:r>
              <w:rPr>
                <w:rFonts w:hint="default" w:ascii="Times New Roman" w:hAnsi="Times New Roman" w:eastAsia="宋体" w:cs="Times New Roman"/>
                <w:kern w:val="0"/>
                <w:szCs w:val="21"/>
                <w:lang w:val="en-US" w:eastAsia="zh-CN" w:bidi="ar"/>
              </w:rPr>
              <w:t>1</w:t>
            </w:r>
            <w:r>
              <w:rPr>
                <w:rFonts w:hint="default" w:ascii="Times New Roman" w:hAnsi="Times New Roman" w:eastAsia="宋体" w:cs="Times New Roman"/>
                <w:kern w:val="0"/>
                <w:szCs w:val="21"/>
                <w:lang w:bidi="ar"/>
              </w:rPr>
              <w:t>]</w:t>
            </w:r>
          </w:p>
        </w:tc>
      </w:tr>
      <w:tr w14:paraId="036D5E97">
        <w:tblPrEx>
          <w:tblCellMar>
            <w:top w:w="0" w:type="dxa"/>
            <w:left w:w="108" w:type="dxa"/>
            <w:bottom w:w="0" w:type="dxa"/>
            <w:right w:w="108" w:type="dxa"/>
          </w:tblCellMar>
        </w:tblPrEx>
        <w:trPr>
          <w:cantSplit/>
          <w:trHeight w:val="283" w:hRule="atLeast"/>
          <w:jc w:val="center"/>
        </w:trPr>
        <w:tc>
          <w:tcPr>
            <w:tcW w:w="1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7B5A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Elite doctorate</w:t>
            </w:r>
          </w:p>
        </w:tc>
        <w:tc>
          <w:tcPr>
            <w:tcW w:w="1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1E4A9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Elite university</w:t>
            </w:r>
          </w:p>
        </w:tc>
        <w:tc>
          <w:tcPr>
            <w:tcW w:w="20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63A84">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0.460</w:t>
            </w:r>
          </w:p>
        </w:tc>
        <w:tc>
          <w:tcPr>
            <w:tcW w:w="14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816C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0.001</w:t>
            </w:r>
          </w:p>
        </w:tc>
        <w:tc>
          <w:tcPr>
            <w:tcW w:w="1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8CEE4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[0.457, 0.46</w:t>
            </w:r>
            <w:r>
              <w:rPr>
                <w:rFonts w:hint="default" w:ascii="Times New Roman" w:hAnsi="Times New Roman" w:eastAsia="宋体" w:cs="Times New Roman"/>
                <w:kern w:val="0"/>
                <w:szCs w:val="21"/>
                <w:lang w:val="en-US" w:eastAsia="zh-CN" w:bidi="ar"/>
              </w:rPr>
              <w:t>3</w:t>
            </w:r>
            <w:r>
              <w:rPr>
                <w:rFonts w:hint="default" w:ascii="Times New Roman" w:hAnsi="Times New Roman" w:eastAsia="宋体" w:cs="Times New Roman"/>
                <w:kern w:val="0"/>
                <w:szCs w:val="21"/>
                <w:lang w:bidi="ar"/>
              </w:rPr>
              <w:t>]</w:t>
            </w:r>
          </w:p>
        </w:tc>
      </w:tr>
    </w:tbl>
    <w:p w14:paraId="7694EC7B">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Subpanel F3. Elite-doctorate contrasts within current institution tiers</w:t>
      </w:r>
    </w:p>
    <w:tbl>
      <w:tblPr>
        <w:tblStyle w:val="5"/>
        <w:tblW w:w="0" w:type="auto"/>
        <w:jc w:val="center"/>
        <w:tblLayout w:type="fixed"/>
        <w:tblCellMar>
          <w:top w:w="0" w:type="dxa"/>
          <w:left w:w="108" w:type="dxa"/>
          <w:bottom w:w="0" w:type="dxa"/>
          <w:right w:w="108" w:type="dxa"/>
        </w:tblCellMar>
      </w:tblPr>
      <w:tblGrid>
        <w:gridCol w:w="2194"/>
        <w:gridCol w:w="1399"/>
        <w:gridCol w:w="1200"/>
        <w:gridCol w:w="863"/>
        <w:gridCol w:w="936"/>
        <w:gridCol w:w="2118"/>
      </w:tblGrid>
      <w:tr w14:paraId="605E92DE">
        <w:tblPrEx>
          <w:tblCellMar>
            <w:top w:w="0" w:type="dxa"/>
            <w:left w:w="108" w:type="dxa"/>
            <w:bottom w:w="0" w:type="dxa"/>
            <w:right w:w="108" w:type="dxa"/>
          </w:tblCellMar>
        </w:tblPrEx>
        <w:trPr>
          <w:cantSplit/>
          <w:trHeight w:val="283" w:hRule="atLeast"/>
          <w:tblHeader/>
          <w:jc w:val="center"/>
        </w:trPr>
        <w:tc>
          <w:tcPr>
            <w:tcW w:w="2194"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462837D">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Current institution</w:t>
            </w:r>
          </w:p>
        </w:tc>
        <w:tc>
          <w:tcPr>
            <w:tcW w:w="13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7EA0B">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AME of elite doctorate</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A21D3">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Robust SE</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3482A">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z</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812DD">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szCs w:val="21"/>
                <w:lang w:val="en-US" w:eastAsia="zh-CN"/>
              </w:rPr>
              <w:t>p-value</w:t>
            </w:r>
          </w:p>
        </w:tc>
        <w:tc>
          <w:tcPr>
            <w:tcW w:w="2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88AE2">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w:t>
            </w:r>
          </w:p>
        </w:tc>
      </w:tr>
      <w:tr w14:paraId="79A4E8C4">
        <w:tblPrEx>
          <w:tblCellMar>
            <w:top w:w="0" w:type="dxa"/>
            <w:left w:w="108" w:type="dxa"/>
            <w:bottom w:w="0" w:type="dxa"/>
            <w:right w:w="108" w:type="dxa"/>
          </w:tblCellMar>
        </w:tblPrEx>
        <w:trPr>
          <w:cantSplit/>
          <w:trHeight w:val="283" w:hRule="atLeast"/>
          <w:jc w:val="center"/>
        </w:trPr>
        <w:tc>
          <w:tcPr>
            <w:tcW w:w="21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15920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Non-elite university</w:t>
            </w:r>
          </w:p>
        </w:tc>
        <w:tc>
          <w:tcPr>
            <w:tcW w:w="13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14A12">
            <w:pPr>
              <w:widowControl/>
              <w:snapToGrid w:val="0"/>
              <w:spacing w:before="0" w:after="0" w:line="240" w:lineRule="auto"/>
              <w:jc w:val="center"/>
              <w:textAlignment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bidi="ar"/>
              </w:rPr>
              <w:t>0.</w:t>
            </w:r>
            <w:r>
              <w:rPr>
                <w:rFonts w:hint="default" w:ascii="Times New Roman" w:hAnsi="Times New Roman" w:eastAsia="宋体" w:cs="Times New Roman"/>
                <w:kern w:val="0"/>
                <w:szCs w:val="21"/>
                <w:lang w:val="en-US" w:eastAsia="zh-CN" w:bidi="ar"/>
              </w:rPr>
              <w:t>0</w:t>
            </w:r>
            <w:r>
              <w:rPr>
                <w:rFonts w:hint="eastAsia" w:ascii="Times New Roman" w:hAnsi="Times New Roman" w:eastAsia="宋体" w:cs="Times New Roman"/>
                <w:kern w:val="0"/>
                <w:szCs w:val="21"/>
                <w:lang w:val="en-US" w:eastAsia="zh-CN" w:bidi="ar"/>
              </w:rPr>
              <w:t>4</w:t>
            </w:r>
            <w:r>
              <w:rPr>
                <w:rFonts w:hint="default" w:ascii="Times New Roman" w:hAnsi="Times New Roman" w:eastAsia="宋体" w:cs="Times New Roman"/>
                <w:kern w:val="0"/>
                <w:szCs w:val="21"/>
                <w:lang w:val="en-US" w:eastAsia="zh-CN" w:bidi="ar"/>
              </w:rPr>
              <w:t>0</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8F526">
            <w:pPr>
              <w:widowControl/>
              <w:snapToGrid w:val="0"/>
              <w:spacing w:before="0" w:after="0" w:line="240" w:lineRule="auto"/>
              <w:jc w:val="center"/>
              <w:textAlignment w:val="center"/>
              <w:rPr>
                <w:rFonts w:hint="default" w:ascii="Times New Roman" w:hAnsi="Times New Roman" w:eastAsia="宋体" w:cs="Times New Roman"/>
                <w:kern w:val="0"/>
                <w:szCs w:val="21"/>
                <w:lang w:eastAsia="zh-CN" w:bidi="ar"/>
              </w:rPr>
            </w:pPr>
            <w:r>
              <w:rPr>
                <w:rFonts w:hint="default" w:ascii="Times New Roman" w:hAnsi="Times New Roman" w:eastAsia="宋体" w:cs="Times New Roman"/>
                <w:kern w:val="0"/>
                <w:szCs w:val="21"/>
                <w:lang w:bidi="ar"/>
              </w:rPr>
              <w:t>0.00</w:t>
            </w:r>
            <w:r>
              <w:rPr>
                <w:rFonts w:hint="default" w:ascii="Times New Roman" w:hAnsi="Times New Roman" w:eastAsia="宋体" w:cs="Times New Roman"/>
                <w:kern w:val="0"/>
                <w:szCs w:val="21"/>
                <w:lang w:val="en-US" w:eastAsia="zh-CN" w:bidi="ar"/>
              </w:rPr>
              <w:t>1</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3437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28.94</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9FB2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2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057C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w:t>
            </w:r>
            <w:r>
              <w:rPr>
                <w:rFonts w:hint="default" w:ascii="Times New Roman" w:hAnsi="Times New Roman" w:eastAsia="宋体" w:cs="Times New Roman"/>
                <w:kern w:val="0"/>
                <w:szCs w:val="21"/>
                <w:lang w:val="en-US" w:eastAsia="zh-CN" w:bidi="ar"/>
              </w:rPr>
              <w:t>7</w:t>
            </w:r>
            <w:r>
              <w:rPr>
                <w:rFonts w:hint="default" w:ascii="Times New Roman" w:hAnsi="Times New Roman" w:eastAsia="宋体" w:cs="Times New Roman"/>
                <w:kern w:val="0"/>
                <w:szCs w:val="21"/>
                <w:lang w:bidi="ar"/>
              </w:rPr>
              <w:t>, 0.042]</w:t>
            </w:r>
          </w:p>
        </w:tc>
      </w:tr>
      <w:tr w14:paraId="0BD3D2E9">
        <w:tblPrEx>
          <w:tblCellMar>
            <w:top w:w="0" w:type="dxa"/>
            <w:left w:w="108" w:type="dxa"/>
            <w:bottom w:w="0" w:type="dxa"/>
            <w:right w:w="108" w:type="dxa"/>
          </w:tblCellMar>
        </w:tblPrEx>
        <w:trPr>
          <w:cantSplit/>
          <w:trHeight w:val="283" w:hRule="atLeast"/>
          <w:jc w:val="center"/>
        </w:trPr>
        <w:tc>
          <w:tcPr>
            <w:tcW w:w="21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3819A">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Elite university</w:t>
            </w:r>
          </w:p>
        </w:tc>
        <w:tc>
          <w:tcPr>
            <w:tcW w:w="139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6388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0.012</w:t>
            </w:r>
          </w:p>
        </w:tc>
        <w:tc>
          <w:tcPr>
            <w:tcW w:w="1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677C7">
            <w:pPr>
              <w:widowControl/>
              <w:snapToGrid w:val="0"/>
              <w:spacing w:before="0" w:after="0" w:line="240" w:lineRule="auto"/>
              <w:jc w:val="center"/>
              <w:textAlignment w:val="center"/>
              <w:rPr>
                <w:rFonts w:hint="default" w:ascii="Times New Roman" w:hAnsi="Times New Roman" w:eastAsia="宋体" w:cs="Times New Roman"/>
                <w:kern w:val="0"/>
                <w:szCs w:val="21"/>
                <w:lang w:eastAsia="zh-CN" w:bidi="ar"/>
              </w:rPr>
            </w:pPr>
            <w:r>
              <w:rPr>
                <w:rFonts w:hint="default" w:ascii="Times New Roman" w:hAnsi="Times New Roman" w:eastAsia="宋体" w:cs="Times New Roman"/>
                <w:kern w:val="0"/>
                <w:szCs w:val="21"/>
                <w:lang w:bidi="ar"/>
              </w:rPr>
              <w:t>0.00</w:t>
            </w:r>
            <w:r>
              <w:rPr>
                <w:rFonts w:hint="default" w:ascii="Times New Roman" w:hAnsi="Times New Roman" w:eastAsia="宋体" w:cs="Times New Roman"/>
                <w:kern w:val="0"/>
                <w:szCs w:val="21"/>
                <w:lang w:val="en-US" w:eastAsia="zh-CN" w:bidi="ar"/>
              </w:rPr>
              <w:t>2</w:t>
            </w:r>
          </w:p>
        </w:tc>
        <w:tc>
          <w:tcPr>
            <w:tcW w:w="8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6129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6.57</w:t>
            </w:r>
          </w:p>
        </w:tc>
        <w:tc>
          <w:tcPr>
            <w:tcW w:w="9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2E3F3">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21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8536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[0.008, 0.01</w:t>
            </w:r>
            <w:r>
              <w:rPr>
                <w:rFonts w:hint="default" w:ascii="Times New Roman" w:hAnsi="Times New Roman" w:eastAsia="宋体" w:cs="Times New Roman"/>
                <w:kern w:val="0"/>
                <w:szCs w:val="21"/>
                <w:lang w:val="en-US" w:eastAsia="zh-CN" w:bidi="ar"/>
              </w:rPr>
              <w:t>6</w:t>
            </w:r>
            <w:r>
              <w:rPr>
                <w:rFonts w:hint="default" w:ascii="Times New Roman" w:hAnsi="Times New Roman" w:eastAsia="宋体" w:cs="Times New Roman"/>
                <w:kern w:val="0"/>
                <w:szCs w:val="21"/>
                <w:lang w:bidi="ar"/>
              </w:rPr>
              <w:t>]</w:t>
            </w:r>
          </w:p>
        </w:tc>
      </w:tr>
    </w:tbl>
    <w:p w14:paraId="717737D3">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In Subpanel F1, the elite-doctorate main effect is conditional on current employment at a non-elite university. The negative interaction indicates that the positive association with attaining full professorship is weaker at elite universities. Subpanels F2 and F3 report covariate-adjusted comparisons</w:t>
      </w:r>
      <w:r>
        <w:rPr>
          <w:rFonts w:hint="default" w:ascii="Times New Roman" w:hAnsi="Times New Roman" w:cs="Times New Roman"/>
          <w:b w:val="0"/>
          <w:i w:val="0"/>
          <w:sz w:val="20"/>
          <w:szCs w:val="28"/>
          <w:lang w:val="en-US" w:eastAsia="zh-CN"/>
        </w:rPr>
        <w:t>.</w:t>
      </w:r>
    </w:p>
    <w:p w14:paraId="4FF064C7">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rPr>
        <w:t>Panel G. Heterogeneity in promotion speed by current institution tier</w:t>
      </w:r>
    </w:p>
    <w:p w14:paraId="7A3BB065">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Subpanel G1. Cox interaction model: promotion from junior rank to full professorship (N = 307,014; events = 67,465; Wald χ²(30) = 13,655.13; p &lt; 0.001)</w:t>
      </w:r>
    </w:p>
    <w:tbl>
      <w:tblPr>
        <w:tblStyle w:val="5"/>
        <w:tblW w:w="8651" w:type="dxa"/>
        <w:jc w:val="center"/>
        <w:tblLayout w:type="fixed"/>
        <w:tblCellMar>
          <w:top w:w="0" w:type="dxa"/>
          <w:left w:w="108" w:type="dxa"/>
          <w:bottom w:w="0" w:type="dxa"/>
          <w:right w:w="108" w:type="dxa"/>
        </w:tblCellMar>
      </w:tblPr>
      <w:tblGrid>
        <w:gridCol w:w="2326"/>
        <w:gridCol w:w="1200"/>
        <w:gridCol w:w="1357"/>
        <w:gridCol w:w="905"/>
        <w:gridCol w:w="960"/>
        <w:gridCol w:w="1903"/>
      </w:tblGrid>
      <w:tr w14:paraId="33988B2D">
        <w:tblPrEx>
          <w:tblCellMar>
            <w:top w:w="0" w:type="dxa"/>
            <w:left w:w="108" w:type="dxa"/>
            <w:bottom w:w="0" w:type="dxa"/>
            <w:right w:w="108" w:type="dxa"/>
          </w:tblCellMar>
        </w:tblPrEx>
        <w:trPr>
          <w:cantSplit/>
          <w:trHeight w:val="283" w:hRule="atLeast"/>
          <w:tblHeader/>
          <w:jc w:val="center"/>
        </w:trPr>
        <w:tc>
          <w:tcPr>
            <w:tcW w:w="2326" w:type="dxa"/>
            <w:tcBorders>
              <w:top w:val="single" w:color="auto" w:sz="4" w:space="0"/>
              <w:left w:val="single" w:color="auto" w:sz="4" w:space="0"/>
              <w:bottom w:val="nil"/>
              <w:right w:val="nil"/>
            </w:tcBorders>
            <w:tcMar>
              <w:top w:w="-1" w:type="dxa"/>
              <w:left w:w="-1" w:type="dxa"/>
              <w:bottom w:w="-1" w:type="dxa"/>
              <w:right w:w="-1" w:type="dxa"/>
            </w:tcMar>
            <w:vAlign w:val="center"/>
          </w:tcPr>
          <w:p w14:paraId="137AEC14">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Raw estimate or linear combination</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1ABF9171">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Hazard ratio (HR)</w:t>
            </w:r>
          </w:p>
        </w:tc>
        <w:tc>
          <w:tcPr>
            <w:tcW w:w="1357" w:type="dxa"/>
            <w:tcBorders>
              <w:top w:val="single" w:color="auto" w:sz="4" w:space="0"/>
              <w:left w:val="single" w:color="auto" w:sz="4" w:space="0"/>
              <w:bottom w:val="nil"/>
              <w:right w:val="nil"/>
            </w:tcBorders>
            <w:tcMar>
              <w:top w:w="-1" w:type="dxa"/>
              <w:left w:w="-1" w:type="dxa"/>
              <w:bottom w:w="-1" w:type="dxa"/>
              <w:right w:w="-1" w:type="dxa"/>
            </w:tcMar>
            <w:vAlign w:val="center"/>
          </w:tcPr>
          <w:p w14:paraId="28F4C71D">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Robust SE</w:t>
            </w:r>
          </w:p>
        </w:tc>
        <w:tc>
          <w:tcPr>
            <w:tcW w:w="905" w:type="dxa"/>
            <w:tcBorders>
              <w:top w:val="single" w:color="auto" w:sz="4" w:space="0"/>
              <w:left w:val="single" w:color="auto" w:sz="4" w:space="0"/>
              <w:bottom w:val="nil"/>
              <w:right w:val="nil"/>
            </w:tcBorders>
            <w:tcMar>
              <w:top w:w="-1" w:type="dxa"/>
              <w:left w:w="-1" w:type="dxa"/>
              <w:bottom w:w="-1" w:type="dxa"/>
              <w:right w:w="-1" w:type="dxa"/>
            </w:tcMar>
            <w:vAlign w:val="center"/>
          </w:tcPr>
          <w:p w14:paraId="297B5B34">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z</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65459F58">
            <w:pPr>
              <w:widowControl/>
              <w:snapToGrid w:val="0"/>
              <w:spacing w:before="0" w:after="0" w:line="240" w:lineRule="auto"/>
              <w:jc w:val="center"/>
              <w:textAlignment w:val="center"/>
              <w:rPr>
                <w:rFonts w:hint="default" w:ascii="Times New Roman" w:hAnsi="Times New Roman" w:eastAsia="宋体" w:cs="Times New Roman"/>
                <w:b/>
                <w:bCs/>
                <w:szCs w:val="21"/>
                <w:lang w:val="en-US" w:eastAsia="zh-CN"/>
              </w:rPr>
            </w:pPr>
            <w:r>
              <w:rPr>
                <w:rFonts w:hint="default" w:ascii="Times New Roman" w:hAnsi="Times New Roman" w:eastAsia="宋体" w:cs="Times New Roman"/>
                <w:b/>
                <w:bCs/>
                <w:szCs w:val="21"/>
                <w:lang w:val="en-US" w:eastAsia="zh-CN"/>
              </w:rPr>
              <w:t>p-value</w:t>
            </w:r>
          </w:p>
        </w:tc>
        <w:tc>
          <w:tcPr>
            <w:tcW w:w="190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2CE271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w:t>
            </w:r>
          </w:p>
        </w:tc>
      </w:tr>
      <w:tr w14:paraId="119A75EB">
        <w:tblPrEx>
          <w:tblCellMar>
            <w:top w:w="0" w:type="dxa"/>
            <w:left w:w="108" w:type="dxa"/>
            <w:bottom w:w="0" w:type="dxa"/>
            <w:right w:w="108" w:type="dxa"/>
          </w:tblCellMar>
        </w:tblPrEx>
        <w:trPr>
          <w:cantSplit/>
          <w:trHeight w:val="283" w:hRule="atLeast"/>
          <w:jc w:val="center"/>
        </w:trPr>
        <w:tc>
          <w:tcPr>
            <w:tcW w:w="2326" w:type="dxa"/>
            <w:tcBorders>
              <w:top w:val="single" w:color="auto" w:sz="4" w:space="0"/>
              <w:left w:val="single" w:color="auto" w:sz="4" w:space="0"/>
              <w:bottom w:val="nil"/>
              <w:right w:val="nil"/>
            </w:tcBorders>
            <w:tcMar>
              <w:top w:w="-1" w:type="dxa"/>
              <w:left w:w="-1" w:type="dxa"/>
              <w:bottom w:w="-1" w:type="dxa"/>
              <w:right w:w="-1" w:type="dxa"/>
            </w:tcMar>
            <w:vAlign w:val="center"/>
          </w:tcPr>
          <w:p w14:paraId="652C159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Within non-elite universities: elite vs. non-elite doctorate</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3BCB10AE">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1.31</w:t>
            </w:r>
            <w:r>
              <w:rPr>
                <w:rFonts w:hint="default" w:ascii="Times New Roman" w:hAnsi="Times New Roman" w:eastAsia="宋体" w:cs="Times New Roman"/>
                <w:kern w:val="0"/>
                <w:szCs w:val="21"/>
                <w:lang w:val="en-US" w:eastAsia="zh-CN" w:bidi="ar"/>
              </w:rPr>
              <w:t>9</w:t>
            </w:r>
          </w:p>
        </w:tc>
        <w:tc>
          <w:tcPr>
            <w:tcW w:w="1357" w:type="dxa"/>
            <w:tcBorders>
              <w:top w:val="single" w:color="auto" w:sz="4" w:space="0"/>
              <w:left w:val="single" w:color="auto" w:sz="4" w:space="0"/>
              <w:bottom w:val="nil"/>
              <w:right w:val="nil"/>
            </w:tcBorders>
            <w:tcMar>
              <w:top w:w="-1" w:type="dxa"/>
              <w:left w:w="-1" w:type="dxa"/>
              <w:bottom w:w="-1" w:type="dxa"/>
              <w:right w:w="-1" w:type="dxa"/>
            </w:tcMar>
            <w:vAlign w:val="center"/>
          </w:tcPr>
          <w:p w14:paraId="3F4ABD79">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0.01</w:t>
            </w:r>
            <w:r>
              <w:rPr>
                <w:rFonts w:hint="default" w:ascii="Times New Roman" w:hAnsi="Times New Roman" w:eastAsia="宋体" w:cs="Times New Roman"/>
                <w:kern w:val="0"/>
                <w:szCs w:val="21"/>
                <w:lang w:val="en-US" w:eastAsia="zh-CN" w:bidi="ar"/>
              </w:rPr>
              <w:t>4</w:t>
            </w:r>
          </w:p>
        </w:tc>
        <w:tc>
          <w:tcPr>
            <w:tcW w:w="905" w:type="dxa"/>
            <w:tcBorders>
              <w:top w:val="single" w:color="auto" w:sz="4" w:space="0"/>
              <w:left w:val="single" w:color="auto" w:sz="4" w:space="0"/>
              <w:bottom w:val="nil"/>
              <w:right w:val="nil"/>
            </w:tcBorders>
            <w:tcMar>
              <w:top w:w="-1" w:type="dxa"/>
              <w:left w:w="-1" w:type="dxa"/>
              <w:bottom w:w="-1" w:type="dxa"/>
              <w:right w:w="-1" w:type="dxa"/>
            </w:tcMar>
            <w:vAlign w:val="center"/>
          </w:tcPr>
          <w:p w14:paraId="652FEAB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26.19</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5A421CB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90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F693A3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[1.29</w:t>
            </w:r>
            <w:r>
              <w:rPr>
                <w:rFonts w:hint="default" w:ascii="Times New Roman" w:hAnsi="Times New Roman" w:eastAsia="宋体" w:cs="Times New Roman"/>
                <w:kern w:val="0"/>
                <w:szCs w:val="21"/>
                <w:lang w:val="en-US" w:eastAsia="zh-CN" w:bidi="ar"/>
              </w:rPr>
              <w:t>2</w:t>
            </w:r>
            <w:r>
              <w:rPr>
                <w:rFonts w:hint="default" w:ascii="Times New Roman" w:hAnsi="Times New Roman" w:eastAsia="宋体" w:cs="Times New Roman"/>
                <w:kern w:val="0"/>
                <w:szCs w:val="21"/>
                <w:lang w:bidi="ar"/>
              </w:rPr>
              <w:t>, 1.34</w:t>
            </w:r>
            <w:r>
              <w:rPr>
                <w:rFonts w:hint="default" w:ascii="Times New Roman" w:hAnsi="Times New Roman" w:eastAsia="宋体" w:cs="Times New Roman"/>
                <w:kern w:val="0"/>
                <w:szCs w:val="21"/>
                <w:lang w:val="en-US" w:eastAsia="zh-CN" w:bidi="ar"/>
              </w:rPr>
              <w:t>7</w:t>
            </w:r>
            <w:r>
              <w:rPr>
                <w:rFonts w:hint="default" w:ascii="Times New Roman" w:hAnsi="Times New Roman" w:eastAsia="宋体" w:cs="Times New Roman"/>
                <w:kern w:val="0"/>
                <w:szCs w:val="21"/>
                <w:lang w:bidi="ar"/>
              </w:rPr>
              <w:t>]</w:t>
            </w:r>
          </w:p>
        </w:tc>
      </w:tr>
      <w:tr w14:paraId="3D246530">
        <w:tblPrEx>
          <w:tblCellMar>
            <w:top w:w="0" w:type="dxa"/>
            <w:left w:w="108" w:type="dxa"/>
            <w:bottom w:w="0" w:type="dxa"/>
            <w:right w:w="108" w:type="dxa"/>
          </w:tblCellMar>
        </w:tblPrEx>
        <w:trPr>
          <w:cantSplit/>
          <w:trHeight w:val="283" w:hRule="atLeast"/>
          <w:jc w:val="center"/>
        </w:trPr>
        <w:tc>
          <w:tcPr>
            <w:tcW w:w="2326" w:type="dxa"/>
            <w:tcBorders>
              <w:top w:val="single" w:color="auto" w:sz="4" w:space="0"/>
              <w:left w:val="single" w:color="auto" w:sz="4" w:space="0"/>
              <w:bottom w:val="nil"/>
              <w:right w:val="nil"/>
            </w:tcBorders>
            <w:tcMar>
              <w:top w:w="-1" w:type="dxa"/>
              <w:left w:w="-1" w:type="dxa"/>
              <w:bottom w:w="-1" w:type="dxa"/>
              <w:right w:w="-1" w:type="dxa"/>
            </w:tcMar>
            <w:vAlign w:val="center"/>
          </w:tcPr>
          <w:p w14:paraId="698790B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Currently employed at an elite university</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4F77EE49">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1.11</w:t>
            </w:r>
            <w:r>
              <w:rPr>
                <w:rFonts w:hint="default" w:ascii="Times New Roman" w:hAnsi="Times New Roman" w:eastAsia="宋体" w:cs="Times New Roman"/>
                <w:kern w:val="0"/>
                <w:szCs w:val="21"/>
                <w:lang w:val="en-US" w:eastAsia="zh-CN" w:bidi="ar"/>
              </w:rPr>
              <w:t>4</w:t>
            </w:r>
          </w:p>
        </w:tc>
        <w:tc>
          <w:tcPr>
            <w:tcW w:w="1357" w:type="dxa"/>
            <w:tcBorders>
              <w:top w:val="single" w:color="auto" w:sz="4" w:space="0"/>
              <w:left w:val="single" w:color="auto" w:sz="4" w:space="0"/>
              <w:bottom w:val="nil"/>
              <w:right w:val="nil"/>
            </w:tcBorders>
            <w:tcMar>
              <w:top w:w="-1" w:type="dxa"/>
              <w:left w:w="-1" w:type="dxa"/>
              <w:bottom w:w="-1" w:type="dxa"/>
              <w:right w:w="-1" w:type="dxa"/>
            </w:tcMar>
            <w:vAlign w:val="center"/>
          </w:tcPr>
          <w:p w14:paraId="25D9F98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0.017</w:t>
            </w:r>
          </w:p>
        </w:tc>
        <w:tc>
          <w:tcPr>
            <w:tcW w:w="905" w:type="dxa"/>
            <w:tcBorders>
              <w:top w:val="single" w:color="auto" w:sz="4" w:space="0"/>
              <w:left w:val="single" w:color="auto" w:sz="4" w:space="0"/>
              <w:bottom w:val="nil"/>
              <w:right w:val="nil"/>
            </w:tcBorders>
            <w:tcMar>
              <w:top w:w="-1" w:type="dxa"/>
              <w:left w:w="-1" w:type="dxa"/>
              <w:bottom w:w="-1" w:type="dxa"/>
              <w:right w:w="-1" w:type="dxa"/>
            </w:tcMar>
            <w:vAlign w:val="center"/>
          </w:tcPr>
          <w:p w14:paraId="52BDC79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6.94</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1B98FEE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90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C165A2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[1.080, 1.148]</w:t>
            </w:r>
          </w:p>
        </w:tc>
      </w:tr>
      <w:tr w14:paraId="3FD67F0D">
        <w:tblPrEx>
          <w:tblCellMar>
            <w:top w:w="0" w:type="dxa"/>
            <w:left w:w="108" w:type="dxa"/>
            <w:bottom w:w="0" w:type="dxa"/>
            <w:right w:w="108" w:type="dxa"/>
          </w:tblCellMar>
        </w:tblPrEx>
        <w:trPr>
          <w:cantSplit/>
          <w:trHeight w:val="283" w:hRule="atLeast"/>
          <w:jc w:val="center"/>
        </w:trPr>
        <w:tc>
          <w:tcPr>
            <w:tcW w:w="2326" w:type="dxa"/>
            <w:tcBorders>
              <w:top w:val="single" w:color="auto" w:sz="4" w:space="0"/>
              <w:left w:val="single" w:color="auto" w:sz="4" w:space="0"/>
              <w:bottom w:val="nil"/>
              <w:right w:val="nil"/>
            </w:tcBorders>
            <w:tcMar>
              <w:top w:w="-1" w:type="dxa"/>
              <w:left w:w="-1" w:type="dxa"/>
              <w:bottom w:w="-1" w:type="dxa"/>
              <w:right w:w="-1" w:type="dxa"/>
            </w:tcMar>
            <w:vAlign w:val="center"/>
          </w:tcPr>
          <w:p w14:paraId="17657F1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doctorate × current elite-university employment</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04A0E120">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0.99</w:t>
            </w:r>
            <w:r>
              <w:rPr>
                <w:rFonts w:hint="default" w:ascii="Times New Roman" w:hAnsi="Times New Roman" w:eastAsia="宋体" w:cs="Times New Roman"/>
                <w:kern w:val="0"/>
                <w:szCs w:val="21"/>
                <w:lang w:val="en-US" w:eastAsia="zh-CN" w:bidi="ar"/>
              </w:rPr>
              <w:t>8</w:t>
            </w:r>
          </w:p>
        </w:tc>
        <w:tc>
          <w:tcPr>
            <w:tcW w:w="1357" w:type="dxa"/>
            <w:tcBorders>
              <w:top w:val="single" w:color="auto" w:sz="4" w:space="0"/>
              <w:left w:val="single" w:color="auto" w:sz="4" w:space="0"/>
              <w:bottom w:val="nil"/>
              <w:right w:val="nil"/>
            </w:tcBorders>
            <w:tcMar>
              <w:top w:w="-1" w:type="dxa"/>
              <w:left w:w="-1" w:type="dxa"/>
              <w:bottom w:w="-1" w:type="dxa"/>
              <w:right w:w="-1" w:type="dxa"/>
            </w:tcMar>
            <w:vAlign w:val="center"/>
          </w:tcPr>
          <w:p w14:paraId="1FF3DBA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0.019</w:t>
            </w:r>
          </w:p>
        </w:tc>
        <w:tc>
          <w:tcPr>
            <w:tcW w:w="905" w:type="dxa"/>
            <w:tcBorders>
              <w:top w:val="single" w:color="auto" w:sz="4" w:space="0"/>
              <w:left w:val="single" w:color="auto" w:sz="4" w:space="0"/>
              <w:bottom w:val="nil"/>
              <w:right w:val="nil"/>
            </w:tcBorders>
            <w:tcMar>
              <w:top w:w="-1" w:type="dxa"/>
              <w:left w:w="-1" w:type="dxa"/>
              <w:bottom w:w="-1" w:type="dxa"/>
              <w:right w:w="-1" w:type="dxa"/>
            </w:tcMar>
            <w:vAlign w:val="center"/>
          </w:tcPr>
          <w:p w14:paraId="61783F9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−0.13</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56CE02B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0.897</w:t>
            </w:r>
          </w:p>
        </w:tc>
        <w:tc>
          <w:tcPr>
            <w:tcW w:w="190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CC8C84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[0.96</w:t>
            </w:r>
            <w:r>
              <w:rPr>
                <w:rFonts w:hint="default" w:ascii="Times New Roman" w:hAnsi="Times New Roman" w:eastAsia="宋体" w:cs="Times New Roman"/>
                <w:kern w:val="0"/>
                <w:szCs w:val="21"/>
                <w:lang w:val="en-US" w:eastAsia="zh-CN" w:bidi="ar"/>
              </w:rPr>
              <w:t>1</w:t>
            </w:r>
            <w:r>
              <w:rPr>
                <w:rFonts w:hint="default" w:ascii="Times New Roman" w:hAnsi="Times New Roman" w:eastAsia="宋体" w:cs="Times New Roman"/>
                <w:kern w:val="0"/>
                <w:szCs w:val="21"/>
                <w:lang w:bidi="ar"/>
              </w:rPr>
              <w:t>, 1.035]</w:t>
            </w:r>
          </w:p>
        </w:tc>
      </w:tr>
      <w:tr w14:paraId="7C338149">
        <w:tblPrEx>
          <w:tblCellMar>
            <w:top w:w="0" w:type="dxa"/>
            <w:left w:w="108" w:type="dxa"/>
            <w:bottom w:w="0" w:type="dxa"/>
            <w:right w:w="108" w:type="dxa"/>
          </w:tblCellMar>
        </w:tblPrEx>
        <w:trPr>
          <w:cantSplit/>
          <w:trHeight w:val="332" w:hRule="atLeast"/>
          <w:jc w:val="center"/>
        </w:trPr>
        <w:tc>
          <w:tcPr>
            <w:tcW w:w="232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216312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Within elite universities: elite vs. non-elite doctorate</w:t>
            </w:r>
          </w:p>
        </w:tc>
        <w:tc>
          <w:tcPr>
            <w:tcW w:w="120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BF022B8">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1.31</w:t>
            </w:r>
            <w:r>
              <w:rPr>
                <w:rFonts w:hint="default" w:ascii="Times New Roman" w:hAnsi="Times New Roman" w:eastAsia="宋体" w:cs="Times New Roman"/>
                <w:kern w:val="0"/>
                <w:szCs w:val="21"/>
                <w:lang w:val="en-US" w:eastAsia="zh-CN" w:bidi="ar"/>
              </w:rPr>
              <w:t>6</w:t>
            </w:r>
          </w:p>
        </w:tc>
        <w:tc>
          <w:tcPr>
            <w:tcW w:w="135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65E4D4F">
            <w:pPr>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0.02</w:t>
            </w:r>
            <w:r>
              <w:rPr>
                <w:rFonts w:hint="default" w:ascii="Times New Roman" w:hAnsi="Times New Roman" w:eastAsia="宋体" w:cs="Times New Roman"/>
                <w:kern w:val="0"/>
                <w:szCs w:val="21"/>
                <w:lang w:val="en-US" w:eastAsia="zh-CN" w:bidi="ar"/>
              </w:rPr>
              <w:t>2</w:t>
            </w:r>
          </w:p>
        </w:tc>
        <w:tc>
          <w:tcPr>
            <w:tcW w:w="90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294B29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16.78</w:t>
            </w:r>
          </w:p>
        </w:tc>
        <w:tc>
          <w:tcPr>
            <w:tcW w:w="96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8AB051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903"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1819B0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[1.274 1.35</w:t>
            </w:r>
            <w:r>
              <w:rPr>
                <w:rFonts w:hint="default" w:ascii="Times New Roman" w:hAnsi="Times New Roman" w:eastAsia="宋体" w:cs="Times New Roman"/>
                <w:kern w:val="0"/>
                <w:szCs w:val="21"/>
                <w:lang w:val="en-US" w:eastAsia="zh-CN" w:bidi="ar"/>
              </w:rPr>
              <w:t>9</w:t>
            </w:r>
            <w:r>
              <w:rPr>
                <w:rFonts w:hint="default" w:ascii="Times New Roman" w:hAnsi="Times New Roman" w:eastAsia="宋体" w:cs="Times New Roman"/>
                <w:kern w:val="0"/>
                <w:szCs w:val="21"/>
                <w:lang w:bidi="ar"/>
              </w:rPr>
              <w:t>]</w:t>
            </w:r>
          </w:p>
        </w:tc>
      </w:tr>
    </w:tbl>
    <w:p w14:paraId="3E487EDA">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Subpanel G2. OLS interaction model among faculty completing promotion from junior rank to full professorship (N = 67,465; R² = 0.0974)</w:t>
      </w:r>
    </w:p>
    <w:tbl>
      <w:tblPr>
        <w:tblStyle w:val="5"/>
        <w:tblW w:w="0" w:type="auto"/>
        <w:jc w:val="center"/>
        <w:tblLayout w:type="fixed"/>
        <w:tblCellMar>
          <w:top w:w="0" w:type="dxa"/>
          <w:left w:w="108" w:type="dxa"/>
          <w:bottom w:w="0" w:type="dxa"/>
          <w:right w:w="108" w:type="dxa"/>
        </w:tblCellMar>
      </w:tblPr>
      <w:tblGrid>
        <w:gridCol w:w="2528"/>
        <w:gridCol w:w="1195"/>
        <w:gridCol w:w="1537"/>
        <w:gridCol w:w="1036"/>
        <w:gridCol w:w="1007"/>
        <w:gridCol w:w="1717"/>
      </w:tblGrid>
      <w:tr w14:paraId="53037F19">
        <w:tblPrEx>
          <w:tblCellMar>
            <w:top w:w="0" w:type="dxa"/>
            <w:left w:w="108" w:type="dxa"/>
            <w:bottom w:w="0" w:type="dxa"/>
            <w:right w:w="108" w:type="dxa"/>
          </w:tblCellMar>
        </w:tblPrEx>
        <w:trPr>
          <w:cantSplit/>
          <w:trHeight w:val="283" w:hRule="atLeast"/>
          <w:tblHeader/>
          <w:jc w:val="center"/>
        </w:trPr>
        <w:tc>
          <w:tcPr>
            <w:tcW w:w="2528" w:type="dxa"/>
            <w:tcBorders>
              <w:top w:val="single" w:color="auto" w:sz="4" w:space="0"/>
              <w:left w:val="single" w:color="auto" w:sz="4" w:space="0"/>
              <w:bottom w:val="nil"/>
              <w:right w:val="nil"/>
            </w:tcBorders>
            <w:tcMar>
              <w:top w:w="-1" w:type="dxa"/>
              <w:left w:w="-1" w:type="dxa"/>
              <w:bottom w:w="-1" w:type="dxa"/>
              <w:right w:w="-1" w:type="dxa"/>
            </w:tcMar>
            <w:vAlign w:val="center"/>
          </w:tcPr>
          <w:p w14:paraId="0AA5F291">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Raw estimate or linear combination</w:t>
            </w:r>
          </w:p>
        </w:tc>
        <w:tc>
          <w:tcPr>
            <w:tcW w:w="1195" w:type="dxa"/>
            <w:tcBorders>
              <w:top w:val="single" w:color="auto" w:sz="4" w:space="0"/>
              <w:left w:val="single" w:color="auto" w:sz="4" w:space="0"/>
              <w:bottom w:val="nil"/>
              <w:right w:val="nil"/>
            </w:tcBorders>
            <w:tcMar>
              <w:top w:w="-1" w:type="dxa"/>
              <w:left w:w="-1" w:type="dxa"/>
              <w:bottom w:w="-1" w:type="dxa"/>
              <w:right w:w="-1" w:type="dxa"/>
            </w:tcMar>
            <w:vAlign w:val="center"/>
          </w:tcPr>
          <w:p w14:paraId="7DDA2B9D">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Duration coefficient</w:t>
            </w:r>
          </w:p>
        </w:tc>
        <w:tc>
          <w:tcPr>
            <w:tcW w:w="1537" w:type="dxa"/>
            <w:tcBorders>
              <w:top w:val="single" w:color="auto" w:sz="4" w:space="0"/>
              <w:left w:val="single" w:color="auto" w:sz="4" w:space="0"/>
              <w:bottom w:val="nil"/>
              <w:right w:val="nil"/>
            </w:tcBorders>
            <w:tcMar>
              <w:top w:w="-1" w:type="dxa"/>
              <w:left w:w="-1" w:type="dxa"/>
              <w:bottom w:w="-1" w:type="dxa"/>
              <w:right w:w="-1" w:type="dxa"/>
            </w:tcMar>
            <w:vAlign w:val="center"/>
          </w:tcPr>
          <w:p w14:paraId="28358B2F">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Robust SE</w:t>
            </w:r>
          </w:p>
        </w:tc>
        <w:tc>
          <w:tcPr>
            <w:tcW w:w="1036" w:type="dxa"/>
            <w:tcBorders>
              <w:top w:val="single" w:color="auto" w:sz="4" w:space="0"/>
              <w:left w:val="single" w:color="auto" w:sz="4" w:space="0"/>
              <w:bottom w:val="nil"/>
              <w:right w:val="nil"/>
            </w:tcBorders>
            <w:tcMar>
              <w:top w:w="-1" w:type="dxa"/>
              <w:left w:w="-1" w:type="dxa"/>
              <w:bottom w:w="-1" w:type="dxa"/>
              <w:right w:w="-1" w:type="dxa"/>
            </w:tcMar>
            <w:vAlign w:val="center"/>
          </w:tcPr>
          <w:p w14:paraId="295EAD56">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t</w:t>
            </w:r>
          </w:p>
        </w:tc>
        <w:tc>
          <w:tcPr>
            <w:tcW w:w="1007" w:type="dxa"/>
            <w:tcBorders>
              <w:top w:val="single" w:color="auto" w:sz="4" w:space="0"/>
              <w:left w:val="single" w:color="auto" w:sz="4" w:space="0"/>
              <w:bottom w:val="nil"/>
              <w:right w:val="nil"/>
            </w:tcBorders>
            <w:tcMar>
              <w:top w:w="-1" w:type="dxa"/>
              <w:left w:w="-1" w:type="dxa"/>
              <w:bottom w:w="-1" w:type="dxa"/>
              <w:right w:w="-1" w:type="dxa"/>
            </w:tcMar>
            <w:vAlign w:val="center"/>
          </w:tcPr>
          <w:p w14:paraId="361FD36C">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c>
          <w:tcPr>
            <w:tcW w:w="171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1F6A2BA">
            <w:pPr>
              <w:keepNext/>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w:t>
            </w:r>
          </w:p>
        </w:tc>
      </w:tr>
      <w:tr w14:paraId="190515D4">
        <w:tblPrEx>
          <w:tblCellMar>
            <w:top w:w="0" w:type="dxa"/>
            <w:left w:w="108" w:type="dxa"/>
            <w:bottom w:w="0" w:type="dxa"/>
            <w:right w:w="108" w:type="dxa"/>
          </w:tblCellMar>
        </w:tblPrEx>
        <w:trPr>
          <w:cantSplit/>
          <w:trHeight w:val="283" w:hRule="atLeast"/>
          <w:jc w:val="center"/>
        </w:trPr>
        <w:tc>
          <w:tcPr>
            <w:tcW w:w="2528" w:type="dxa"/>
            <w:tcBorders>
              <w:top w:val="single" w:color="auto" w:sz="4" w:space="0"/>
              <w:left w:val="single" w:color="auto" w:sz="4" w:space="0"/>
              <w:bottom w:val="nil"/>
              <w:right w:val="nil"/>
            </w:tcBorders>
            <w:tcMar>
              <w:top w:w="-1" w:type="dxa"/>
              <w:left w:w="-1" w:type="dxa"/>
              <w:bottom w:w="-1" w:type="dxa"/>
              <w:right w:w="-1" w:type="dxa"/>
            </w:tcMar>
            <w:vAlign w:val="center"/>
          </w:tcPr>
          <w:p w14:paraId="54496AF6">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Within non-elite universities: elite vs. non-elite doctorate</w:t>
            </w:r>
          </w:p>
        </w:tc>
        <w:tc>
          <w:tcPr>
            <w:tcW w:w="1195" w:type="dxa"/>
            <w:tcBorders>
              <w:top w:val="single" w:color="auto" w:sz="4" w:space="0"/>
              <w:left w:val="single" w:color="auto" w:sz="4" w:space="0"/>
              <w:bottom w:val="nil"/>
              <w:right w:val="nil"/>
            </w:tcBorders>
            <w:tcMar>
              <w:top w:w="-1" w:type="dxa"/>
              <w:left w:w="-1" w:type="dxa"/>
              <w:bottom w:w="-1" w:type="dxa"/>
              <w:right w:w="-1" w:type="dxa"/>
            </w:tcMar>
            <w:vAlign w:val="center"/>
          </w:tcPr>
          <w:p w14:paraId="70F45F98">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−0.698</w:t>
            </w:r>
          </w:p>
        </w:tc>
        <w:tc>
          <w:tcPr>
            <w:tcW w:w="1537" w:type="dxa"/>
            <w:tcBorders>
              <w:top w:val="single" w:color="auto" w:sz="4" w:space="0"/>
              <w:left w:val="single" w:color="auto" w:sz="4" w:space="0"/>
              <w:bottom w:val="nil"/>
              <w:right w:val="nil"/>
            </w:tcBorders>
            <w:tcMar>
              <w:top w:w="-1" w:type="dxa"/>
              <w:left w:w="-1" w:type="dxa"/>
              <w:bottom w:w="-1" w:type="dxa"/>
              <w:right w:w="-1" w:type="dxa"/>
            </w:tcMar>
            <w:vAlign w:val="center"/>
          </w:tcPr>
          <w:p w14:paraId="4D04065D">
            <w:pPr>
              <w:keepNext/>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w:t>
            </w:r>
            <w:r>
              <w:rPr>
                <w:rFonts w:hint="default" w:ascii="Times New Roman" w:hAnsi="Times New Roman" w:eastAsia="宋体" w:cs="Times New Roman"/>
                <w:kern w:val="0"/>
                <w:szCs w:val="21"/>
                <w:lang w:val="en-US" w:eastAsia="zh-CN" w:bidi="ar"/>
              </w:rPr>
              <w:t>60</w:t>
            </w:r>
          </w:p>
        </w:tc>
        <w:tc>
          <w:tcPr>
            <w:tcW w:w="1036" w:type="dxa"/>
            <w:tcBorders>
              <w:top w:val="single" w:color="auto" w:sz="4" w:space="0"/>
              <w:left w:val="single" w:color="auto" w:sz="4" w:space="0"/>
              <w:bottom w:val="nil"/>
              <w:right w:val="nil"/>
            </w:tcBorders>
            <w:tcMar>
              <w:top w:w="-1" w:type="dxa"/>
              <w:left w:w="-1" w:type="dxa"/>
              <w:bottom w:w="-1" w:type="dxa"/>
              <w:right w:w="-1" w:type="dxa"/>
            </w:tcMar>
            <w:vAlign w:val="center"/>
          </w:tcPr>
          <w:p w14:paraId="708F235E">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−11.71</w:t>
            </w:r>
          </w:p>
        </w:tc>
        <w:tc>
          <w:tcPr>
            <w:tcW w:w="1007" w:type="dxa"/>
            <w:tcBorders>
              <w:top w:val="single" w:color="auto" w:sz="4" w:space="0"/>
              <w:left w:val="single" w:color="auto" w:sz="4" w:space="0"/>
              <w:bottom w:val="nil"/>
              <w:right w:val="nil"/>
            </w:tcBorders>
            <w:tcMar>
              <w:top w:w="-1" w:type="dxa"/>
              <w:left w:w="-1" w:type="dxa"/>
              <w:bottom w:w="-1" w:type="dxa"/>
              <w:right w:w="-1" w:type="dxa"/>
            </w:tcMar>
            <w:vAlign w:val="center"/>
          </w:tcPr>
          <w:p w14:paraId="67EA390F">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1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D04E4AF">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[−0.815, −0.581]</w:t>
            </w:r>
          </w:p>
        </w:tc>
      </w:tr>
      <w:tr w14:paraId="716870B3">
        <w:tblPrEx>
          <w:tblCellMar>
            <w:top w:w="0" w:type="dxa"/>
            <w:left w:w="108" w:type="dxa"/>
            <w:bottom w:w="0" w:type="dxa"/>
            <w:right w:w="108" w:type="dxa"/>
          </w:tblCellMar>
        </w:tblPrEx>
        <w:trPr>
          <w:cantSplit/>
          <w:trHeight w:val="283" w:hRule="atLeast"/>
          <w:jc w:val="center"/>
        </w:trPr>
        <w:tc>
          <w:tcPr>
            <w:tcW w:w="2528" w:type="dxa"/>
            <w:tcBorders>
              <w:top w:val="single" w:color="auto" w:sz="4" w:space="0"/>
              <w:left w:val="single" w:color="auto" w:sz="4" w:space="0"/>
              <w:bottom w:val="nil"/>
              <w:right w:val="nil"/>
            </w:tcBorders>
            <w:tcMar>
              <w:top w:w="-1" w:type="dxa"/>
              <w:left w:w="-1" w:type="dxa"/>
              <w:bottom w:w="-1" w:type="dxa"/>
              <w:right w:w="-1" w:type="dxa"/>
            </w:tcMar>
            <w:vAlign w:val="center"/>
          </w:tcPr>
          <w:p w14:paraId="73B1CAA7">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Currently employed at an elite university</w:t>
            </w:r>
          </w:p>
        </w:tc>
        <w:tc>
          <w:tcPr>
            <w:tcW w:w="1195" w:type="dxa"/>
            <w:tcBorders>
              <w:top w:val="single" w:color="auto" w:sz="4" w:space="0"/>
              <w:left w:val="single" w:color="auto" w:sz="4" w:space="0"/>
              <w:bottom w:val="nil"/>
              <w:right w:val="nil"/>
            </w:tcBorders>
            <w:tcMar>
              <w:top w:w="-1" w:type="dxa"/>
              <w:left w:w="-1" w:type="dxa"/>
              <w:bottom w:w="-1" w:type="dxa"/>
              <w:right w:w="-1" w:type="dxa"/>
            </w:tcMar>
            <w:vAlign w:val="center"/>
          </w:tcPr>
          <w:p w14:paraId="4D6DC17F">
            <w:pPr>
              <w:keepNext/>
              <w:widowControl/>
              <w:snapToGrid w:val="0"/>
              <w:spacing w:before="0" w:after="0" w:line="240" w:lineRule="auto"/>
              <w:jc w:val="center"/>
              <w:textAlignment w:val="center"/>
              <w:rPr>
                <w:rFonts w:hint="default" w:ascii="Times New Roman" w:hAnsi="Times New Roman" w:eastAsia="宋体" w:cs="Times New Roman"/>
                <w:szCs w:val="21"/>
                <w:lang w:eastAsia="zh-CN"/>
              </w:rPr>
            </w:pPr>
            <w:r>
              <w:rPr>
                <w:rFonts w:hint="default" w:ascii="Times New Roman" w:hAnsi="Times New Roman" w:eastAsia="宋体" w:cs="Times New Roman"/>
                <w:kern w:val="0"/>
                <w:szCs w:val="21"/>
                <w:lang w:bidi="ar"/>
              </w:rPr>
              <w:t>−0.66</w:t>
            </w:r>
            <w:r>
              <w:rPr>
                <w:rFonts w:hint="default" w:ascii="Times New Roman" w:hAnsi="Times New Roman" w:eastAsia="宋体" w:cs="Times New Roman"/>
                <w:kern w:val="0"/>
                <w:szCs w:val="21"/>
                <w:lang w:val="en-US" w:eastAsia="zh-CN" w:bidi="ar"/>
              </w:rPr>
              <w:t>1</w:t>
            </w:r>
          </w:p>
        </w:tc>
        <w:tc>
          <w:tcPr>
            <w:tcW w:w="1537" w:type="dxa"/>
            <w:tcBorders>
              <w:top w:val="single" w:color="auto" w:sz="4" w:space="0"/>
              <w:left w:val="single" w:color="auto" w:sz="4" w:space="0"/>
              <w:bottom w:val="nil"/>
              <w:right w:val="nil"/>
            </w:tcBorders>
            <w:tcMar>
              <w:top w:w="-1" w:type="dxa"/>
              <w:left w:w="-1" w:type="dxa"/>
              <w:bottom w:w="-1" w:type="dxa"/>
              <w:right w:w="-1" w:type="dxa"/>
            </w:tcMar>
            <w:vAlign w:val="center"/>
          </w:tcPr>
          <w:p w14:paraId="247AD008">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0.090</w:t>
            </w:r>
          </w:p>
        </w:tc>
        <w:tc>
          <w:tcPr>
            <w:tcW w:w="1036" w:type="dxa"/>
            <w:tcBorders>
              <w:top w:val="single" w:color="auto" w:sz="4" w:space="0"/>
              <w:left w:val="single" w:color="auto" w:sz="4" w:space="0"/>
              <w:bottom w:val="nil"/>
              <w:right w:val="nil"/>
            </w:tcBorders>
            <w:tcMar>
              <w:top w:w="-1" w:type="dxa"/>
              <w:left w:w="-1" w:type="dxa"/>
              <w:bottom w:w="-1" w:type="dxa"/>
              <w:right w:w="-1" w:type="dxa"/>
            </w:tcMar>
            <w:vAlign w:val="center"/>
          </w:tcPr>
          <w:p w14:paraId="60DAD109">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−7.34</w:t>
            </w:r>
          </w:p>
        </w:tc>
        <w:tc>
          <w:tcPr>
            <w:tcW w:w="1007" w:type="dxa"/>
            <w:tcBorders>
              <w:top w:val="single" w:color="auto" w:sz="4" w:space="0"/>
              <w:left w:val="single" w:color="auto" w:sz="4" w:space="0"/>
              <w:bottom w:val="nil"/>
              <w:right w:val="nil"/>
            </w:tcBorders>
            <w:tcMar>
              <w:top w:w="-1" w:type="dxa"/>
              <w:left w:w="-1" w:type="dxa"/>
              <w:bottom w:w="-1" w:type="dxa"/>
              <w:right w:w="-1" w:type="dxa"/>
            </w:tcMar>
            <w:vAlign w:val="center"/>
          </w:tcPr>
          <w:p w14:paraId="6897AF78">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1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B64896B">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[−0.837, −0.484]</w:t>
            </w:r>
          </w:p>
        </w:tc>
      </w:tr>
      <w:tr w14:paraId="164F0117">
        <w:tblPrEx>
          <w:tblCellMar>
            <w:top w:w="0" w:type="dxa"/>
            <w:left w:w="108" w:type="dxa"/>
            <w:bottom w:w="0" w:type="dxa"/>
            <w:right w:w="108" w:type="dxa"/>
          </w:tblCellMar>
        </w:tblPrEx>
        <w:trPr>
          <w:cantSplit/>
          <w:trHeight w:val="283" w:hRule="atLeast"/>
          <w:jc w:val="center"/>
        </w:trPr>
        <w:tc>
          <w:tcPr>
            <w:tcW w:w="2528" w:type="dxa"/>
            <w:tcBorders>
              <w:top w:val="single" w:color="auto" w:sz="4" w:space="0"/>
              <w:left w:val="single" w:color="auto" w:sz="4" w:space="0"/>
              <w:bottom w:val="nil"/>
              <w:right w:val="nil"/>
            </w:tcBorders>
            <w:tcMar>
              <w:top w:w="-1" w:type="dxa"/>
              <w:left w:w="-1" w:type="dxa"/>
              <w:bottom w:w="-1" w:type="dxa"/>
              <w:right w:w="-1" w:type="dxa"/>
            </w:tcMar>
            <w:vAlign w:val="center"/>
          </w:tcPr>
          <w:p w14:paraId="358BA8CE">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Elite doctorate × current elite-university employment</w:t>
            </w:r>
          </w:p>
        </w:tc>
        <w:tc>
          <w:tcPr>
            <w:tcW w:w="1195" w:type="dxa"/>
            <w:tcBorders>
              <w:top w:val="single" w:color="auto" w:sz="4" w:space="0"/>
              <w:left w:val="single" w:color="auto" w:sz="4" w:space="0"/>
              <w:bottom w:val="nil"/>
              <w:right w:val="nil"/>
            </w:tcBorders>
            <w:tcMar>
              <w:top w:w="-1" w:type="dxa"/>
              <w:left w:w="-1" w:type="dxa"/>
              <w:bottom w:w="-1" w:type="dxa"/>
              <w:right w:w="-1" w:type="dxa"/>
            </w:tcMar>
            <w:vAlign w:val="center"/>
          </w:tcPr>
          <w:p w14:paraId="56A40DB2">
            <w:pPr>
              <w:keepNext/>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w:t>
            </w:r>
            <w:r>
              <w:rPr>
                <w:rFonts w:hint="default" w:ascii="Times New Roman" w:hAnsi="Times New Roman" w:eastAsia="宋体" w:cs="Times New Roman"/>
                <w:kern w:val="0"/>
                <w:szCs w:val="21"/>
                <w:lang w:val="en-US" w:eastAsia="zh-CN" w:bidi="ar"/>
              </w:rPr>
              <w:t>90</w:t>
            </w:r>
          </w:p>
        </w:tc>
        <w:tc>
          <w:tcPr>
            <w:tcW w:w="1537" w:type="dxa"/>
            <w:tcBorders>
              <w:top w:val="single" w:color="auto" w:sz="4" w:space="0"/>
              <w:left w:val="single" w:color="auto" w:sz="4" w:space="0"/>
              <w:bottom w:val="nil"/>
              <w:right w:val="nil"/>
            </w:tcBorders>
            <w:tcMar>
              <w:top w:w="-1" w:type="dxa"/>
              <w:left w:w="-1" w:type="dxa"/>
              <w:bottom w:w="-1" w:type="dxa"/>
              <w:right w:w="-1" w:type="dxa"/>
            </w:tcMar>
            <w:vAlign w:val="center"/>
          </w:tcPr>
          <w:p w14:paraId="5DF3AE53">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0.107</w:t>
            </w:r>
          </w:p>
        </w:tc>
        <w:tc>
          <w:tcPr>
            <w:tcW w:w="1036" w:type="dxa"/>
            <w:tcBorders>
              <w:top w:val="single" w:color="auto" w:sz="4" w:space="0"/>
              <w:left w:val="single" w:color="auto" w:sz="4" w:space="0"/>
              <w:bottom w:val="nil"/>
              <w:right w:val="nil"/>
            </w:tcBorders>
            <w:tcMar>
              <w:top w:w="-1" w:type="dxa"/>
              <w:left w:w="-1" w:type="dxa"/>
              <w:bottom w:w="-1" w:type="dxa"/>
              <w:right w:w="-1" w:type="dxa"/>
            </w:tcMar>
            <w:vAlign w:val="center"/>
          </w:tcPr>
          <w:p w14:paraId="759E84EC">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0.84</w:t>
            </w:r>
          </w:p>
        </w:tc>
        <w:tc>
          <w:tcPr>
            <w:tcW w:w="1007" w:type="dxa"/>
            <w:tcBorders>
              <w:top w:val="single" w:color="auto" w:sz="4" w:space="0"/>
              <w:left w:val="single" w:color="auto" w:sz="4" w:space="0"/>
              <w:bottom w:val="nil"/>
              <w:right w:val="nil"/>
            </w:tcBorders>
            <w:tcMar>
              <w:top w:w="-1" w:type="dxa"/>
              <w:left w:w="-1" w:type="dxa"/>
              <w:bottom w:w="-1" w:type="dxa"/>
              <w:right w:w="-1" w:type="dxa"/>
            </w:tcMar>
            <w:vAlign w:val="center"/>
          </w:tcPr>
          <w:p w14:paraId="09AF005C">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0.402</w:t>
            </w:r>
          </w:p>
        </w:tc>
        <w:tc>
          <w:tcPr>
            <w:tcW w:w="171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9CBDAFE">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[−0.120, 0.300]</w:t>
            </w:r>
          </w:p>
        </w:tc>
      </w:tr>
      <w:tr w14:paraId="40D8A6A9">
        <w:tblPrEx>
          <w:tblCellMar>
            <w:top w:w="0" w:type="dxa"/>
            <w:left w:w="108" w:type="dxa"/>
            <w:bottom w:w="0" w:type="dxa"/>
            <w:right w:w="108" w:type="dxa"/>
          </w:tblCellMar>
        </w:tblPrEx>
        <w:trPr>
          <w:cantSplit/>
          <w:trHeight w:val="283" w:hRule="atLeast"/>
          <w:jc w:val="center"/>
        </w:trPr>
        <w:tc>
          <w:tcPr>
            <w:tcW w:w="252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74B3910">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Within elite universities: elite vs. non-elite doctorate</w:t>
            </w:r>
          </w:p>
        </w:tc>
        <w:tc>
          <w:tcPr>
            <w:tcW w:w="119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6597E44">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−0.608</w:t>
            </w:r>
          </w:p>
        </w:tc>
        <w:tc>
          <w:tcPr>
            <w:tcW w:w="153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A8F101F">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0.091</w:t>
            </w:r>
          </w:p>
        </w:tc>
        <w:tc>
          <w:tcPr>
            <w:tcW w:w="103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A03FAD6">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−6.67</w:t>
            </w:r>
          </w:p>
        </w:tc>
        <w:tc>
          <w:tcPr>
            <w:tcW w:w="100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7DED073">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1717"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1044806">
            <w:pPr>
              <w:keepNext/>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[−0.787, −0.429]</w:t>
            </w:r>
          </w:p>
        </w:tc>
      </w:tr>
    </w:tbl>
    <w:p w14:paraId="11468328">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Note.In the Cox and OLS models, the main effect of current elite-university employment describes its association with promotion speed among non-elite doctorate holders; it is not the overall effect for all faculty. The Cox interaction (p = 0.897) and OLS interaction (p = 0.402) both indicate no significant difference in the elite-doctorate promotion advantage between elite and non-elite employing universities. Differences between group-specific point estimates should therefore not be interpreted as significant without reference to the interaction test</w:t>
      </w:r>
      <w:r>
        <w:rPr>
          <w:rFonts w:hint="default" w:ascii="Times New Roman" w:hAnsi="Times New Roman" w:cs="Times New Roman"/>
          <w:b w:val="0"/>
          <w:i w:val="0"/>
          <w:sz w:val="20"/>
          <w:szCs w:val="28"/>
          <w:lang w:val="en-US" w:eastAsia="zh-CN"/>
        </w:rPr>
        <w:t>.</w:t>
      </w:r>
    </w:p>
    <w:p w14:paraId="509C3D1A">
      <w:pPr>
        <w:widowControl/>
        <w:spacing w:line="300" w:lineRule="auto"/>
        <w:rPr>
          <w:rFonts w:hint="default" w:ascii="Times New Roman" w:hAnsi="Times New Roman" w:cs="Times New Roman"/>
          <w:b/>
          <w:bCs/>
          <w:sz w:val="28"/>
          <w:szCs w:val="36"/>
        </w:rPr>
      </w:pPr>
    </w:p>
    <w:p w14:paraId="349CB004">
      <w:pPr>
        <w:widowControl/>
        <w:spacing w:line="300" w:lineRule="auto"/>
        <w:rPr>
          <w:rFonts w:hint="default" w:ascii="Times New Roman" w:hAnsi="Times New Roman" w:eastAsia="宋体" w:cs="Times New Roman"/>
          <w:sz w:val="24"/>
        </w:rPr>
      </w:pPr>
    </w:p>
    <w:p w14:paraId="44CCDB32">
      <w:pPr>
        <w:rPr>
          <w:rFonts w:hint="default" w:ascii="Times New Roman" w:hAnsi="Times New Roman" w:cs="Times New Roman"/>
          <w:b/>
        </w:rPr>
      </w:pPr>
      <w:r>
        <w:rPr>
          <w:rFonts w:hint="default" w:ascii="Times New Roman" w:hAnsi="Times New Roman" w:cs="Times New Roman"/>
          <w:b/>
        </w:rPr>
        <w:br w:type="page"/>
      </w:r>
    </w:p>
    <w:p w14:paraId="323D74B0">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17. Elite undergraduate education and promotion to senior corporate or core executive positions</w:t>
      </w:r>
    </w:p>
    <w:p w14:paraId="0B8B1A96">
      <w:pPr>
        <w:pStyle w:val="17"/>
        <w:keepNext/>
        <w:spacing w:before="156" w:beforeLines="50" w:after="156" w:afterLines="50"/>
        <w:rPr>
          <w:rFonts w:hint="default" w:ascii="Times New Roman" w:hAnsi="Times New Roman" w:cs="Times New Roman"/>
          <w:i w:val="0"/>
          <w:sz w:val="22"/>
          <w:szCs w:val="36"/>
        </w:rPr>
      </w:pPr>
      <w:r>
        <w:rPr>
          <w:rFonts w:hint="default" w:ascii="Times New Roman" w:hAnsi="Times New Roman" w:cs="Times New Roman"/>
          <w:i w:val="0"/>
          <w:sz w:val="22"/>
          <w:szCs w:val="36"/>
          <w:lang w:val="en-US" w:eastAsia="zh-CN"/>
        </w:rPr>
        <w:t>Panel A</w:t>
      </w:r>
      <w:r>
        <w:rPr>
          <w:rFonts w:hint="default" w:ascii="Times New Roman" w:hAnsi="Times New Roman" w:cs="Times New Roman"/>
          <w:i w:val="0"/>
          <w:sz w:val="22"/>
          <w:szCs w:val="36"/>
        </w:rPr>
        <w:t>. Promotion within a fixed observation window</w:t>
      </w:r>
    </w:p>
    <w:p w14:paraId="2A98C3B8">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Subpanel A</w:t>
      </w:r>
      <w:r>
        <w:rPr>
          <w:rFonts w:hint="default" w:ascii="Times New Roman" w:hAnsi="Times New Roman" w:cs="Times New Roman"/>
          <w:sz w:val="20"/>
          <w:szCs w:val="28"/>
          <w:lang w:val="en-US" w:eastAsia="zh-CN"/>
        </w:rPr>
        <w:t>1</w:t>
      </w:r>
      <w:r>
        <w:rPr>
          <w:rFonts w:hint="default" w:ascii="Times New Roman" w:hAnsi="Times New Roman" w:cs="Times New Roman"/>
          <w:sz w:val="20"/>
          <w:szCs w:val="28"/>
        </w:rPr>
        <w:t>. Adjusted probabilities and average marginal effects from logit models</w:t>
      </w:r>
    </w:p>
    <w:tbl>
      <w:tblPr>
        <w:tblStyle w:val="5"/>
        <w:tblW w:w="0" w:type="auto"/>
        <w:jc w:val="center"/>
        <w:tblLayout w:type="fixed"/>
        <w:tblCellMar>
          <w:top w:w="0" w:type="dxa"/>
          <w:left w:w="108" w:type="dxa"/>
          <w:bottom w:w="0" w:type="dxa"/>
          <w:right w:w="108" w:type="dxa"/>
        </w:tblCellMar>
      </w:tblPr>
      <w:tblGrid>
        <w:gridCol w:w="2004"/>
        <w:gridCol w:w="1420"/>
        <w:gridCol w:w="1320"/>
        <w:gridCol w:w="776"/>
        <w:gridCol w:w="867"/>
        <w:gridCol w:w="785"/>
        <w:gridCol w:w="942"/>
        <w:gridCol w:w="970"/>
      </w:tblGrid>
      <w:tr w14:paraId="518CE942">
        <w:tblPrEx>
          <w:tblCellMar>
            <w:top w:w="0" w:type="dxa"/>
            <w:left w:w="108" w:type="dxa"/>
            <w:bottom w:w="0" w:type="dxa"/>
            <w:right w:w="108" w:type="dxa"/>
          </w:tblCellMar>
        </w:tblPrEx>
        <w:trPr>
          <w:cantSplit/>
          <w:trHeight w:val="829" w:hRule="atLeast"/>
          <w:tblHeader/>
          <w:jc w:val="center"/>
        </w:trPr>
        <w:tc>
          <w:tcPr>
            <w:tcW w:w="2004"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AC63EFE">
            <w:pPr>
              <w:keepNext w:val="0"/>
              <w:keepLines w:val="0"/>
              <w:pageBreakBefore w:val="0"/>
              <w:widowControl/>
              <w:kinsoku/>
              <w:wordWrap/>
              <w:overflowPunct/>
              <w:topLinePunct w:val="0"/>
              <w:autoSpaceDE/>
              <w:autoSpaceDN/>
              <w:bidi w:val="0"/>
              <w:adjustRightInd/>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Dataset and observation window</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A5E0F">
            <w:pPr>
              <w:keepNext w:val="0"/>
              <w:keepLines w:val="0"/>
              <w:pageBreakBefore w:val="0"/>
              <w:widowControl/>
              <w:kinsoku/>
              <w:wordWrap/>
              <w:overflowPunct/>
              <w:topLinePunct w:val="0"/>
              <w:autoSpaceDE/>
              <w:autoSpaceDN/>
              <w:bidi w:val="0"/>
              <w:adjustRightInd/>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Adjusted probability, non-elite bachelor’s (%)</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10169">
            <w:pPr>
              <w:keepNext w:val="0"/>
              <w:keepLines w:val="0"/>
              <w:pageBreakBefore w:val="0"/>
              <w:widowControl/>
              <w:kinsoku/>
              <w:wordWrap/>
              <w:overflowPunct/>
              <w:topLinePunct w:val="0"/>
              <w:autoSpaceDE/>
              <w:autoSpaceDN/>
              <w:bidi w:val="0"/>
              <w:adjustRightInd/>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Adjusted probability, elite bachelor’s (%)</w:t>
            </w:r>
          </w:p>
        </w:tc>
        <w:tc>
          <w:tcPr>
            <w:tcW w:w="7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FED12">
            <w:pPr>
              <w:keepNext w:val="0"/>
              <w:keepLines w:val="0"/>
              <w:pageBreakBefore w:val="0"/>
              <w:widowControl/>
              <w:kinsoku/>
              <w:wordWrap/>
              <w:overflowPunct/>
              <w:topLinePunct w:val="0"/>
              <w:autoSpaceDE/>
              <w:autoSpaceDN/>
              <w:bidi w:val="0"/>
              <w:adjustRightInd/>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AME</w:t>
            </w:r>
          </w:p>
          <w:p w14:paraId="743E93B6">
            <w:pPr>
              <w:keepNext w:val="0"/>
              <w:keepLines w:val="0"/>
              <w:pageBreakBefore w:val="0"/>
              <w:widowControl/>
              <w:kinsoku/>
              <w:wordWrap/>
              <w:overflowPunct/>
              <w:topLinePunct w:val="0"/>
              <w:autoSpaceDE/>
              <w:autoSpaceDN/>
              <w:bidi w:val="0"/>
              <w:adjustRightInd/>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7D3B9">
            <w:pPr>
              <w:keepNext w:val="0"/>
              <w:keepLines w:val="0"/>
              <w:pageBreakBefore w:val="0"/>
              <w:widowControl/>
              <w:kinsoku/>
              <w:wordWrap/>
              <w:overflowPunct/>
              <w:topLinePunct w:val="0"/>
              <w:autoSpaceDE/>
              <w:autoSpaceDN/>
              <w:bidi w:val="0"/>
              <w:adjustRightInd/>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Robust SE</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DF515">
            <w:pPr>
              <w:keepNext w:val="0"/>
              <w:keepLines w:val="0"/>
              <w:pageBreakBefore w:val="0"/>
              <w:widowControl/>
              <w:kinsoku/>
              <w:wordWrap/>
              <w:overflowPunct/>
              <w:topLinePunct w:val="0"/>
              <w:autoSpaceDE/>
              <w:autoSpaceDN/>
              <w:bidi w:val="0"/>
              <w:adjustRightInd/>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z</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593102">
            <w:pPr>
              <w:keepNext w:val="0"/>
              <w:keepLines w:val="0"/>
              <w:pageBreakBefore w:val="0"/>
              <w:widowControl/>
              <w:kinsoku/>
              <w:wordWrap/>
              <w:overflowPunct/>
              <w:topLinePunct w:val="0"/>
              <w:autoSpaceDE/>
              <w:autoSpaceDN/>
              <w:bidi w:val="0"/>
              <w:adjustRightInd/>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c>
          <w:tcPr>
            <w:tcW w:w="9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67186">
            <w:pPr>
              <w:keepNext w:val="0"/>
              <w:keepLines w:val="0"/>
              <w:pageBreakBefore w:val="0"/>
              <w:widowControl/>
              <w:kinsoku/>
              <w:wordWrap/>
              <w:overflowPunct/>
              <w:topLinePunct w:val="0"/>
              <w:autoSpaceDE/>
              <w:autoSpaceDN/>
              <w:bidi w:val="0"/>
              <w:adjustRightInd/>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w:t>
            </w:r>
          </w:p>
        </w:tc>
      </w:tr>
      <w:tr w14:paraId="01747513">
        <w:tblPrEx>
          <w:tblCellMar>
            <w:top w:w="0" w:type="dxa"/>
            <w:left w:w="108" w:type="dxa"/>
            <w:bottom w:w="0" w:type="dxa"/>
            <w:right w:w="108" w:type="dxa"/>
          </w:tblCellMar>
        </w:tblPrEx>
        <w:trPr>
          <w:cantSplit/>
          <w:trHeight w:val="283" w:hRule="atLeast"/>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87A7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LinkedIn corporate sample (10 years)</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1462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6.82</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FA4CD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8.04</w:t>
            </w:r>
          </w:p>
        </w:tc>
        <w:tc>
          <w:tcPr>
            <w:tcW w:w="7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F167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1.225</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22F1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0.032</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C99D4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38.38</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C524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9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FBFA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[1.163, 1.288]</w:t>
            </w:r>
          </w:p>
        </w:tc>
      </w:tr>
      <w:tr w14:paraId="0897ED6D">
        <w:tblPrEx>
          <w:tblCellMar>
            <w:top w:w="0" w:type="dxa"/>
            <w:left w:w="108" w:type="dxa"/>
            <w:bottom w:w="0" w:type="dxa"/>
            <w:right w:w="108" w:type="dxa"/>
          </w:tblCellMar>
        </w:tblPrEx>
        <w:trPr>
          <w:cantSplit/>
          <w:trHeight w:val="283" w:hRule="atLeast"/>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BAFB5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Chinese listed-company executive sample (5 years)</w:t>
            </w:r>
          </w:p>
        </w:tc>
        <w:tc>
          <w:tcPr>
            <w:tcW w:w="14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0612E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20.68</w:t>
            </w:r>
          </w:p>
        </w:tc>
        <w:tc>
          <w:tcPr>
            <w:tcW w:w="13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8804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21.64</w:t>
            </w:r>
          </w:p>
        </w:tc>
        <w:tc>
          <w:tcPr>
            <w:tcW w:w="7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A1DB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0.96</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1470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1.017</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DD2F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0.94</w:t>
            </w:r>
          </w:p>
        </w:tc>
        <w:tc>
          <w:tcPr>
            <w:tcW w:w="9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CB3D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0.345</w:t>
            </w:r>
          </w:p>
        </w:tc>
        <w:tc>
          <w:tcPr>
            <w:tcW w:w="9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4F6C2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[-1.034, 2.954]</w:t>
            </w:r>
          </w:p>
        </w:tc>
      </w:tr>
    </w:tbl>
    <w:p w14:paraId="0070DF0E">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Subpanel A2. Weighted ATET and potential-outcome means</w:t>
      </w:r>
    </w:p>
    <w:tbl>
      <w:tblPr>
        <w:tblStyle w:val="5"/>
        <w:tblW w:w="0" w:type="auto"/>
        <w:jc w:val="center"/>
        <w:tblLayout w:type="fixed"/>
        <w:tblCellMar>
          <w:top w:w="0" w:type="dxa"/>
          <w:left w:w="108" w:type="dxa"/>
          <w:bottom w:w="0" w:type="dxa"/>
          <w:right w:w="108" w:type="dxa"/>
        </w:tblCellMar>
      </w:tblPr>
      <w:tblGrid>
        <w:gridCol w:w="2031"/>
        <w:gridCol w:w="936"/>
        <w:gridCol w:w="1099"/>
        <w:gridCol w:w="812"/>
        <w:gridCol w:w="976"/>
        <w:gridCol w:w="1520"/>
        <w:gridCol w:w="1756"/>
      </w:tblGrid>
      <w:tr w14:paraId="6C448149">
        <w:tblPrEx>
          <w:tblCellMar>
            <w:top w:w="0" w:type="dxa"/>
            <w:left w:w="108" w:type="dxa"/>
            <w:bottom w:w="0" w:type="dxa"/>
            <w:right w:w="108" w:type="dxa"/>
          </w:tblCellMar>
        </w:tblPrEx>
        <w:trPr>
          <w:cantSplit/>
          <w:trHeight w:val="283" w:hRule="atLeast"/>
          <w:tblHeader/>
          <w:jc w:val="center"/>
        </w:trPr>
        <w:tc>
          <w:tcPr>
            <w:tcW w:w="2031" w:type="dxa"/>
            <w:tcBorders>
              <w:top w:val="single" w:color="auto" w:sz="4" w:space="0"/>
              <w:left w:val="single" w:color="auto" w:sz="4" w:space="0"/>
              <w:bottom w:val="nil"/>
              <w:right w:val="nil"/>
            </w:tcBorders>
            <w:tcMar>
              <w:top w:w="-1" w:type="dxa"/>
              <w:left w:w="-1" w:type="dxa"/>
              <w:bottom w:w="-1" w:type="dxa"/>
              <w:right w:w="-1" w:type="dxa"/>
            </w:tcMar>
            <w:vAlign w:val="center"/>
          </w:tcPr>
          <w:p w14:paraId="097E617A">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Dataset</w:t>
            </w:r>
          </w:p>
        </w:tc>
        <w:tc>
          <w:tcPr>
            <w:tcW w:w="936" w:type="dxa"/>
            <w:tcBorders>
              <w:top w:val="single" w:color="auto" w:sz="4" w:space="0"/>
              <w:left w:val="single" w:color="auto" w:sz="4" w:space="0"/>
              <w:bottom w:val="nil"/>
              <w:right w:val="nil"/>
            </w:tcBorders>
            <w:tcMar>
              <w:top w:w="-1" w:type="dxa"/>
              <w:left w:w="-1" w:type="dxa"/>
              <w:bottom w:w="-1" w:type="dxa"/>
              <w:right w:w="-1" w:type="dxa"/>
            </w:tcMar>
            <w:vAlign w:val="center"/>
          </w:tcPr>
          <w:p w14:paraId="77BA7416">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ATET</w:t>
            </w:r>
          </w:p>
          <w:p w14:paraId="172519D5">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(pp)</w:t>
            </w:r>
          </w:p>
        </w:tc>
        <w:tc>
          <w:tcPr>
            <w:tcW w:w="1099" w:type="dxa"/>
            <w:tcBorders>
              <w:top w:val="single" w:color="auto" w:sz="4" w:space="0"/>
              <w:left w:val="single" w:color="auto" w:sz="4" w:space="0"/>
              <w:bottom w:val="nil"/>
              <w:right w:val="nil"/>
            </w:tcBorders>
            <w:tcMar>
              <w:top w:w="-1" w:type="dxa"/>
              <w:left w:w="-1" w:type="dxa"/>
              <w:bottom w:w="-1" w:type="dxa"/>
              <w:right w:w="-1" w:type="dxa"/>
            </w:tcMar>
            <w:vAlign w:val="center"/>
          </w:tcPr>
          <w:p w14:paraId="738CE506">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Robust SE</w:t>
            </w:r>
          </w:p>
        </w:tc>
        <w:tc>
          <w:tcPr>
            <w:tcW w:w="812" w:type="dxa"/>
            <w:tcBorders>
              <w:top w:val="single" w:color="auto" w:sz="4" w:space="0"/>
              <w:left w:val="single" w:color="auto" w:sz="4" w:space="0"/>
              <w:bottom w:val="nil"/>
              <w:right w:val="nil"/>
            </w:tcBorders>
            <w:tcMar>
              <w:top w:w="-1" w:type="dxa"/>
              <w:left w:w="-1" w:type="dxa"/>
              <w:bottom w:w="-1" w:type="dxa"/>
              <w:right w:w="-1" w:type="dxa"/>
            </w:tcMar>
            <w:vAlign w:val="center"/>
          </w:tcPr>
          <w:p w14:paraId="39119151">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z</w:t>
            </w:r>
          </w:p>
        </w:tc>
        <w:tc>
          <w:tcPr>
            <w:tcW w:w="976" w:type="dxa"/>
            <w:tcBorders>
              <w:top w:val="single" w:color="auto" w:sz="4" w:space="0"/>
              <w:left w:val="single" w:color="auto" w:sz="4" w:space="0"/>
              <w:bottom w:val="nil"/>
              <w:right w:val="nil"/>
            </w:tcBorders>
            <w:tcMar>
              <w:top w:w="-1" w:type="dxa"/>
              <w:left w:w="-1" w:type="dxa"/>
              <w:bottom w:w="-1" w:type="dxa"/>
              <w:right w:w="-1" w:type="dxa"/>
            </w:tcMar>
            <w:vAlign w:val="center"/>
          </w:tcPr>
          <w:p w14:paraId="118E7C27">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p-value</w:t>
            </w:r>
          </w:p>
        </w:tc>
        <w:tc>
          <w:tcPr>
            <w:tcW w:w="1520" w:type="dxa"/>
            <w:tcBorders>
              <w:top w:val="single" w:color="auto" w:sz="4" w:space="0"/>
              <w:left w:val="single" w:color="auto" w:sz="4" w:space="0"/>
              <w:bottom w:val="nil"/>
              <w:right w:val="nil"/>
            </w:tcBorders>
            <w:tcMar>
              <w:top w:w="-1" w:type="dxa"/>
              <w:left w:w="-1" w:type="dxa"/>
              <w:bottom w:w="-1" w:type="dxa"/>
              <w:right w:w="-1" w:type="dxa"/>
            </w:tcMar>
            <w:vAlign w:val="center"/>
          </w:tcPr>
          <w:p w14:paraId="7E0F711B">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w:t>
            </w:r>
          </w:p>
        </w:tc>
        <w:tc>
          <w:tcPr>
            <w:tcW w:w="175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89BB04F">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Counterfactual mean, non-elite bachelor’s (%)</w:t>
            </w:r>
          </w:p>
        </w:tc>
      </w:tr>
      <w:tr w14:paraId="34F5B2F3">
        <w:tblPrEx>
          <w:tblCellMar>
            <w:top w:w="0" w:type="dxa"/>
            <w:left w:w="108" w:type="dxa"/>
            <w:bottom w:w="0" w:type="dxa"/>
            <w:right w:w="108" w:type="dxa"/>
          </w:tblCellMar>
        </w:tblPrEx>
        <w:trPr>
          <w:cantSplit/>
          <w:trHeight w:val="283" w:hRule="atLeast"/>
          <w:jc w:val="center"/>
        </w:trPr>
        <w:tc>
          <w:tcPr>
            <w:tcW w:w="2031" w:type="dxa"/>
            <w:tcBorders>
              <w:top w:val="single" w:color="auto" w:sz="4" w:space="0"/>
              <w:left w:val="single" w:color="auto" w:sz="4" w:space="0"/>
              <w:bottom w:val="nil"/>
              <w:right w:val="nil"/>
            </w:tcBorders>
            <w:tcMar>
              <w:top w:w="-1" w:type="dxa"/>
              <w:left w:w="-1" w:type="dxa"/>
              <w:bottom w:w="-1" w:type="dxa"/>
              <w:right w:w="-1" w:type="dxa"/>
            </w:tcMar>
            <w:vAlign w:val="center"/>
          </w:tcPr>
          <w:p w14:paraId="1D31E00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LinkedIn corporate sample</w:t>
            </w:r>
          </w:p>
        </w:tc>
        <w:tc>
          <w:tcPr>
            <w:tcW w:w="936" w:type="dxa"/>
            <w:tcBorders>
              <w:top w:val="single" w:color="auto" w:sz="4" w:space="0"/>
              <w:left w:val="single" w:color="auto" w:sz="4" w:space="0"/>
              <w:bottom w:val="nil"/>
              <w:right w:val="nil"/>
            </w:tcBorders>
            <w:tcMar>
              <w:top w:w="-1" w:type="dxa"/>
              <w:left w:w="-1" w:type="dxa"/>
              <w:bottom w:w="-1" w:type="dxa"/>
              <w:right w:w="-1" w:type="dxa"/>
            </w:tcMar>
            <w:vAlign w:val="center"/>
          </w:tcPr>
          <w:p w14:paraId="1226610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0.983</w:t>
            </w:r>
          </w:p>
        </w:tc>
        <w:tc>
          <w:tcPr>
            <w:tcW w:w="1099" w:type="dxa"/>
            <w:tcBorders>
              <w:top w:val="single" w:color="auto" w:sz="4" w:space="0"/>
              <w:left w:val="single" w:color="auto" w:sz="4" w:space="0"/>
              <w:bottom w:val="nil"/>
              <w:right w:val="nil"/>
            </w:tcBorders>
            <w:tcMar>
              <w:top w:w="-1" w:type="dxa"/>
              <w:left w:w="-1" w:type="dxa"/>
              <w:bottom w:w="-1" w:type="dxa"/>
              <w:right w:w="-1" w:type="dxa"/>
            </w:tcMar>
            <w:vAlign w:val="center"/>
          </w:tcPr>
          <w:p w14:paraId="0C8515D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0.029</w:t>
            </w:r>
          </w:p>
        </w:tc>
        <w:tc>
          <w:tcPr>
            <w:tcW w:w="812" w:type="dxa"/>
            <w:tcBorders>
              <w:top w:val="single" w:color="auto" w:sz="4" w:space="0"/>
              <w:left w:val="single" w:color="auto" w:sz="4" w:space="0"/>
              <w:bottom w:val="nil"/>
              <w:right w:val="nil"/>
            </w:tcBorders>
            <w:tcMar>
              <w:top w:w="-1" w:type="dxa"/>
              <w:left w:w="-1" w:type="dxa"/>
              <w:bottom w:w="-1" w:type="dxa"/>
              <w:right w:w="-1" w:type="dxa"/>
            </w:tcMar>
            <w:vAlign w:val="center"/>
          </w:tcPr>
          <w:p w14:paraId="41865C5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33.82</w:t>
            </w:r>
          </w:p>
        </w:tc>
        <w:tc>
          <w:tcPr>
            <w:tcW w:w="976" w:type="dxa"/>
            <w:tcBorders>
              <w:top w:val="single" w:color="auto" w:sz="4" w:space="0"/>
              <w:left w:val="single" w:color="auto" w:sz="4" w:space="0"/>
              <w:bottom w:val="nil"/>
              <w:right w:val="nil"/>
            </w:tcBorders>
            <w:tcMar>
              <w:top w:w="-1" w:type="dxa"/>
              <w:left w:w="-1" w:type="dxa"/>
              <w:bottom w:w="-1" w:type="dxa"/>
              <w:right w:w="-1" w:type="dxa"/>
            </w:tcMar>
            <w:vAlign w:val="center"/>
          </w:tcPr>
          <w:p w14:paraId="3C9DDB9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520" w:type="dxa"/>
            <w:tcBorders>
              <w:top w:val="single" w:color="auto" w:sz="4" w:space="0"/>
              <w:left w:val="single" w:color="auto" w:sz="4" w:space="0"/>
              <w:bottom w:val="nil"/>
              <w:right w:val="nil"/>
            </w:tcBorders>
            <w:tcMar>
              <w:top w:w="-1" w:type="dxa"/>
              <w:left w:w="-1" w:type="dxa"/>
              <w:bottom w:w="-1" w:type="dxa"/>
              <w:right w:w="-1" w:type="dxa"/>
            </w:tcMar>
            <w:vAlign w:val="center"/>
          </w:tcPr>
          <w:p w14:paraId="6BD219DB">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[0.926, 1.040]</w:t>
            </w:r>
          </w:p>
        </w:tc>
        <w:tc>
          <w:tcPr>
            <w:tcW w:w="175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66A0ECB">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6.92</w:t>
            </w:r>
          </w:p>
        </w:tc>
      </w:tr>
      <w:tr w14:paraId="42BB121D">
        <w:tblPrEx>
          <w:tblCellMar>
            <w:top w:w="0" w:type="dxa"/>
            <w:left w:w="108" w:type="dxa"/>
            <w:bottom w:w="0" w:type="dxa"/>
            <w:right w:w="108" w:type="dxa"/>
          </w:tblCellMar>
        </w:tblPrEx>
        <w:trPr>
          <w:cantSplit/>
          <w:trHeight w:val="283" w:hRule="atLeast"/>
          <w:jc w:val="center"/>
        </w:trPr>
        <w:tc>
          <w:tcPr>
            <w:tcW w:w="203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6024B78">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Chinese listed-company executive sample</w:t>
            </w:r>
          </w:p>
        </w:tc>
        <w:tc>
          <w:tcPr>
            <w:tcW w:w="93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CA195E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0.031</w:t>
            </w:r>
          </w:p>
        </w:tc>
        <w:tc>
          <w:tcPr>
            <w:tcW w:w="109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802DE5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0.88</w:t>
            </w:r>
          </w:p>
        </w:tc>
        <w:tc>
          <w:tcPr>
            <w:tcW w:w="81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EA91CF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w:t>
            </w:r>
          </w:p>
        </w:tc>
        <w:tc>
          <w:tcPr>
            <w:tcW w:w="97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DEFF9B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0.972</w:t>
            </w:r>
          </w:p>
        </w:tc>
        <w:tc>
          <w:tcPr>
            <w:tcW w:w="152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EC8C3DC">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[-1.694, 1.755]</w:t>
            </w:r>
          </w:p>
        </w:tc>
        <w:tc>
          <w:tcPr>
            <w:tcW w:w="1756"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B68B5C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20.97</w:t>
            </w:r>
          </w:p>
        </w:tc>
      </w:tr>
    </w:tbl>
    <w:p w14:paraId="33FC3E91">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Subpanel A3. Covariate balance after exact-stratification weighting</w:t>
      </w:r>
    </w:p>
    <w:tbl>
      <w:tblPr>
        <w:tblStyle w:val="5"/>
        <w:tblW w:w="0" w:type="auto"/>
        <w:jc w:val="center"/>
        <w:tblLayout w:type="fixed"/>
        <w:tblCellMar>
          <w:top w:w="0" w:type="dxa"/>
          <w:left w:w="108" w:type="dxa"/>
          <w:bottom w:w="0" w:type="dxa"/>
          <w:right w:w="108" w:type="dxa"/>
        </w:tblCellMar>
      </w:tblPr>
      <w:tblGrid>
        <w:gridCol w:w="2358"/>
        <w:gridCol w:w="1689"/>
        <w:gridCol w:w="1662"/>
        <w:gridCol w:w="1592"/>
      </w:tblGrid>
      <w:tr w14:paraId="1520EE8F">
        <w:tblPrEx>
          <w:tblCellMar>
            <w:top w:w="0" w:type="dxa"/>
            <w:left w:w="108" w:type="dxa"/>
            <w:bottom w:w="0" w:type="dxa"/>
            <w:right w:w="108" w:type="dxa"/>
          </w:tblCellMar>
        </w:tblPrEx>
        <w:trPr>
          <w:cantSplit/>
          <w:trHeight w:val="283" w:hRule="atLeast"/>
          <w:tblHeader/>
          <w:jc w:val="center"/>
        </w:trPr>
        <w:tc>
          <w:tcPr>
            <w:tcW w:w="2358"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4C67B881">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Dataset</w:t>
            </w:r>
          </w:p>
        </w:tc>
        <w:tc>
          <w:tcPr>
            <w:tcW w:w="168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AC89E6E">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Mean absolute SMD before weighting</w:t>
            </w:r>
          </w:p>
        </w:tc>
        <w:tc>
          <w:tcPr>
            <w:tcW w:w="166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A47BDE3">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Mean absolute SMD after weighting</w:t>
            </w:r>
          </w:p>
        </w:tc>
        <w:tc>
          <w:tcPr>
            <w:tcW w:w="159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A734B5F">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Maximum absolute SMD after weighting</w:t>
            </w:r>
          </w:p>
        </w:tc>
      </w:tr>
      <w:tr w14:paraId="1E427006">
        <w:tblPrEx>
          <w:tblCellMar>
            <w:top w:w="0" w:type="dxa"/>
            <w:left w:w="108" w:type="dxa"/>
            <w:bottom w:w="0" w:type="dxa"/>
            <w:right w:w="108" w:type="dxa"/>
          </w:tblCellMar>
        </w:tblPrEx>
        <w:trPr>
          <w:cantSplit/>
          <w:trHeight w:val="283" w:hRule="atLeast"/>
          <w:jc w:val="center"/>
        </w:trPr>
        <w:tc>
          <w:tcPr>
            <w:tcW w:w="23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65E05F9">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LinkedIn corporate sample</w:t>
            </w:r>
          </w:p>
        </w:tc>
        <w:tc>
          <w:tcPr>
            <w:tcW w:w="168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3A7949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rPr>
              <w:t>0.065</w:t>
            </w:r>
          </w:p>
        </w:tc>
        <w:tc>
          <w:tcPr>
            <w:tcW w:w="166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43A450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rPr>
              <w:t>0.000</w:t>
            </w:r>
          </w:p>
        </w:tc>
        <w:tc>
          <w:tcPr>
            <w:tcW w:w="159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0D7983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rPr>
              <w:t>0.000</w:t>
            </w:r>
          </w:p>
        </w:tc>
      </w:tr>
      <w:tr w14:paraId="43EB86D1">
        <w:tblPrEx>
          <w:tblCellMar>
            <w:top w:w="0" w:type="dxa"/>
            <w:left w:w="108" w:type="dxa"/>
            <w:bottom w:w="0" w:type="dxa"/>
            <w:right w:w="108" w:type="dxa"/>
          </w:tblCellMar>
        </w:tblPrEx>
        <w:trPr>
          <w:cantSplit/>
          <w:trHeight w:val="283" w:hRule="atLeast"/>
          <w:jc w:val="center"/>
        </w:trPr>
        <w:tc>
          <w:tcPr>
            <w:tcW w:w="235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1904DF9">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Chinese listed-company executive sample</w:t>
            </w:r>
          </w:p>
        </w:tc>
        <w:tc>
          <w:tcPr>
            <w:tcW w:w="168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3023F18">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rPr>
              <w:t>0.034</w:t>
            </w:r>
          </w:p>
        </w:tc>
        <w:tc>
          <w:tcPr>
            <w:tcW w:w="166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C73E16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rPr>
              <w:t>0.000</w:t>
            </w:r>
          </w:p>
        </w:tc>
        <w:tc>
          <w:tcPr>
            <w:tcW w:w="1592"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4A8607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rPr>
              <w:t>0.000</w:t>
            </w:r>
          </w:p>
        </w:tc>
      </w:tr>
    </w:tbl>
    <w:p w14:paraId="744268C6">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Risk sets exclude individuals already in the target position when first observed. The target is Revelio seniority levels 6–7 in LinkedIn and chairperson, general manager, president, CEO, or CFO in the Chinese listed-company sample. Subpanel A1 controls for gender, industry, first observed year, and country in LinkedIn. Subpanel A2 applies exact-stratification weighting and reports the ATET. In Subpanel A3, non-promoters must be observed through the end of the window. SMD denotes standardized mean difference. Weighted results are interpreted as associations adjusted for observed characteristics</w:t>
      </w:r>
      <w:r>
        <w:rPr>
          <w:rFonts w:hint="default" w:ascii="Times New Roman" w:hAnsi="Times New Roman" w:cs="Times New Roman"/>
          <w:b w:val="0"/>
          <w:i w:val="0"/>
          <w:sz w:val="20"/>
          <w:szCs w:val="28"/>
          <w:lang w:val="en-US" w:eastAsia="zh-CN"/>
        </w:rPr>
        <w:t>.</w:t>
      </w:r>
    </w:p>
    <w:p w14:paraId="5D90D494">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B. Time-to-promotion models</w:t>
      </w:r>
    </w:p>
    <w:p w14:paraId="21BD1CB2">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Subpanel B1. Cox proportional-hazards models</w:t>
      </w:r>
    </w:p>
    <w:tbl>
      <w:tblPr>
        <w:tblStyle w:val="5"/>
        <w:tblW w:w="0" w:type="auto"/>
        <w:jc w:val="center"/>
        <w:tblLayout w:type="fixed"/>
        <w:tblCellMar>
          <w:top w:w="0" w:type="dxa"/>
          <w:left w:w="108" w:type="dxa"/>
          <w:bottom w:w="0" w:type="dxa"/>
          <w:right w:w="108" w:type="dxa"/>
        </w:tblCellMar>
      </w:tblPr>
      <w:tblGrid>
        <w:gridCol w:w="1776"/>
        <w:gridCol w:w="960"/>
        <w:gridCol w:w="1680"/>
        <w:gridCol w:w="1181"/>
        <w:gridCol w:w="924"/>
        <w:gridCol w:w="729"/>
        <w:gridCol w:w="932"/>
        <w:gridCol w:w="1076"/>
      </w:tblGrid>
      <w:tr w14:paraId="64D4D5C2">
        <w:tblPrEx>
          <w:tblCellMar>
            <w:top w:w="0" w:type="dxa"/>
            <w:left w:w="108" w:type="dxa"/>
            <w:bottom w:w="0" w:type="dxa"/>
            <w:right w:w="108" w:type="dxa"/>
          </w:tblCellMar>
        </w:tblPrEx>
        <w:trPr>
          <w:cantSplit/>
          <w:trHeight w:val="283" w:hRule="atLeast"/>
          <w:tblHeader/>
          <w:jc w:val="center"/>
        </w:trPr>
        <w:tc>
          <w:tcPr>
            <w:tcW w:w="1776" w:type="dxa"/>
            <w:tcBorders>
              <w:top w:val="single" w:color="auto" w:sz="4" w:space="0"/>
              <w:left w:val="single" w:color="auto" w:sz="4" w:space="0"/>
              <w:bottom w:val="nil"/>
              <w:right w:val="nil"/>
            </w:tcBorders>
            <w:tcMar>
              <w:top w:w="-1" w:type="dxa"/>
              <w:left w:w="-1" w:type="dxa"/>
              <w:bottom w:w="-1" w:type="dxa"/>
              <w:right w:w="-1" w:type="dxa"/>
            </w:tcMar>
            <w:vAlign w:val="center"/>
          </w:tcPr>
          <w:p w14:paraId="5DB0C883">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cs="Times New Roman"/>
                <w:b/>
                <w:bCs/>
              </w:rPr>
              <w:t>Dataset</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1D32D658">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cs="Times New Roman"/>
                <w:b/>
                <w:bCs/>
              </w:rPr>
              <w:t>Risk-set N</w:t>
            </w:r>
          </w:p>
        </w:tc>
        <w:tc>
          <w:tcPr>
            <w:tcW w:w="1680" w:type="dxa"/>
            <w:tcBorders>
              <w:top w:val="single" w:color="auto" w:sz="4" w:space="0"/>
              <w:left w:val="single" w:color="auto" w:sz="4" w:space="0"/>
              <w:bottom w:val="nil"/>
              <w:right w:val="nil"/>
            </w:tcBorders>
            <w:tcMar>
              <w:top w:w="-1" w:type="dxa"/>
              <w:left w:w="-1" w:type="dxa"/>
              <w:bottom w:w="-1" w:type="dxa"/>
              <w:right w:w="-1" w:type="dxa"/>
            </w:tcMar>
            <w:vAlign w:val="center"/>
          </w:tcPr>
          <w:p w14:paraId="3E6063CF">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cs="Times New Roman"/>
                <w:b/>
                <w:bCs/>
              </w:rPr>
              <w:t>First-promotion events</w:t>
            </w:r>
          </w:p>
        </w:tc>
        <w:tc>
          <w:tcPr>
            <w:tcW w:w="1181" w:type="dxa"/>
            <w:tcBorders>
              <w:top w:val="single" w:color="auto" w:sz="4" w:space="0"/>
              <w:left w:val="single" w:color="auto" w:sz="4" w:space="0"/>
              <w:bottom w:val="nil"/>
              <w:right w:val="nil"/>
            </w:tcBorders>
            <w:tcMar>
              <w:top w:w="-1" w:type="dxa"/>
              <w:left w:w="-1" w:type="dxa"/>
              <w:bottom w:w="-1" w:type="dxa"/>
              <w:right w:w="-1" w:type="dxa"/>
            </w:tcMar>
            <w:vAlign w:val="center"/>
          </w:tcPr>
          <w:p w14:paraId="2F595031">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cs="Times New Roman"/>
                <w:b/>
                <w:bCs/>
              </w:rPr>
              <w:t>Hazard ratio (HR)</w:t>
            </w:r>
          </w:p>
        </w:tc>
        <w:tc>
          <w:tcPr>
            <w:tcW w:w="924" w:type="dxa"/>
            <w:tcBorders>
              <w:top w:val="single" w:color="auto" w:sz="4" w:space="0"/>
              <w:left w:val="single" w:color="auto" w:sz="4" w:space="0"/>
              <w:bottom w:val="nil"/>
              <w:right w:val="nil"/>
            </w:tcBorders>
            <w:tcMar>
              <w:top w:w="-1" w:type="dxa"/>
              <w:left w:w="-1" w:type="dxa"/>
              <w:bottom w:w="-1" w:type="dxa"/>
              <w:right w:w="-1" w:type="dxa"/>
            </w:tcMar>
            <w:vAlign w:val="center"/>
          </w:tcPr>
          <w:p w14:paraId="54F57095">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cs="Times New Roman"/>
                <w:b/>
                <w:bCs/>
              </w:rPr>
              <w:t>Robust SE</w:t>
            </w:r>
          </w:p>
        </w:tc>
        <w:tc>
          <w:tcPr>
            <w:tcW w:w="729" w:type="dxa"/>
            <w:tcBorders>
              <w:top w:val="single" w:color="auto" w:sz="4" w:space="0"/>
              <w:left w:val="single" w:color="auto" w:sz="4" w:space="0"/>
              <w:bottom w:val="nil"/>
              <w:right w:val="nil"/>
            </w:tcBorders>
            <w:tcMar>
              <w:top w:w="-1" w:type="dxa"/>
              <w:left w:w="-1" w:type="dxa"/>
              <w:bottom w:w="-1" w:type="dxa"/>
              <w:right w:w="-1" w:type="dxa"/>
            </w:tcMar>
            <w:vAlign w:val="center"/>
          </w:tcPr>
          <w:p w14:paraId="3D71F385">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cs="Times New Roman"/>
                <w:b/>
                <w:bCs/>
              </w:rPr>
              <w:t>z</w:t>
            </w:r>
          </w:p>
        </w:tc>
        <w:tc>
          <w:tcPr>
            <w:tcW w:w="932" w:type="dxa"/>
            <w:tcBorders>
              <w:top w:val="single" w:color="auto" w:sz="4" w:space="0"/>
              <w:left w:val="single" w:color="auto" w:sz="4" w:space="0"/>
              <w:bottom w:val="nil"/>
              <w:right w:val="nil"/>
            </w:tcBorders>
            <w:tcMar>
              <w:top w:w="-1" w:type="dxa"/>
              <w:left w:w="-1" w:type="dxa"/>
              <w:bottom w:w="-1" w:type="dxa"/>
              <w:right w:w="-1" w:type="dxa"/>
            </w:tcMar>
            <w:vAlign w:val="center"/>
          </w:tcPr>
          <w:p w14:paraId="0E3B9DD9">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cs="Times New Roman"/>
                <w:b/>
                <w:bCs/>
              </w:rPr>
              <w:t>p-value</w:t>
            </w:r>
          </w:p>
        </w:tc>
        <w:tc>
          <w:tcPr>
            <w:tcW w:w="107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4B690BA">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cs="Times New Roman"/>
                <w:b/>
                <w:bCs/>
              </w:rPr>
              <w:t>95% CI</w:t>
            </w:r>
          </w:p>
        </w:tc>
      </w:tr>
      <w:tr w14:paraId="0CA33236">
        <w:tblPrEx>
          <w:tblCellMar>
            <w:top w:w="0" w:type="dxa"/>
            <w:left w:w="108" w:type="dxa"/>
            <w:bottom w:w="0" w:type="dxa"/>
            <w:right w:w="108" w:type="dxa"/>
          </w:tblCellMar>
        </w:tblPrEx>
        <w:trPr>
          <w:cantSplit/>
          <w:trHeight w:val="283" w:hRule="atLeast"/>
          <w:jc w:val="center"/>
        </w:trPr>
        <w:tc>
          <w:tcPr>
            <w:tcW w:w="1776" w:type="dxa"/>
            <w:tcBorders>
              <w:top w:val="single" w:color="auto" w:sz="4" w:space="0"/>
              <w:left w:val="single" w:color="auto" w:sz="4" w:space="0"/>
              <w:bottom w:val="nil"/>
              <w:right w:val="nil"/>
            </w:tcBorders>
            <w:tcMar>
              <w:top w:w="-1" w:type="dxa"/>
              <w:left w:w="-1" w:type="dxa"/>
              <w:bottom w:w="-1" w:type="dxa"/>
              <w:right w:w="-1" w:type="dxa"/>
            </w:tcMar>
            <w:vAlign w:val="center"/>
          </w:tcPr>
          <w:p w14:paraId="07E56989">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cs="Times New Roman"/>
              </w:rPr>
              <w:t>LinkedIn corporate sample</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1DF6A60C">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627,302</w:t>
            </w:r>
          </w:p>
        </w:tc>
        <w:tc>
          <w:tcPr>
            <w:tcW w:w="1680" w:type="dxa"/>
            <w:tcBorders>
              <w:top w:val="single" w:color="auto" w:sz="4" w:space="0"/>
              <w:left w:val="single" w:color="auto" w:sz="4" w:space="0"/>
              <w:bottom w:val="nil"/>
              <w:right w:val="nil"/>
            </w:tcBorders>
            <w:tcMar>
              <w:top w:w="-1" w:type="dxa"/>
              <w:left w:w="-1" w:type="dxa"/>
              <w:bottom w:w="-1" w:type="dxa"/>
              <w:right w:w="-1" w:type="dxa"/>
            </w:tcMar>
            <w:vAlign w:val="center"/>
          </w:tcPr>
          <w:p w14:paraId="521574A4">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25,322</w:t>
            </w:r>
          </w:p>
        </w:tc>
        <w:tc>
          <w:tcPr>
            <w:tcW w:w="1181" w:type="dxa"/>
            <w:tcBorders>
              <w:top w:val="single" w:color="auto" w:sz="4" w:space="0"/>
              <w:left w:val="single" w:color="auto" w:sz="4" w:space="0"/>
              <w:bottom w:val="nil"/>
              <w:right w:val="nil"/>
            </w:tcBorders>
            <w:tcMar>
              <w:top w:w="-1" w:type="dxa"/>
              <w:left w:w="-1" w:type="dxa"/>
              <w:bottom w:w="-1" w:type="dxa"/>
              <w:right w:w="-1" w:type="dxa"/>
            </w:tcMar>
            <w:vAlign w:val="center"/>
          </w:tcPr>
          <w:p w14:paraId="32C487FC">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1.174</w:t>
            </w:r>
          </w:p>
        </w:tc>
        <w:tc>
          <w:tcPr>
            <w:tcW w:w="924" w:type="dxa"/>
            <w:tcBorders>
              <w:top w:val="single" w:color="auto" w:sz="4" w:space="0"/>
              <w:left w:val="single" w:color="auto" w:sz="4" w:space="0"/>
              <w:bottom w:val="nil"/>
              <w:right w:val="nil"/>
            </w:tcBorders>
            <w:tcMar>
              <w:top w:w="-1" w:type="dxa"/>
              <w:left w:w="-1" w:type="dxa"/>
              <w:bottom w:w="-1" w:type="dxa"/>
              <w:right w:w="-1" w:type="dxa"/>
            </w:tcMar>
            <w:vAlign w:val="center"/>
          </w:tcPr>
          <w:p w14:paraId="7D7904F9">
            <w:pPr>
              <w:widowControl/>
              <w:snapToGrid w:val="0"/>
              <w:spacing w:before="0" w:after="0" w:line="240" w:lineRule="auto"/>
              <w:jc w:val="center"/>
              <w:textAlignment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bidi="ar"/>
              </w:rPr>
              <w:t>0.01</w:t>
            </w:r>
            <w:r>
              <w:rPr>
                <w:rFonts w:hint="default" w:ascii="Times New Roman" w:hAnsi="Times New Roman" w:eastAsia="宋体" w:cs="Times New Roman"/>
                <w:kern w:val="0"/>
                <w:sz w:val="21"/>
                <w:szCs w:val="21"/>
                <w:lang w:val="en-US" w:eastAsia="zh-CN" w:bidi="ar"/>
              </w:rPr>
              <w:t>4</w:t>
            </w:r>
          </w:p>
        </w:tc>
        <w:tc>
          <w:tcPr>
            <w:tcW w:w="729" w:type="dxa"/>
            <w:tcBorders>
              <w:top w:val="single" w:color="auto" w:sz="4" w:space="0"/>
              <w:left w:val="single" w:color="auto" w:sz="4" w:space="0"/>
              <w:bottom w:val="nil"/>
              <w:right w:val="nil"/>
            </w:tcBorders>
            <w:tcMar>
              <w:top w:w="-1" w:type="dxa"/>
              <w:left w:w="-1" w:type="dxa"/>
              <w:bottom w:w="-1" w:type="dxa"/>
              <w:right w:w="-1" w:type="dxa"/>
            </w:tcMar>
            <w:vAlign w:val="center"/>
          </w:tcPr>
          <w:p w14:paraId="033EF1B6">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11.86</w:t>
            </w:r>
          </w:p>
        </w:tc>
        <w:tc>
          <w:tcPr>
            <w:tcW w:w="932" w:type="dxa"/>
            <w:tcBorders>
              <w:top w:val="single" w:color="auto" w:sz="4" w:space="0"/>
              <w:left w:val="single" w:color="auto" w:sz="4" w:space="0"/>
              <w:bottom w:val="nil"/>
              <w:right w:val="nil"/>
            </w:tcBorders>
            <w:tcMar>
              <w:top w:w="-1" w:type="dxa"/>
              <w:left w:w="-1" w:type="dxa"/>
              <w:bottom w:w="-1" w:type="dxa"/>
              <w:right w:w="-1" w:type="dxa"/>
            </w:tcMar>
            <w:vAlign w:val="center"/>
          </w:tcPr>
          <w:p w14:paraId="3D1D614D">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&lt;0.001</w:t>
            </w:r>
          </w:p>
        </w:tc>
        <w:tc>
          <w:tcPr>
            <w:tcW w:w="107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9EDFF20">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[1.143, 1.206]</w:t>
            </w:r>
          </w:p>
        </w:tc>
      </w:tr>
      <w:tr w14:paraId="5DE4B333">
        <w:tblPrEx>
          <w:tblCellMar>
            <w:top w:w="0" w:type="dxa"/>
            <w:left w:w="108" w:type="dxa"/>
            <w:bottom w:w="0" w:type="dxa"/>
            <w:right w:w="108" w:type="dxa"/>
          </w:tblCellMar>
        </w:tblPrEx>
        <w:trPr>
          <w:cantSplit/>
          <w:trHeight w:val="283" w:hRule="atLeast"/>
          <w:jc w:val="center"/>
        </w:trPr>
        <w:tc>
          <w:tcPr>
            <w:tcW w:w="177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6BAC70A">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cs="Times New Roman"/>
              </w:rPr>
              <w:t>Chinese listed-company executive sample</w:t>
            </w:r>
          </w:p>
        </w:tc>
        <w:tc>
          <w:tcPr>
            <w:tcW w:w="96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5AE502F">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38,004</w:t>
            </w:r>
          </w:p>
        </w:tc>
        <w:tc>
          <w:tcPr>
            <w:tcW w:w="168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59F1180">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1,594</w:t>
            </w:r>
          </w:p>
        </w:tc>
        <w:tc>
          <w:tcPr>
            <w:tcW w:w="118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8D9C2C4">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1.079</w:t>
            </w:r>
          </w:p>
        </w:tc>
        <w:tc>
          <w:tcPr>
            <w:tcW w:w="92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56F5E9C">
            <w:pPr>
              <w:widowControl/>
              <w:snapToGrid w:val="0"/>
              <w:spacing w:before="0" w:after="0" w:line="240" w:lineRule="auto"/>
              <w:jc w:val="center"/>
              <w:textAlignment w:val="center"/>
              <w:rPr>
                <w:rFonts w:hint="default" w:ascii="Times New Roman" w:hAnsi="Times New Roman" w:eastAsia="宋体" w:cs="Times New Roman"/>
                <w:kern w:val="0"/>
                <w:sz w:val="21"/>
                <w:szCs w:val="21"/>
                <w:lang w:val="en-US" w:eastAsia="zh-CN" w:bidi="ar"/>
              </w:rPr>
            </w:pPr>
            <w:r>
              <w:rPr>
                <w:rFonts w:hint="default" w:ascii="Times New Roman" w:hAnsi="Times New Roman" w:eastAsia="宋体" w:cs="Times New Roman"/>
                <w:kern w:val="0"/>
                <w:sz w:val="21"/>
                <w:szCs w:val="21"/>
                <w:lang w:bidi="ar"/>
              </w:rPr>
              <w:t>0.0</w:t>
            </w:r>
            <w:r>
              <w:rPr>
                <w:rFonts w:hint="default" w:ascii="Times New Roman" w:hAnsi="Times New Roman" w:eastAsia="宋体" w:cs="Times New Roman"/>
                <w:kern w:val="0"/>
                <w:sz w:val="21"/>
                <w:szCs w:val="21"/>
                <w:lang w:val="en-US" w:eastAsia="zh-CN" w:bidi="ar"/>
              </w:rPr>
              <w:t>50</w:t>
            </w:r>
          </w:p>
        </w:tc>
        <w:tc>
          <w:tcPr>
            <w:tcW w:w="72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2B169E3">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1.53</w:t>
            </w:r>
          </w:p>
        </w:tc>
        <w:tc>
          <w:tcPr>
            <w:tcW w:w="93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40BEFE9">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0.126</w:t>
            </w:r>
          </w:p>
        </w:tc>
        <w:tc>
          <w:tcPr>
            <w:tcW w:w="1076"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B23173E">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[0.979, 1.190]</w:t>
            </w:r>
          </w:p>
        </w:tc>
      </w:tr>
    </w:tbl>
    <w:p w14:paraId="52051079">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Subpanel B</w:t>
      </w:r>
      <w:r>
        <w:rPr>
          <w:rFonts w:hint="default" w:ascii="Times New Roman" w:hAnsi="Times New Roman" w:cs="Times New Roman"/>
          <w:sz w:val="20"/>
          <w:szCs w:val="28"/>
          <w:lang w:val="en-US" w:eastAsia="zh-CN"/>
        </w:rPr>
        <w:t>2</w:t>
      </w:r>
      <w:r>
        <w:rPr>
          <w:rFonts w:hint="default" w:ascii="Times New Roman" w:hAnsi="Times New Roman" w:cs="Times New Roman"/>
          <w:sz w:val="20"/>
          <w:szCs w:val="28"/>
        </w:rPr>
        <w:t>. Weibull accelerated-failure-time models</w:t>
      </w:r>
    </w:p>
    <w:tbl>
      <w:tblPr>
        <w:tblStyle w:val="5"/>
        <w:tblW w:w="10085" w:type="dxa"/>
        <w:jc w:val="center"/>
        <w:tblLayout w:type="fixed"/>
        <w:tblCellMar>
          <w:top w:w="0" w:type="dxa"/>
          <w:left w:w="108" w:type="dxa"/>
          <w:bottom w:w="0" w:type="dxa"/>
          <w:right w:w="108" w:type="dxa"/>
        </w:tblCellMar>
      </w:tblPr>
      <w:tblGrid>
        <w:gridCol w:w="1339"/>
        <w:gridCol w:w="941"/>
        <w:gridCol w:w="1163"/>
        <w:gridCol w:w="1145"/>
        <w:gridCol w:w="877"/>
        <w:gridCol w:w="840"/>
        <w:gridCol w:w="840"/>
        <w:gridCol w:w="978"/>
        <w:gridCol w:w="1016"/>
        <w:gridCol w:w="946"/>
      </w:tblGrid>
      <w:tr w14:paraId="3576C036">
        <w:tblPrEx>
          <w:tblCellMar>
            <w:top w:w="0" w:type="dxa"/>
            <w:left w:w="108" w:type="dxa"/>
            <w:bottom w:w="0" w:type="dxa"/>
            <w:right w:w="108" w:type="dxa"/>
          </w:tblCellMar>
        </w:tblPrEx>
        <w:trPr>
          <w:cantSplit/>
          <w:trHeight w:val="283" w:hRule="atLeast"/>
          <w:tblHeader/>
          <w:jc w:val="center"/>
        </w:trPr>
        <w:tc>
          <w:tcPr>
            <w:tcW w:w="1339" w:type="dxa"/>
            <w:tcBorders>
              <w:top w:val="single" w:color="auto" w:sz="4" w:space="0"/>
              <w:left w:val="single" w:color="auto" w:sz="4" w:space="0"/>
              <w:bottom w:val="nil"/>
              <w:right w:val="nil"/>
            </w:tcBorders>
            <w:tcMar>
              <w:top w:w="-1" w:type="dxa"/>
              <w:left w:w="-1" w:type="dxa"/>
              <w:bottom w:w="-1" w:type="dxa"/>
              <w:right w:w="-1" w:type="dxa"/>
            </w:tcMar>
            <w:vAlign w:val="center"/>
          </w:tcPr>
          <w:p w14:paraId="73E1C03E">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Dataset</w:t>
            </w:r>
          </w:p>
        </w:tc>
        <w:tc>
          <w:tcPr>
            <w:tcW w:w="941" w:type="dxa"/>
            <w:tcBorders>
              <w:top w:val="single" w:color="auto" w:sz="4" w:space="0"/>
              <w:left w:val="single" w:color="auto" w:sz="4" w:space="0"/>
              <w:bottom w:val="nil"/>
              <w:right w:val="nil"/>
            </w:tcBorders>
            <w:tcMar>
              <w:top w:w="-1" w:type="dxa"/>
              <w:left w:w="-1" w:type="dxa"/>
              <w:bottom w:w="-1" w:type="dxa"/>
              <w:right w:w="-1" w:type="dxa"/>
            </w:tcMar>
            <w:vAlign w:val="center"/>
          </w:tcPr>
          <w:p w14:paraId="018A36F2">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Risk-set N</w:t>
            </w:r>
          </w:p>
        </w:tc>
        <w:tc>
          <w:tcPr>
            <w:tcW w:w="1163" w:type="dxa"/>
            <w:tcBorders>
              <w:top w:val="single" w:color="auto" w:sz="4" w:space="0"/>
              <w:left w:val="single" w:color="auto" w:sz="4" w:space="0"/>
              <w:bottom w:val="nil"/>
              <w:right w:val="nil"/>
            </w:tcBorders>
            <w:tcMar>
              <w:top w:w="-1" w:type="dxa"/>
              <w:left w:w="-1" w:type="dxa"/>
              <w:bottom w:w="-1" w:type="dxa"/>
              <w:right w:w="-1" w:type="dxa"/>
            </w:tcMar>
            <w:vAlign w:val="center"/>
          </w:tcPr>
          <w:p w14:paraId="5157A118">
            <w:pPr>
              <w:widowControl/>
              <w:snapToGrid w:val="0"/>
              <w:spacing w:before="0" w:after="0" w:line="240" w:lineRule="auto"/>
              <w:jc w:val="center"/>
              <w:textAlignment w:val="center"/>
              <w:rPr>
                <w:rFonts w:hint="default" w:ascii="Times New Roman" w:hAnsi="Times New Roman" w:cs="Times New Roman"/>
                <w:b/>
                <w:bCs/>
              </w:rPr>
            </w:pPr>
            <w:r>
              <w:rPr>
                <w:rFonts w:hint="default" w:ascii="Times New Roman" w:hAnsi="Times New Roman" w:cs="Times New Roman"/>
                <w:b/>
                <w:bCs/>
              </w:rPr>
              <w:t>First-</w:t>
            </w:r>
          </w:p>
          <w:p w14:paraId="7E72FB3E">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promotion events</w:t>
            </w:r>
          </w:p>
        </w:tc>
        <w:tc>
          <w:tcPr>
            <w:tcW w:w="1145" w:type="dxa"/>
            <w:tcBorders>
              <w:top w:val="single" w:color="auto" w:sz="4" w:space="0"/>
              <w:left w:val="single" w:color="auto" w:sz="4" w:space="0"/>
              <w:bottom w:val="nil"/>
              <w:right w:val="nil"/>
            </w:tcBorders>
            <w:tcMar>
              <w:top w:w="-1" w:type="dxa"/>
              <w:left w:w="-1" w:type="dxa"/>
              <w:bottom w:w="-1" w:type="dxa"/>
              <w:right w:w="-1" w:type="dxa"/>
            </w:tcMar>
            <w:vAlign w:val="center"/>
          </w:tcPr>
          <w:p w14:paraId="4FD6B8FD">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Raw coefficient b</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51FF4B91">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Robust SE</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5BC54AEB">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z</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3BDA3F0C">
            <w:pPr>
              <w:widowControl/>
              <w:snapToGrid w:val="0"/>
              <w:spacing w:before="0" w:after="0" w:line="240" w:lineRule="auto"/>
              <w:jc w:val="center"/>
              <w:textAlignment w:val="center"/>
              <w:rPr>
                <w:rFonts w:hint="default" w:ascii="Times New Roman" w:hAnsi="Times New Roman" w:eastAsia="宋体" w:cs="Times New Roman"/>
                <w:b/>
                <w:bCs/>
                <w:kern w:val="0"/>
                <w:szCs w:val="21"/>
                <w:lang w:val="en-US" w:eastAsia="zh-CN" w:bidi="ar"/>
              </w:rPr>
            </w:pPr>
            <w:r>
              <w:rPr>
                <w:rFonts w:hint="default" w:ascii="Times New Roman" w:hAnsi="Times New Roman" w:eastAsia="宋体" w:cs="Times New Roman"/>
                <w:b/>
                <w:bCs/>
                <w:kern w:val="0"/>
                <w:szCs w:val="21"/>
                <w:lang w:val="en-US" w:eastAsia="zh-CN" w:bidi="ar"/>
              </w:rPr>
              <w:t>p-</w:t>
            </w:r>
          </w:p>
          <w:p w14:paraId="2D4E42CD">
            <w:pPr>
              <w:widowControl/>
              <w:snapToGrid w:val="0"/>
              <w:spacing w:before="0" w:after="0" w:line="240" w:lineRule="auto"/>
              <w:jc w:val="center"/>
              <w:textAlignment w:val="center"/>
              <w:rPr>
                <w:rFonts w:hint="default" w:ascii="Times New Roman" w:hAnsi="Times New Roman" w:eastAsia="宋体" w:cs="Times New Roman"/>
                <w:b/>
                <w:bCs/>
                <w:kern w:val="0"/>
                <w:szCs w:val="21"/>
                <w:lang w:val="en-US" w:eastAsia="zh-CN" w:bidi="ar"/>
              </w:rPr>
            </w:pPr>
            <w:r>
              <w:rPr>
                <w:rFonts w:hint="default" w:ascii="Times New Roman" w:hAnsi="Times New Roman" w:eastAsia="宋体" w:cs="Times New Roman"/>
                <w:b/>
                <w:bCs/>
                <w:kern w:val="0"/>
                <w:szCs w:val="21"/>
                <w:lang w:val="en-US" w:eastAsia="zh-CN" w:bidi="ar"/>
              </w:rPr>
              <w:t>value</w:t>
            </w:r>
          </w:p>
        </w:tc>
        <w:tc>
          <w:tcPr>
            <w:tcW w:w="978" w:type="dxa"/>
            <w:tcBorders>
              <w:top w:val="single" w:color="auto" w:sz="4" w:space="0"/>
              <w:left w:val="single" w:color="auto" w:sz="4" w:space="0"/>
              <w:bottom w:val="nil"/>
              <w:right w:val="nil"/>
            </w:tcBorders>
            <w:tcMar>
              <w:top w:w="-1" w:type="dxa"/>
              <w:left w:w="-1" w:type="dxa"/>
              <w:bottom w:w="-1" w:type="dxa"/>
              <w:right w:w="-1" w:type="dxa"/>
            </w:tcMar>
            <w:vAlign w:val="center"/>
          </w:tcPr>
          <w:p w14:paraId="64182D7C">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 for b</w:t>
            </w:r>
          </w:p>
        </w:tc>
        <w:tc>
          <w:tcPr>
            <w:tcW w:w="1016" w:type="dxa"/>
            <w:tcBorders>
              <w:top w:val="single" w:color="auto" w:sz="4" w:space="0"/>
              <w:left w:val="single" w:color="auto" w:sz="4" w:space="0"/>
              <w:bottom w:val="nil"/>
              <w:right w:val="nil"/>
            </w:tcBorders>
            <w:tcMar>
              <w:top w:w="-1" w:type="dxa"/>
              <w:left w:w="-1" w:type="dxa"/>
              <w:bottom w:w="-1" w:type="dxa"/>
              <w:right w:w="-1" w:type="dxa"/>
            </w:tcMar>
            <w:vAlign w:val="center"/>
          </w:tcPr>
          <w:p w14:paraId="035FF3E7">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Time ratio exp</w:t>
            </w:r>
          </w:p>
          <w:p w14:paraId="6DEC7027">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(b)</w:t>
            </w:r>
          </w:p>
        </w:tc>
        <w:tc>
          <w:tcPr>
            <w:tcW w:w="94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1AD600F">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 for time ratio</w:t>
            </w:r>
          </w:p>
        </w:tc>
      </w:tr>
      <w:tr w14:paraId="5E7973A4">
        <w:tblPrEx>
          <w:tblCellMar>
            <w:top w:w="0" w:type="dxa"/>
            <w:left w:w="108" w:type="dxa"/>
            <w:bottom w:w="0" w:type="dxa"/>
            <w:right w:w="108" w:type="dxa"/>
          </w:tblCellMar>
        </w:tblPrEx>
        <w:trPr>
          <w:cantSplit/>
          <w:trHeight w:val="283" w:hRule="atLeast"/>
          <w:jc w:val="center"/>
        </w:trPr>
        <w:tc>
          <w:tcPr>
            <w:tcW w:w="1339" w:type="dxa"/>
            <w:tcBorders>
              <w:top w:val="single" w:color="auto" w:sz="4" w:space="0"/>
              <w:left w:val="single" w:color="auto" w:sz="4" w:space="0"/>
              <w:bottom w:val="nil"/>
              <w:right w:val="nil"/>
            </w:tcBorders>
            <w:tcMar>
              <w:top w:w="-1" w:type="dxa"/>
              <w:left w:w="-1" w:type="dxa"/>
              <w:bottom w:w="-1" w:type="dxa"/>
              <w:right w:w="-1" w:type="dxa"/>
            </w:tcMar>
            <w:vAlign w:val="center"/>
          </w:tcPr>
          <w:p w14:paraId="234BB89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LinkedIn corporate sample</w:t>
            </w:r>
          </w:p>
        </w:tc>
        <w:tc>
          <w:tcPr>
            <w:tcW w:w="941" w:type="dxa"/>
            <w:tcBorders>
              <w:top w:val="single" w:color="auto" w:sz="4" w:space="0"/>
              <w:left w:val="single" w:color="auto" w:sz="4" w:space="0"/>
              <w:bottom w:val="nil"/>
              <w:right w:val="nil"/>
            </w:tcBorders>
            <w:tcMar>
              <w:top w:w="-1" w:type="dxa"/>
              <w:left w:w="-1" w:type="dxa"/>
              <w:bottom w:w="-1" w:type="dxa"/>
              <w:right w:w="-1" w:type="dxa"/>
            </w:tcMar>
            <w:vAlign w:val="center"/>
          </w:tcPr>
          <w:p w14:paraId="59878D3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627,302</w:t>
            </w:r>
          </w:p>
        </w:tc>
        <w:tc>
          <w:tcPr>
            <w:tcW w:w="1163" w:type="dxa"/>
            <w:tcBorders>
              <w:top w:val="single" w:color="auto" w:sz="4" w:space="0"/>
              <w:left w:val="single" w:color="auto" w:sz="4" w:space="0"/>
              <w:bottom w:val="nil"/>
              <w:right w:val="nil"/>
            </w:tcBorders>
            <w:tcMar>
              <w:top w:w="-1" w:type="dxa"/>
              <w:left w:w="-1" w:type="dxa"/>
              <w:bottom w:w="-1" w:type="dxa"/>
              <w:right w:w="-1" w:type="dxa"/>
            </w:tcMar>
            <w:vAlign w:val="center"/>
          </w:tcPr>
          <w:p w14:paraId="7469A8F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25,322</w:t>
            </w:r>
          </w:p>
        </w:tc>
        <w:tc>
          <w:tcPr>
            <w:tcW w:w="1145" w:type="dxa"/>
            <w:tcBorders>
              <w:top w:val="single" w:color="auto" w:sz="4" w:space="0"/>
              <w:left w:val="single" w:color="auto" w:sz="4" w:space="0"/>
              <w:bottom w:val="nil"/>
              <w:right w:val="nil"/>
            </w:tcBorders>
            <w:tcMar>
              <w:top w:w="-1" w:type="dxa"/>
              <w:left w:w="-1" w:type="dxa"/>
              <w:bottom w:w="-1" w:type="dxa"/>
              <w:right w:w="-1" w:type="dxa"/>
            </w:tcMar>
            <w:vAlign w:val="center"/>
          </w:tcPr>
          <w:p w14:paraId="2CDACA09">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-0.062</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4BDFAE96">
            <w:pPr>
              <w:widowControl/>
              <w:snapToGrid w:val="0"/>
              <w:spacing w:before="0" w:after="0" w:line="240" w:lineRule="auto"/>
              <w:jc w:val="center"/>
              <w:textAlignment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bidi="ar"/>
              </w:rPr>
              <w:t>0.00</w:t>
            </w:r>
            <w:r>
              <w:rPr>
                <w:rFonts w:hint="default" w:ascii="Times New Roman" w:hAnsi="Times New Roman" w:eastAsia="宋体" w:cs="Times New Roman"/>
                <w:kern w:val="0"/>
                <w:szCs w:val="21"/>
                <w:lang w:val="en-US" w:eastAsia="zh-CN" w:bidi="ar"/>
              </w:rPr>
              <w:t>5</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406023CC">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-12.72</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1B3C054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978" w:type="dxa"/>
            <w:tcBorders>
              <w:top w:val="single" w:color="auto" w:sz="4" w:space="0"/>
              <w:left w:val="single" w:color="auto" w:sz="4" w:space="0"/>
              <w:bottom w:val="nil"/>
              <w:right w:val="nil"/>
            </w:tcBorders>
            <w:tcMar>
              <w:top w:w="-1" w:type="dxa"/>
              <w:left w:w="-1" w:type="dxa"/>
              <w:bottom w:w="-1" w:type="dxa"/>
              <w:right w:w="-1" w:type="dxa"/>
            </w:tcMar>
            <w:vAlign w:val="center"/>
          </w:tcPr>
          <w:p w14:paraId="44C303F3">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[-0.072, -0.053]</w:t>
            </w:r>
          </w:p>
        </w:tc>
        <w:tc>
          <w:tcPr>
            <w:tcW w:w="1016" w:type="dxa"/>
            <w:tcBorders>
              <w:top w:val="single" w:color="auto" w:sz="4" w:space="0"/>
              <w:left w:val="single" w:color="auto" w:sz="4" w:space="0"/>
              <w:bottom w:val="nil"/>
              <w:right w:val="nil"/>
            </w:tcBorders>
            <w:tcMar>
              <w:top w:w="-1" w:type="dxa"/>
              <w:left w:w="-1" w:type="dxa"/>
              <w:bottom w:w="-1" w:type="dxa"/>
              <w:right w:w="-1" w:type="dxa"/>
            </w:tcMar>
            <w:vAlign w:val="center"/>
          </w:tcPr>
          <w:p w14:paraId="5791837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0.94</w:t>
            </w:r>
          </w:p>
        </w:tc>
        <w:tc>
          <w:tcPr>
            <w:tcW w:w="94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CCF45A4">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[0.931, 0.949]</w:t>
            </w:r>
          </w:p>
        </w:tc>
      </w:tr>
      <w:tr w14:paraId="2D9CD2A7">
        <w:tblPrEx>
          <w:tblCellMar>
            <w:top w:w="0" w:type="dxa"/>
            <w:left w:w="108" w:type="dxa"/>
            <w:bottom w:w="0" w:type="dxa"/>
            <w:right w:w="108" w:type="dxa"/>
          </w:tblCellMar>
        </w:tblPrEx>
        <w:trPr>
          <w:cantSplit/>
          <w:trHeight w:val="283" w:hRule="atLeast"/>
          <w:jc w:val="center"/>
        </w:trPr>
        <w:tc>
          <w:tcPr>
            <w:tcW w:w="133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30D4E74">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Chinese listed-company executive sample</w:t>
            </w:r>
          </w:p>
        </w:tc>
        <w:tc>
          <w:tcPr>
            <w:tcW w:w="94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58724B8">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38,004</w:t>
            </w:r>
          </w:p>
        </w:tc>
        <w:tc>
          <w:tcPr>
            <w:tcW w:w="116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43117D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1,594</w:t>
            </w:r>
          </w:p>
        </w:tc>
        <w:tc>
          <w:tcPr>
            <w:tcW w:w="114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15C053A">
            <w:pPr>
              <w:widowControl/>
              <w:snapToGrid w:val="0"/>
              <w:spacing w:before="0" w:after="0" w:line="240" w:lineRule="auto"/>
              <w:jc w:val="center"/>
              <w:textAlignment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bidi="ar"/>
              </w:rPr>
              <w:t>-0.03</w:t>
            </w:r>
            <w:r>
              <w:rPr>
                <w:rFonts w:hint="default" w:ascii="Times New Roman" w:hAnsi="Times New Roman" w:eastAsia="宋体" w:cs="Times New Roman"/>
                <w:kern w:val="0"/>
                <w:szCs w:val="21"/>
                <w:lang w:val="en-US" w:eastAsia="zh-CN" w:bidi="ar"/>
              </w:rPr>
              <w:t>4</w:t>
            </w:r>
          </w:p>
        </w:tc>
        <w:tc>
          <w:tcPr>
            <w:tcW w:w="87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5E66D26">
            <w:pPr>
              <w:widowControl/>
              <w:snapToGrid w:val="0"/>
              <w:spacing w:before="0" w:after="0" w:line="240" w:lineRule="auto"/>
              <w:jc w:val="center"/>
              <w:textAlignment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bidi="ar"/>
              </w:rPr>
              <w:t>0.02</w:t>
            </w:r>
            <w:r>
              <w:rPr>
                <w:rFonts w:hint="default" w:ascii="Times New Roman" w:hAnsi="Times New Roman" w:eastAsia="宋体" w:cs="Times New Roman"/>
                <w:kern w:val="0"/>
                <w:szCs w:val="21"/>
                <w:lang w:val="en-US" w:eastAsia="zh-CN" w:bidi="ar"/>
              </w:rPr>
              <w:t>6</w:t>
            </w:r>
          </w:p>
        </w:tc>
        <w:tc>
          <w:tcPr>
            <w:tcW w:w="84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B3D448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-1.33</w:t>
            </w:r>
          </w:p>
        </w:tc>
        <w:tc>
          <w:tcPr>
            <w:tcW w:w="84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7E61BE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0.185</w:t>
            </w:r>
          </w:p>
        </w:tc>
        <w:tc>
          <w:tcPr>
            <w:tcW w:w="97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4C6734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[-0.084, 0.016]</w:t>
            </w:r>
          </w:p>
        </w:tc>
        <w:tc>
          <w:tcPr>
            <w:tcW w:w="101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B9767D9">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0.967</w:t>
            </w:r>
          </w:p>
        </w:tc>
        <w:tc>
          <w:tcPr>
            <w:tcW w:w="946"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942D5E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[0.920, 1.016]</w:t>
            </w:r>
          </w:p>
        </w:tc>
      </w:tr>
    </w:tbl>
    <w:p w14:paraId="138E94DB">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Survival time begins at the first observed non-target position; individuals not promoted are right-censored at their last observation. HR values above one indicate faster promotion, and time ratios below one indicate shorter expected promotion time. Models control for gender, industry, and first observed year, plus country in LinkedIn. LinkedIn uses a 5% person-level random sample; the Chinese listed-company analysis uses the full risk set.</w:t>
      </w:r>
      <w:r>
        <w:rPr>
          <w:rFonts w:hint="default" w:ascii="Times New Roman" w:hAnsi="Times New Roman" w:cs="Times New Roman"/>
          <w:b w:val="0"/>
          <w:i w:val="0"/>
          <w:sz w:val="20"/>
          <w:szCs w:val="28"/>
          <w:lang w:val="en-US" w:eastAsia="zh-CN"/>
        </w:rPr>
        <w:t>.</w:t>
      </w:r>
    </w:p>
    <w:p w14:paraId="3FAEA118">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C. Observed promotion duration among promotion completers</w:t>
      </w:r>
    </w:p>
    <w:p w14:paraId="7DC7CE4D">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Subpanel C1. OLS models of observed promotion duration (outcome: years from first observed position to first promotion)</w:t>
      </w:r>
    </w:p>
    <w:tbl>
      <w:tblPr>
        <w:tblStyle w:val="5"/>
        <w:tblW w:w="0" w:type="auto"/>
        <w:jc w:val="center"/>
        <w:tblLayout w:type="fixed"/>
        <w:tblCellMar>
          <w:top w:w="0" w:type="dxa"/>
          <w:left w:w="108" w:type="dxa"/>
          <w:bottom w:w="0" w:type="dxa"/>
          <w:right w:w="108" w:type="dxa"/>
        </w:tblCellMar>
      </w:tblPr>
      <w:tblGrid>
        <w:gridCol w:w="1733"/>
        <w:gridCol w:w="969"/>
        <w:gridCol w:w="1926"/>
        <w:gridCol w:w="932"/>
        <w:gridCol w:w="702"/>
        <w:gridCol w:w="960"/>
        <w:gridCol w:w="1615"/>
        <w:gridCol w:w="868"/>
      </w:tblGrid>
      <w:tr w14:paraId="63753B5F">
        <w:tblPrEx>
          <w:tblCellMar>
            <w:top w:w="0" w:type="dxa"/>
            <w:left w:w="108" w:type="dxa"/>
            <w:bottom w:w="0" w:type="dxa"/>
            <w:right w:w="108" w:type="dxa"/>
          </w:tblCellMar>
        </w:tblPrEx>
        <w:trPr>
          <w:cantSplit/>
          <w:trHeight w:val="283" w:hRule="atLeast"/>
          <w:tblHeader/>
          <w:jc w:val="center"/>
        </w:trPr>
        <w:tc>
          <w:tcPr>
            <w:tcW w:w="1733" w:type="dxa"/>
            <w:tcBorders>
              <w:top w:val="single" w:color="auto" w:sz="4" w:space="0"/>
              <w:left w:val="single" w:color="auto" w:sz="4" w:space="0"/>
              <w:bottom w:val="nil"/>
              <w:right w:val="nil"/>
            </w:tcBorders>
            <w:tcMar>
              <w:top w:w="-1" w:type="dxa"/>
              <w:left w:w="-1" w:type="dxa"/>
              <w:bottom w:w="-1" w:type="dxa"/>
              <w:right w:w="-1" w:type="dxa"/>
            </w:tcMar>
            <w:vAlign w:val="center"/>
          </w:tcPr>
          <w:p w14:paraId="0CFC83D4">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Dataset</w:t>
            </w:r>
          </w:p>
        </w:tc>
        <w:tc>
          <w:tcPr>
            <w:tcW w:w="969" w:type="dxa"/>
            <w:tcBorders>
              <w:top w:val="single" w:color="auto" w:sz="4" w:space="0"/>
              <w:left w:val="single" w:color="auto" w:sz="4" w:space="0"/>
              <w:bottom w:val="nil"/>
              <w:right w:val="nil"/>
            </w:tcBorders>
            <w:tcMar>
              <w:top w:w="-1" w:type="dxa"/>
              <w:left w:w="-1" w:type="dxa"/>
              <w:bottom w:w="-1" w:type="dxa"/>
              <w:right w:w="-1" w:type="dxa"/>
            </w:tcMar>
            <w:vAlign w:val="center"/>
          </w:tcPr>
          <w:p w14:paraId="72BD7D56">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N</w:t>
            </w:r>
          </w:p>
        </w:tc>
        <w:tc>
          <w:tcPr>
            <w:tcW w:w="1926" w:type="dxa"/>
            <w:tcBorders>
              <w:top w:val="single" w:color="auto" w:sz="4" w:space="0"/>
              <w:left w:val="single" w:color="auto" w:sz="4" w:space="0"/>
              <w:bottom w:val="nil"/>
              <w:right w:val="nil"/>
            </w:tcBorders>
            <w:tcMar>
              <w:top w:w="-1" w:type="dxa"/>
              <w:left w:w="-1" w:type="dxa"/>
              <w:bottom w:w="-1" w:type="dxa"/>
              <w:right w:w="-1" w:type="dxa"/>
            </w:tcMar>
            <w:vAlign w:val="center"/>
          </w:tcPr>
          <w:p w14:paraId="67608412">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Elite bachelor’s degreeCoefficient</w:t>
            </w:r>
          </w:p>
          <w:p w14:paraId="6CF9AED2">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 years)</w:t>
            </w:r>
          </w:p>
        </w:tc>
        <w:tc>
          <w:tcPr>
            <w:tcW w:w="932" w:type="dxa"/>
            <w:tcBorders>
              <w:top w:val="single" w:color="auto" w:sz="4" w:space="0"/>
              <w:left w:val="single" w:color="auto" w:sz="4" w:space="0"/>
              <w:bottom w:val="nil"/>
              <w:right w:val="nil"/>
            </w:tcBorders>
            <w:tcMar>
              <w:top w:w="-1" w:type="dxa"/>
              <w:left w:w="-1" w:type="dxa"/>
              <w:bottom w:w="-1" w:type="dxa"/>
              <w:right w:w="-1" w:type="dxa"/>
            </w:tcMar>
            <w:vAlign w:val="center"/>
          </w:tcPr>
          <w:p w14:paraId="2FE5C6E9">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Robust SE</w:t>
            </w:r>
          </w:p>
        </w:tc>
        <w:tc>
          <w:tcPr>
            <w:tcW w:w="702" w:type="dxa"/>
            <w:tcBorders>
              <w:top w:val="single" w:color="auto" w:sz="4" w:space="0"/>
              <w:left w:val="single" w:color="auto" w:sz="4" w:space="0"/>
              <w:bottom w:val="nil"/>
              <w:right w:val="nil"/>
            </w:tcBorders>
            <w:tcMar>
              <w:top w:w="-1" w:type="dxa"/>
              <w:left w:w="-1" w:type="dxa"/>
              <w:bottom w:w="-1" w:type="dxa"/>
              <w:right w:w="-1" w:type="dxa"/>
            </w:tcMar>
            <w:vAlign w:val="center"/>
          </w:tcPr>
          <w:p w14:paraId="6CDDBE83">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t</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4FD2EA20">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p-value</w:t>
            </w:r>
          </w:p>
        </w:tc>
        <w:tc>
          <w:tcPr>
            <w:tcW w:w="1615" w:type="dxa"/>
            <w:tcBorders>
              <w:top w:val="single" w:color="auto" w:sz="4" w:space="0"/>
              <w:left w:val="single" w:color="auto" w:sz="4" w:space="0"/>
              <w:bottom w:val="nil"/>
              <w:right w:val="nil"/>
            </w:tcBorders>
            <w:tcMar>
              <w:top w:w="-1" w:type="dxa"/>
              <w:left w:w="-1" w:type="dxa"/>
              <w:bottom w:w="-1" w:type="dxa"/>
              <w:right w:w="-1" w:type="dxa"/>
            </w:tcMar>
            <w:vAlign w:val="center"/>
          </w:tcPr>
          <w:p w14:paraId="482C48F3">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w:t>
            </w:r>
          </w:p>
        </w:tc>
        <w:tc>
          <w:tcPr>
            <w:tcW w:w="86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00325C1">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R²</w:t>
            </w:r>
          </w:p>
        </w:tc>
      </w:tr>
      <w:tr w14:paraId="4B4EEC9E">
        <w:tblPrEx>
          <w:tblCellMar>
            <w:top w:w="0" w:type="dxa"/>
            <w:left w:w="108" w:type="dxa"/>
            <w:bottom w:w="0" w:type="dxa"/>
            <w:right w:w="108" w:type="dxa"/>
          </w:tblCellMar>
        </w:tblPrEx>
        <w:trPr>
          <w:cantSplit/>
          <w:trHeight w:val="387" w:hRule="atLeast"/>
          <w:jc w:val="center"/>
        </w:trPr>
        <w:tc>
          <w:tcPr>
            <w:tcW w:w="1733" w:type="dxa"/>
            <w:tcBorders>
              <w:top w:val="single" w:color="auto" w:sz="4" w:space="0"/>
              <w:left w:val="single" w:color="auto" w:sz="4" w:space="0"/>
              <w:bottom w:val="nil"/>
              <w:right w:val="nil"/>
            </w:tcBorders>
            <w:tcMar>
              <w:top w:w="-1" w:type="dxa"/>
              <w:left w:w="-1" w:type="dxa"/>
              <w:bottom w:w="-1" w:type="dxa"/>
              <w:right w:w="-1" w:type="dxa"/>
            </w:tcMar>
            <w:vAlign w:val="center"/>
          </w:tcPr>
          <w:p w14:paraId="11D98989">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LinkedIn corporate sample</w:t>
            </w:r>
          </w:p>
        </w:tc>
        <w:tc>
          <w:tcPr>
            <w:tcW w:w="969" w:type="dxa"/>
            <w:tcBorders>
              <w:top w:val="single" w:color="auto" w:sz="4" w:space="0"/>
              <w:left w:val="single" w:color="auto" w:sz="4" w:space="0"/>
              <w:bottom w:val="nil"/>
              <w:right w:val="nil"/>
            </w:tcBorders>
            <w:tcMar>
              <w:top w:w="-1" w:type="dxa"/>
              <w:left w:w="-1" w:type="dxa"/>
              <w:bottom w:w="-1" w:type="dxa"/>
              <w:right w:w="-1" w:type="dxa"/>
            </w:tcMar>
            <w:vAlign w:val="center"/>
          </w:tcPr>
          <w:p w14:paraId="1D64E6B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503,066</w:t>
            </w:r>
          </w:p>
        </w:tc>
        <w:tc>
          <w:tcPr>
            <w:tcW w:w="1926" w:type="dxa"/>
            <w:tcBorders>
              <w:top w:val="single" w:color="auto" w:sz="4" w:space="0"/>
              <w:left w:val="single" w:color="auto" w:sz="4" w:space="0"/>
              <w:bottom w:val="nil"/>
              <w:right w:val="nil"/>
            </w:tcBorders>
            <w:tcMar>
              <w:top w:w="-1" w:type="dxa"/>
              <w:left w:w="-1" w:type="dxa"/>
              <w:bottom w:w="-1" w:type="dxa"/>
              <w:right w:w="-1" w:type="dxa"/>
            </w:tcMar>
            <w:vAlign w:val="center"/>
          </w:tcPr>
          <w:p w14:paraId="5967CE9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-0.181</w:t>
            </w:r>
          </w:p>
        </w:tc>
        <w:tc>
          <w:tcPr>
            <w:tcW w:w="932" w:type="dxa"/>
            <w:tcBorders>
              <w:top w:val="single" w:color="auto" w:sz="4" w:space="0"/>
              <w:left w:val="single" w:color="auto" w:sz="4" w:space="0"/>
              <w:bottom w:val="nil"/>
              <w:right w:val="nil"/>
            </w:tcBorders>
            <w:tcMar>
              <w:top w:w="-1" w:type="dxa"/>
              <w:left w:w="-1" w:type="dxa"/>
              <w:bottom w:w="-1" w:type="dxa"/>
              <w:right w:w="-1" w:type="dxa"/>
            </w:tcMar>
            <w:vAlign w:val="center"/>
          </w:tcPr>
          <w:p w14:paraId="4622542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0.0172</w:t>
            </w:r>
          </w:p>
        </w:tc>
        <w:tc>
          <w:tcPr>
            <w:tcW w:w="702" w:type="dxa"/>
            <w:tcBorders>
              <w:top w:val="single" w:color="auto" w:sz="4" w:space="0"/>
              <w:left w:val="single" w:color="auto" w:sz="4" w:space="0"/>
              <w:bottom w:val="nil"/>
              <w:right w:val="nil"/>
            </w:tcBorders>
            <w:tcMar>
              <w:top w:w="-1" w:type="dxa"/>
              <w:left w:w="-1" w:type="dxa"/>
              <w:bottom w:w="-1" w:type="dxa"/>
              <w:right w:w="-1" w:type="dxa"/>
            </w:tcMar>
            <w:vAlign w:val="center"/>
          </w:tcPr>
          <w:p w14:paraId="2A462D4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-10.5</w:t>
            </w:r>
          </w:p>
        </w:tc>
        <w:tc>
          <w:tcPr>
            <w:tcW w:w="960" w:type="dxa"/>
            <w:tcBorders>
              <w:top w:val="single" w:color="auto" w:sz="4" w:space="0"/>
              <w:left w:val="single" w:color="auto" w:sz="4" w:space="0"/>
              <w:bottom w:val="nil"/>
              <w:right w:val="nil"/>
            </w:tcBorders>
            <w:tcMar>
              <w:top w:w="-1" w:type="dxa"/>
              <w:left w:w="-1" w:type="dxa"/>
              <w:bottom w:w="-1" w:type="dxa"/>
              <w:right w:w="-1" w:type="dxa"/>
            </w:tcMar>
            <w:vAlign w:val="center"/>
          </w:tcPr>
          <w:p w14:paraId="66F7F573">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615" w:type="dxa"/>
            <w:tcBorders>
              <w:top w:val="single" w:color="auto" w:sz="4" w:space="0"/>
              <w:left w:val="single" w:color="auto" w:sz="4" w:space="0"/>
              <w:bottom w:val="nil"/>
              <w:right w:val="nil"/>
            </w:tcBorders>
            <w:tcMar>
              <w:top w:w="-1" w:type="dxa"/>
              <w:left w:w="-1" w:type="dxa"/>
              <w:bottom w:w="-1" w:type="dxa"/>
              <w:right w:w="-1" w:type="dxa"/>
            </w:tcMar>
            <w:vAlign w:val="center"/>
          </w:tcPr>
          <w:p w14:paraId="0D265FB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[-0.215, -0.147]</w:t>
            </w:r>
          </w:p>
        </w:tc>
        <w:tc>
          <w:tcPr>
            <w:tcW w:w="86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AC906C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0.3863</w:t>
            </w:r>
          </w:p>
        </w:tc>
      </w:tr>
      <w:tr w14:paraId="1D7E4592">
        <w:tblPrEx>
          <w:tblCellMar>
            <w:top w:w="0" w:type="dxa"/>
            <w:left w:w="108" w:type="dxa"/>
            <w:bottom w:w="0" w:type="dxa"/>
            <w:right w:w="108" w:type="dxa"/>
          </w:tblCellMar>
        </w:tblPrEx>
        <w:trPr>
          <w:cantSplit/>
          <w:trHeight w:val="214" w:hRule="atLeast"/>
          <w:jc w:val="center"/>
        </w:trPr>
        <w:tc>
          <w:tcPr>
            <w:tcW w:w="173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956CE6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Chinese listed-company executive sample</w:t>
            </w:r>
          </w:p>
        </w:tc>
        <w:tc>
          <w:tcPr>
            <w:tcW w:w="96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F68B639">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1,594</w:t>
            </w:r>
          </w:p>
        </w:tc>
        <w:tc>
          <w:tcPr>
            <w:tcW w:w="192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A07D11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0.117</w:t>
            </w:r>
          </w:p>
        </w:tc>
        <w:tc>
          <w:tcPr>
            <w:tcW w:w="93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A76CC9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0.1167</w:t>
            </w:r>
          </w:p>
        </w:tc>
        <w:tc>
          <w:tcPr>
            <w:tcW w:w="70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4D53504">
            <w:pPr>
              <w:widowControl/>
              <w:snapToGrid w:val="0"/>
              <w:spacing w:before="0" w:after="0" w:line="240" w:lineRule="auto"/>
              <w:jc w:val="center"/>
              <w:textAlignment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bidi="ar"/>
              </w:rPr>
              <w:t>1</w:t>
            </w:r>
            <w:r>
              <w:rPr>
                <w:rFonts w:hint="default" w:ascii="Times New Roman" w:hAnsi="Times New Roman" w:eastAsia="宋体" w:cs="Times New Roman"/>
                <w:kern w:val="0"/>
                <w:szCs w:val="21"/>
                <w:lang w:val="en-US" w:eastAsia="zh-CN" w:bidi="ar"/>
              </w:rPr>
              <w:t>.00</w:t>
            </w:r>
          </w:p>
        </w:tc>
        <w:tc>
          <w:tcPr>
            <w:tcW w:w="96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E2DEB3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0.316</w:t>
            </w:r>
          </w:p>
        </w:tc>
        <w:tc>
          <w:tcPr>
            <w:tcW w:w="161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7CE073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[-0.112, 0.346]</w:t>
            </w:r>
          </w:p>
        </w:tc>
        <w:tc>
          <w:tcPr>
            <w:tcW w:w="86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9C0AADB">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0.1524</w:t>
            </w:r>
          </w:p>
        </w:tc>
      </w:tr>
    </w:tbl>
    <w:p w14:paraId="70FE68A8">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 xml:space="preserve">Subpanel </w:t>
      </w:r>
      <w:r>
        <w:rPr>
          <w:rFonts w:hint="default" w:ascii="Times New Roman" w:hAnsi="Times New Roman" w:cs="Times New Roman"/>
          <w:sz w:val="20"/>
          <w:szCs w:val="28"/>
          <w:lang w:val="en-US" w:eastAsia="zh-CN"/>
        </w:rPr>
        <w:t>C2</w:t>
      </w:r>
      <w:r>
        <w:rPr>
          <w:rFonts w:hint="default" w:ascii="Times New Roman" w:hAnsi="Times New Roman" w:cs="Times New Roman"/>
          <w:sz w:val="20"/>
          <w:szCs w:val="28"/>
        </w:rPr>
        <w:t>. Weighted ATET and potential-outcome means</w:t>
      </w:r>
    </w:p>
    <w:tbl>
      <w:tblPr>
        <w:tblStyle w:val="5"/>
        <w:tblW w:w="0" w:type="auto"/>
        <w:jc w:val="center"/>
        <w:tblLayout w:type="fixed"/>
        <w:tblCellMar>
          <w:top w:w="0" w:type="dxa"/>
          <w:left w:w="108" w:type="dxa"/>
          <w:bottom w:w="0" w:type="dxa"/>
          <w:right w:w="108" w:type="dxa"/>
        </w:tblCellMar>
      </w:tblPr>
      <w:tblGrid>
        <w:gridCol w:w="1701"/>
        <w:gridCol w:w="941"/>
        <w:gridCol w:w="905"/>
        <w:gridCol w:w="692"/>
        <w:gridCol w:w="942"/>
        <w:gridCol w:w="1393"/>
        <w:gridCol w:w="2644"/>
      </w:tblGrid>
      <w:tr w14:paraId="5ACDA695">
        <w:tblPrEx>
          <w:tblCellMar>
            <w:top w:w="0" w:type="dxa"/>
            <w:left w:w="108" w:type="dxa"/>
            <w:bottom w:w="0" w:type="dxa"/>
            <w:right w:w="108" w:type="dxa"/>
          </w:tblCellMar>
        </w:tblPrEx>
        <w:trPr>
          <w:cantSplit/>
          <w:trHeight w:val="283" w:hRule="atLeast"/>
          <w:tblHeader/>
          <w:jc w:val="center"/>
        </w:trPr>
        <w:tc>
          <w:tcPr>
            <w:tcW w:w="1701" w:type="dxa"/>
            <w:tcBorders>
              <w:top w:val="single" w:color="auto" w:sz="4" w:space="0"/>
              <w:left w:val="single" w:color="auto" w:sz="4" w:space="0"/>
              <w:bottom w:val="nil"/>
              <w:right w:val="nil"/>
            </w:tcBorders>
            <w:tcMar>
              <w:top w:w="-1" w:type="dxa"/>
              <w:left w:w="-1" w:type="dxa"/>
              <w:bottom w:w="-1" w:type="dxa"/>
              <w:right w:w="-1" w:type="dxa"/>
            </w:tcMar>
            <w:vAlign w:val="center"/>
          </w:tcPr>
          <w:p w14:paraId="2385096A">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Dataset</w:t>
            </w:r>
          </w:p>
        </w:tc>
        <w:tc>
          <w:tcPr>
            <w:tcW w:w="941" w:type="dxa"/>
            <w:tcBorders>
              <w:top w:val="single" w:color="auto" w:sz="4" w:space="0"/>
              <w:left w:val="single" w:color="auto" w:sz="4" w:space="0"/>
              <w:bottom w:val="nil"/>
              <w:right w:val="nil"/>
            </w:tcBorders>
            <w:tcMar>
              <w:top w:w="-1" w:type="dxa"/>
              <w:left w:w="-1" w:type="dxa"/>
              <w:bottom w:w="-1" w:type="dxa"/>
              <w:right w:w="-1" w:type="dxa"/>
            </w:tcMar>
            <w:vAlign w:val="center"/>
          </w:tcPr>
          <w:p w14:paraId="7B32F5E9">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ATET</w:t>
            </w:r>
          </w:p>
          <w:p w14:paraId="6EEDA2F8">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 years)</w:t>
            </w:r>
          </w:p>
        </w:tc>
        <w:tc>
          <w:tcPr>
            <w:tcW w:w="905" w:type="dxa"/>
            <w:tcBorders>
              <w:top w:val="single" w:color="auto" w:sz="4" w:space="0"/>
              <w:left w:val="single" w:color="auto" w:sz="4" w:space="0"/>
              <w:bottom w:val="nil"/>
              <w:right w:val="nil"/>
            </w:tcBorders>
            <w:tcMar>
              <w:top w:w="-1" w:type="dxa"/>
              <w:left w:w="-1" w:type="dxa"/>
              <w:bottom w:w="-1" w:type="dxa"/>
              <w:right w:w="-1" w:type="dxa"/>
            </w:tcMar>
            <w:vAlign w:val="center"/>
          </w:tcPr>
          <w:p w14:paraId="0E091D16">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Robust SE</w:t>
            </w:r>
          </w:p>
        </w:tc>
        <w:tc>
          <w:tcPr>
            <w:tcW w:w="692" w:type="dxa"/>
            <w:tcBorders>
              <w:top w:val="single" w:color="auto" w:sz="4" w:space="0"/>
              <w:left w:val="single" w:color="auto" w:sz="4" w:space="0"/>
              <w:bottom w:val="nil"/>
              <w:right w:val="nil"/>
            </w:tcBorders>
            <w:tcMar>
              <w:top w:w="-1" w:type="dxa"/>
              <w:left w:w="-1" w:type="dxa"/>
              <w:bottom w:w="-1" w:type="dxa"/>
              <w:right w:w="-1" w:type="dxa"/>
            </w:tcMar>
            <w:vAlign w:val="center"/>
          </w:tcPr>
          <w:p w14:paraId="6F05AB44">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z</w:t>
            </w:r>
          </w:p>
        </w:tc>
        <w:tc>
          <w:tcPr>
            <w:tcW w:w="942" w:type="dxa"/>
            <w:tcBorders>
              <w:top w:val="single" w:color="auto" w:sz="4" w:space="0"/>
              <w:left w:val="single" w:color="auto" w:sz="4" w:space="0"/>
              <w:bottom w:val="nil"/>
              <w:right w:val="nil"/>
            </w:tcBorders>
            <w:tcMar>
              <w:top w:w="-1" w:type="dxa"/>
              <w:left w:w="-1" w:type="dxa"/>
              <w:bottom w:w="-1" w:type="dxa"/>
              <w:right w:w="-1" w:type="dxa"/>
            </w:tcMar>
            <w:vAlign w:val="center"/>
          </w:tcPr>
          <w:p w14:paraId="65AEF9FA">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p-value</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62D73953">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w:t>
            </w:r>
          </w:p>
        </w:tc>
        <w:tc>
          <w:tcPr>
            <w:tcW w:w="2644"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A454C0D">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Counterfactual promotion duration under non-elite bachelor’s (years)</w:t>
            </w:r>
          </w:p>
        </w:tc>
      </w:tr>
      <w:tr w14:paraId="1D2C1AEF">
        <w:tblPrEx>
          <w:tblCellMar>
            <w:top w:w="0" w:type="dxa"/>
            <w:left w:w="108" w:type="dxa"/>
            <w:bottom w:w="0" w:type="dxa"/>
            <w:right w:w="108" w:type="dxa"/>
          </w:tblCellMar>
        </w:tblPrEx>
        <w:trPr>
          <w:cantSplit/>
          <w:trHeight w:val="283" w:hRule="atLeast"/>
          <w:jc w:val="center"/>
        </w:trPr>
        <w:tc>
          <w:tcPr>
            <w:tcW w:w="1701" w:type="dxa"/>
            <w:tcBorders>
              <w:top w:val="single" w:color="auto" w:sz="4" w:space="0"/>
              <w:left w:val="single" w:color="auto" w:sz="4" w:space="0"/>
              <w:bottom w:val="nil"/>
              <w:right w:val="nil"/>
            </w:tcBorders>
            <w:tcMar>
              <w:top w:w="-1" w:type="dxa"/>
              <w:left w:w="-1" w:type="dxa"/>
              <w:bottom w:w="-1" w:type="dxa"/>
              <w:right w:w="-1" w:type="dxa"/>
            </w:tcMar>
            <w:vAlign w:val="center"/>
          </w:tcPr>
          <w:p w14:paraId="0BA359E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LinkedIn corporate sample</w:t>
            </w:r>
          </w:p>
        </w:tc>
        <w:tc>
          <w:tcPr>
            <w:tcW w:w="941" w:type="dxa"/>
            <w:tcBorders>
              <w:top w:val="single" w:color="auto" w:sz="4" w:space="0"/>
              <w:left w:val="single" w:color="auto" w:sz="4" w:space="0"/>
              <w:bottom w:val="nil"/>
              <w:right w:val="nil"/>
            </w:tcBorders>
            <w:tcMar>
              <w:top w:w="-1" w:type="dxa"/>
              <w:left w:w="-1" w:type="dxa"/>
              <w:bottom w:w="-1" w:type="dxa"/>
              <w:right w:w="-1" w:type="dxa"/>
            </w:tcMar>
            <w:vAlign w:val="center"/>
          </w:tcPr>
          <w:p w14:paraId="4158E09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-0.146</w:t>
            </w:r>
          </w:p>
        </w:tc>
        <w:tc>
          <w:tcPr>
            <w:tcW w:w="905" w:type="dxa"/>
            <w:tcBorders>
              <w:top w:val="single" w:color="auto" w:sz="4" w:space="0"/>
              <w:left w:val="single" w:color="auto" w:sz="4" w:space="0"/>
              <w:bottom w:val="nil"/>
              <w:right w:val="nil"/>
            </w:tcBorders>
            <w:tcMar>
              <w:top w:w="-1" w:type="dxa"/>
              <w:left w:w="-1" w:type="dxa"/>
              <w:bottom w:w="-1" w:type="dxa"/>
              <w:right w:w="-1" w:type="dxa"/>
            </w:tcMar>
            <w:vAlign w:val="center"/>
          </w:tcPr>
          <w:p w14:paraId="033E0AD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0.0181</w:t>
            </w:r>
          </w:p>
        </w:tc>
        <w:tc>
          <w:tcPr>
            <w:tcW w:w="692" w:type="dxa"/>
            <w:tcBorders>
              <w:top w:val="single" w:color="auto" w:sz="4" w:space="0"/>
              <w:left w:val="single" w:color="auto" w:sz="4" w:space="0"/>
              <w:bottom w:val="nil"/>
              <w:right w:val="nil"/>
            </w:tcBorders>
            <w:tcMar>
              <w:top w:w="-1" w:type="dxa"/>
              <w:left w:w="-1" w:type="dxa"/>
              <w:bottom w:w="-1" w:type="dxa"/>
              <w:right w:w="-1" w:type="dxa"/>
            </w:tcMar>
            <w:vAlign w:val="center"/>
          </w:tcPr>
          <w:p w14:paraId="0DF177C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-8.04</w:t>
            </w:r>
          </w:p>
        </w:tc>
        <w:tc>
          <w:tcPr>
            <w:tcW w:w="942" w:type="dxa"/>
            <w:tcBorders>
              <w:top w:val="single" w:color="auto" w:sz="4" w:space="0"/>
              <w:left w:val="single" w:color="auto" w:sz="4" w:space="0"/>
              <w:bottom w:val="nil"/>
              <w:right w:val="nil"/>
            </w:tcBorders>
            <w:tcMar>
              <w:top w:w="-1" w:type="dxa"/>
              <w:left w:w="-1" w:type="dxa"/>
              <w:bottom w:w="-1" w:type="dxa"/>
              <w:right w:w="-1" w:type="dxa"/>
            </w:tcMar>
            <w:vAlign w:val="center"/>
          </w:tcPr>
          <w:p w14:paraId="3A39CCA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393" w:type="dxa"/>
            <w:tcBorders>
              <w:top w:val="single" w:color="auto" w:sz="4" w:space="0"/>
              <w:left w:val="single" w:color="auto" w:sz="4" w:space="0"/>
              <w:bottom w:val="nil"/>
              <w:right w:val="nil"/>
            </w:tcBorders>
            <w:tcMar>
              <w:top w:w="-1" w:type="dxa"/>
              <w:left w:w="-1" w:type="dxa"/>
              <w:bottom w:w="-1" w:type="dxa"/>
              <w:right w:w="-1" w:type="dxa"/>
            </w:tcMar>
            <w:vAlign w:val="center"/>
          </w:tcPr>
          <w:p w14:paraId="7D32CB9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[-0.182, -0.110]</w:t>
            </w:r>
          </w:p>
        </w:tc>
        <w:tc>
          <w:tcPr>
            <w:tcW w:w="2644"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61D0DE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11.88</w:t>
            </w:r>
          </w:p>
        </w:tc>
      </w:tr>
      <w:tr w14:paraId="253F5ACB">
        <w:tblPrEx>
          <w:tblCellMar>
            <w:top w:w="0" w:type="dxa"/>
            <w:left w:w="108" w:type="dxa"/>
            <w:bottom w:w="0" w:type="dxa"/>
            <w:right w:w="108" w:type="dxa"/>
          </w:tblCellMar>
        </w:tblPrEx>
        <w:trPr>
          <w:cantSplit/>
          <w:trHeight w:val="283" w:hRule="atLeast"/>
          <w:jc w:val="center"/>
        </w:trPr>
        <w:tc>
          <w:tcPr>
            <w:tcW w:w="170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9A4AE8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Chinese listed-company executive sample</w:t>
            </w:r>
          </w:p>
        </w:tc>
        <w:tc>
          <w:tcPr>
            <w:tcW w:w="94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8DDF3A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0.075</w:t>
            </w:r>
          </w:p>
        </w:tc>
        <w:tc>
          <w:tcPr>
            <w:tcW w:w="90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FA2F199">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0.1261</w:t>
            </w:r>
          </w:p>
        </w:tc>
        <w:tc>
          <w:tcPr>
            <w:tcW w:w="69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5322E7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0.59</w:t>
            </w:r>
          </w:p>
        </w:tc>
        <w:tc>
          <w:tcPr>
            <w:tcW w:w="94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F3AA86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0.553</w:t>
            </w:r>
          </w:p>
        </w:tc>
        <w:tc>
          <w:tcPr>
            <w:tcW w:w="139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7BAE6AA">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[-0.172, 0.322]</w:t>
            </w:r>
          </w:p>
        </w:tc>
        <w:tc>
          <w:tcPr>
            <w:tcW w:w="2644"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38828C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3.019</w:t>
            </w:r>
          </w:p>
        </w:tc>
      </w:tr>
    </w:tbl>
    <w:p w14:paraId="26933741">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table includes individuals who completed a first promotion during the full observation period and is not limited to the fixed window in Appendix Table 17, Panel A. OLS models control for gender, industry, and first observed year, plus country in LinkedIn; weighting uses the same variables and achieves zero standardized mean differences. Negative coefficients or ATETs indicate shorter promotion duration for elite-bachelor’s individuals. Because right-censored observations are excluded, these estimates supplement the survival analyses</w:t>
      </w:r>
      <w:r>
        <w:rPr>
          <w:rFonts w:hint="default" w:ascii="Times New Roman" w:hAnsi="Times New Roman" w:cs="Times New Roman"/>
          <w:b w:val="0"/>
          <w:i w:val="0"/>
          <w:sz w:val="20"/>
          <w:szCs w:val="28"/>
          <w:lang w:val="en-US" w:eastAsia="zh-CN"/>
        </w:rPr>
        <w:t>.</w:t>
      </w:r>
    </w:p>
    <w:p w14:paraId="61760362">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D. Discrete-time first-promotion models</w:t>
      </w:r>
    </w:p>
    <w:tbl>
      <w:tblPr>
        <w:tblStyle w:val="5"/>
        <w:tblW w:w="0" w:type="auto"/>
        <w:jc w:val="center"/>
        <w:tblLayout w:type="fixed"/>
        <w:tblCellMar>
          <w:top w:w="0" w:type="dxa"/>
          <w:left w:w="108" w:type="dxa"/>
          <w:bottom w:w="0" w:type="dxa"/>
          <w:right w:w="108" w:type="dxa"/>
        </w:tblCellMar>
      </w:tblPr>
      <w:tblGrid>
        <w:gridCol w:w="2353"/>
        <w:gridCol w:w="1449"/>
        <w:gridCol w:w="2557"/>
        <w:gridCol w:w="840"/>
        <w:gridCol w:w="1431"/>
        <w:gridCol w:w="886"/>
      </w:tblGrid>
      <w:tr w14:paraId="406C8D55">
        <w:tblPrEx>
          <w:tblCellMar>
            <w:top w:w="0" w:type="dxa"/>
            <w:left w:w="108" w:type="dxa"/>
            <w:bottom w:w="0" w:type="dxa"/>
            <w:right w:w="108" w:type="dxa"/>
          </w:tblCellMar>
        </w:tblPrEx>
        <w:trPr>
          <w:trHeight w:val="283" w:hRule="atLeast"/>
          <w:jc w:val="center"/>
        </w:trPr>
        <w:tc>
          <w:tcPr>
            <w:tcW w:w="2353"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07A555DF">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Dataset</w:t>
            </w:r>
          </w:p>
        </w:tc>
        <w:tc>
          <w:tcPr>
            <w:tcW w:w="144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48CD2C5">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Person-year observations</w:t>
            </w:r>
          </w:p>
        </w:tc>
        <w:tc>
          <w:tcPr>
            <w:tcW w:w="255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3553411">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Model</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3DE590F">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 xml:space="preserve">OR </w:t>
            </w:r>
          </w:p>
        </w:tc>
        <w:tc>
          <w:tcPr>
            <w:tcW w:w="143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F30ACFE">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w:t>
            </w:r>
          </w:p>
        </w:tc>
        <w:tc>
          <w:tcPr>
            <w:tcW w:w="88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C81B182">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p</w:t>
            </w:r>
          </w:p>
        </w:tc>
      </w:tr>
      <w:tr w14:paraId="40F571F1">
        <w:tblPrEx>
          <w:tblCellMar>
            <w:top w:w="0" w:type="dxa"/>
            <w:left w:w="108" w:type="dxa"/>
            <w:bottom w:w="0" w:type="dxa"/>
            <w:right w:w="108" w:type="dxa"/>
          </w:tblCellMar>
        </w:tblPrEx>
        <w:trPr>
          <w:trHeight w:val="283" w:hRule="atLeast"/>
          <w:jc w:val="center"/>
        </w:trPr>
        <w:tc>
          <w:tcPr>
            <w:tcW w:w="235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B5850F8">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LinkedIn corporate sample</w:t>
            </w:r>
          </w:p>
        </w:tc>
        <w:tc>
          <w:tcPr>
            <w:tcW w:w="14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F1EE57B">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1,816,079</w:t>
            </w:r>
          </w:p>
        </w:tc>
        <w:tc>
          <w:tcPr>
            <w:tcW w:w="255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C33A1F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Discrete-time logit OR</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25F4AA7">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1.198</w:t>
            </w:r>
          </w:p>
        </w:tc>
        <w:tc>
          <w:tcPr>
            <w:tcW w:w="143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358463">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[1.149, 1.250]</w:t>
            </w:r>
          </w:p>
        </w:tc>
        <w:tc>
          <w:tcPr>
            <w:tcW w:w="88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7C95E6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r>
      <w:tr w14:paraId="36A80EED">
        <w:tblPrEx>
          <w:tblCellMar>
            <w:top w:w="0" w:type="dxa"/>
            <w:left w:w="108" w:type="dxa"/>
            <w:bottom w:w="0" w:type="dxa"/>
            <w:right w:w="108" w:type="dxa"/>
          </w:tblCellMar>
        </w:tblPrEx>
        <w:trPr>
          <w:trHeight w:val="283" w:hRule="atLeast"/>
          <w:jc w:val="center"/>
        </w:trPr>
        <w:tc>
          <w:tcPr>
            <w:tcW w:w="2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84FD2E5">
            <w:pPr>
              <w:widowControl/>
              <w:snapToGrid w:val="0"/>
              <w:jc w:val="center"/>
              <w:textAlignment w:val="center"/>
              <w:rPr>
                <w:rFonts w:hint="default" w:ascii="Times New Roman" w:hAnsi="Times New Roman" w:eastAsia="宋体" w:cs="Times New Roman"/>
                <w:kern w:val="0"/>
                <w:szCs w:val="21"/>
                <w:lang w:bidi="ar"/>
              </w:rPr>
            </w:pPr>
          </w:p>
        </w:tc>
        <w:tc>
          <w:tcPr>
            <w:tcW w:w="14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E41C9CC">
            <w:pPr>
              <w:widowControl/>
              <w:snapToGrid w:val="0"/>
              <w:jc w:val="center"/>
              <w:textAlignment w:val="center"/>
              <w:rPr>
                <w:rFonts w:hint="default" w:ascii="Times New Roman" w:hAnsi="Times New Roman" w:eastAsia="宋体" w:cs="Times New Roman"/>
                <w:kern w:val="0"/>
                <w:szCs w:val="21"/>
                <w:lang w:bidi="ar"/>
              </w:rPr>
            </w:pPr>
          </w:p>
        </w:tc>
        <w:tc>
          <w:tcPr>
            <w:tcW w:w="255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669B6BC">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Complementarylog-log HR</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05D516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1.197</w:t>
            </w:r>
          </w:p>
        </w:tc>
        <w:tc>
          <w:tcPr>
            <w:tcW w:w="143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1391D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[1.148, 1.248]</w:t>
            </w:r>
          </w:p>
        </w:tc>
        <w:tc>
          <w:tcPr>
            <w:tcW w:w="88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8CD7D4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p>
        </w:tc>
      </w:tr>
      <w:tr w14:paraId="17C77ACB">
        <w:tblPrEx>
          <w:tblCellMar>
            <w:top w:w="0" w:type="dxa"/>
            <w:left w:w="108" w:type="dxa"/>
            <w:bottom w:w="0" w:type="dxa"/>
            <w:right w:w="108" w:type="dxa"/>
          </w:tblCellMar>
        </w:tblPrEx>
        <w:trPr>
          <w:trHeight w:val="283" w:hRule="atLeast"/>
          <w:jc w:val="center"/>
        </w:trPr>
        <w:tc>
          <w:tcPr>
            <w:tcW w:w="235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A9A488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Chinese listed-company executive sample</w:t>
            </w:r>
          </w:p>
        </w:tc>
        <w:tc>
          <w:tcPr>
            <w:tcW w:w="14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D4A2CC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112,597</w:t>
            </w:r>
          </w:p>
        </w:tc>
        <w:tc>
          <w:tcPr>
            <w:tcW w:w="255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07348F0">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Discrete-time logit OR</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313D263">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1.085</w:t>
            </w:r>
          </w:p>
        </w:tc>
        <w:tc>
          <w:tcPr>
            <w:tcW w:w="143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CE616B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[0.980, 1.200]</w:t>
            </w:r>
          </w:p>
        </w:tc>
        <w:tc>
          <w:tcPr>
            <w:tcW w:w="88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4F6867A">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1.084</w:t>
            </w:r>
          </w:p>
        </w:tc>
      </w:tr>
      <w:tr w14:paraId="6F43B6A1">
        <w:tblPrEx>
          <w:tblCellMar>
            <w:top w:w="0" w:type="dxa"/>
            <w:left w:w="108" w:type="dxa"/>
            <w:bottom w:w="0" w:type="dxa"/>
            <w:right w:w="108" w:type="dxa"/>
          </w:tblCellMar>
        </w:tblPrEx>
        <w:trPr>
          <w:trHeight w:val="283" w:hRule="atLeast"/>
          <w:jc w:val="center"/>
        </w:trPr>
        <w:tc>
          <w:tcPr>
            <w:tcW w:w="235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EA8904F">
            <w:pPr>
              <w:widowControl/>
              <w:snapToGrid w:val="0"/>
              <w:jc w:val="center"/>
              <w:textAlignment w:val="center"/>
              <w:rPr>
                <w:rFonts w:hint="default" w:ascii="Times New Roman" w:hAnsi="Times New Roman" w:eastAsia="宋体" w:cs="Times New Roman"/>
                <w:kern w:val="0"/>
                <w:szCs w:val="21"/>
                <w:lang w:bidi="ar"/>
              </w:rPr>
            </w:pPr>
          </w:p>
        </w:tc>
        <w:tc>
          <w:tcPr>
            <w:tcW w:w="14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75B43C5">
            <w:pPr>
              <w:widowControl/>
              <w:snapToGrid w:val="0"/>
              <w:jc w:val="center"/>
              <w:textAlignment w:val="center"/>
              <w:rPr>
                <w:rFonts w:hint="default" w:ascii="Times New Roman" w:hAnsi="Times New Roman" w:eastAsia="宋体" w:cs="Times New Roman"/>
                <w:kern w:val="0"/>
                <w:szCs w:val="21"/>
                <w:lang w:bidi="ar"/>
              </w:rPr>
            </w:pPr>
          </w:p>
        </w:tc>
        <w:tc>
          <w:tcPr>
            <w:tcW w:w="255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8039638">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Complementarylog-log HR</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DDCDC3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0.116</w:t>
            </w:r>
          </w:p>
        </w:tc>
        <w:tc>
          <w:tcPr>
            <w:tcW w:w="143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548449C">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[0.980, 1.198]</w:t>
            </w:r>
          </w:p>
        </w:tc>
        <w:tc>
          <w:tcPr>
            <w:tcW w:w="886"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3222498">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p>
        </w:tc>
      </w:tr>
    </w:tbl>
    <w:p w14:paraId="623DCB39">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unit of analysis is the person-career year. The outcome equals one in the year of first promotion to the target position. Models control for gender, industry, first observed year, and log career duration, plus country in LinkedIn; standard errors are clustered by individual. The LinkedIn model uses the same 5% person-level random sample as Appendix Table 17, Panel B</w:t>
      </w:r>
      <w:r>
        <w:rPr>
          <w:rFonts w:hint="default" w:ascii="Times New Roman" w:hAnsi="Times New Roman" w:cs="Times New Roman"/>
          <w:b w:val="0"/>
          <w:i w:val="0"/>
          <w:sz w:val="20"/>
          <w:szCs w:val="28"/>
          <w:lang w:val="en-US" w:eastAsia="zh-CN"/>
        </w:rPr>
        <w:t>.</w:t>
      </w:r>
    </w:p>
    <w:p w14:paraId="2638768D">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szCs w:val="21"/>
        </w:rPr>
        <w:br w:type="page"/>
      </w:r>
      <w:r>
        <w:rPr>
          <w:rFonts w:hint="default" w:ascii="Times New Roman" w:hAnsi="Times New Roman" w:cs="Times New Roman"/>
          <w:i w:val="0"/>
          <w:sz w:val="22"/>
          <w:szCs w:val="22"/>
        </w:rPr>
        <w:t>Appendix Table 18. Elite undergraduate education and promotion to senior government positions in the LinkedIn public-administration sample</w:t>
      </w:r>
    </w:p>
    <w:p w14:paraId="509B0334">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A. Promotion within a ten-year observation window</w:t>
      </w:r>
    </w:p>
    <w:p w14:paraId="59A5FD5B">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sz w:val="20"/>
          <w:szCs w:val="28"/>
        </w:rPr>
      </w:pPr>
      <w:r>
        <w:rPr>
          <w:rFonts w:hint="default" w:ascii="Times New Roman" w:hAnsi="Times New Roman" w:cs="Times New Roman"/>
          <w:sz w:val="20"/>
          <w:szCs w:val="28"/>
        </w:rPr>
        <w:t>Subpanel A</w:t>
      </w:r>
      <w:r>
        <w:rPr>
          <w:rFonts w:hint="default" w:ascii="Times New Roman" w:hAnsi="Times New Roman" w:cs="Times New Roman"/>
          <w:sz w:val="20"/>
          <w:szCs w:val="28"/>
          <w:lang w:val="en-US" w:eastAsia="zh-CN"/>
        </w:rPr>
        <w:t>1</w:t>
      </w:r>
      <w:r>
        <w:rPr>
          <w:rFonts w:hint="default" w:ascii="Times New Roman" w:hAnsi="Times New Roman" w:cs="Times New Roman"/>
          <w:sz w:val="20"/>
          <w:szCs w:val="28"/>
        </w:rPr>
        <w:t>. Adjusted probabilities and average marginal effects from the logit model</w:t>
      </w:r>
    </w:p>
    <w:tbl>
      <w:tblPr>
        <w:tblStyle w:val="5"/>
        <w:tblW w:w="0" w:type="auto"/>
        <w:jc w:val="center"/>
        <w:tblLayout w:type="fixed"/>
        <w:tblCellMar>
          <w:top w:w="0" w:type="dxa"/>
          <w:left w:w="108" w:type="dxa"/>
          <w:bottom w:w="0" w:type="dxa"/>
          <w:right w:w="108" w:type="dxa"/>
        </w:tblCellMar>
      </w:tblPr>
      <w:tblGrid>
        <w:gridCol w:w="2503"/>
        <w:gridCol w:w="2238"/>
        <w:gridCol w:w="1080"/>
        <w:gridCol w:w="941"/>
        <w:gridCol w:w="757"/>
        <w:gridCol w:w="896"/>
        <w:gridCol w:w="939"/>
      </w:tblGrid>
      <w:tr w14:paraId="69D521B1">
        <w:tblPrEx>
          <w:tblCellMar>
            <w:top w:w="0" w:type="dxa"/>
            <w:left w:w="108" w:type="dxa"/>
            <w:bottom w:w="0" w:type="dxa"/>
            <w:right w:w="108" w:type="dxa"/>
          </w:tblCellMar>
        </w:tblPrEx>
        <w:trPr>
          <w:cantSplit/>
          <w:trHeight w:val="283" w:hRule="atLeast"/>
          <w:tblHeader/>
          <w:jc w:val="center"/>
        </w:trPr>
        <w:tc>
          <w:tcPr>
            <w:tcW w:w="2503" w:type="dxa"/>
            <w:tcBorders>
              <w:top w:val="single" w:color="auto" w:sz="4" w:space="0"/>
              <w:left w:val="single" w:color="auto" w:sz="4" w:space="0"/>
              <w:bottom w:val="nil"/>
              <w:right w:val="nil"/>
            </w:tcBorders>
            <w:tcMar>
              <w:top w:w="-1" w:type="dxa"/>
              <w:left w:w="-1" w:type="dxa"/>
              <w:bottom w:w="-1" w:type="dxa"/>
              <w:right w:w="-1" w:type="dxa"/>
            </w:tcMar>
            <w:vAlign w:val="center"/>
          </w:tcPr>
          <w:p w14:paraId="6828C5F1">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Adjusted probability, non-elite bachelor’s (%)</w:t>
            </w:r>
          </w:p>
        </w:tc>
        <w:tc>
          <w:tcPr>
            <w:tcW w:w="2238" w:type="dxa"/>
            <w:tcBorders>
              <w:top w:val="single" w:color="auto" w:sz="4" w:space="0"/>
              <w:left w:val="single" w:color="auto" w:sz="4" w:space="0"/>
              <w:bottom w:val="nil"/>
              <w:right w:val="nil"/>
            </w:tcBorders>
            <w:tcMar>
              <w:top w:w="-1" w:type="dxa"/>
              <w:left w:w="-1" w:type="dxa"/>
              <w:bottom w:w="-1" w:type="dxa"/>
              <w:right w:w="-1" w:type="dxa"/>
            </w:tcMar>
            <w:vAlign w:val="center"/>
          </w:tcPr>
          <w:p w14:paraId="699B9649">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Adjusted probability, elite bachelor’s (%)</w:t>
            </w:r>
          </w:p>
        </w:tc>
        <w:tc>
          <w:tcPr>
            <w:tcW w:w="1080" w:type="dxa"/>
            <w:tcBorders>
              <w:top w:val="single" w:color="auto" w:sz="4" w:space="0"/>
              <w:left w:val="single" w:color="auto" w:sz="4" w:space="0"/>
              <w:bottom w:val="nil"/>
              <w:right w:val="nil"/>
            </w:tcBorders>
            <w:tcMar>
              <w:top w:w="-1" w:type="dxa"/>
              <w:left w:w="-1" w:type="dxa"/>
              <w:bottom w:w="-1" w:type="dxa"/>
              <w:right w:w="-1" w:type="dxa"/>
            </w:tcMar>
            <w:vAlign w:val="center"/>
          </w:tcPr>
          <w:p w14:paraId="13BC7D79">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AME (pp)</w:t>
            </w:r>
          </w:p>
        </w:tc>
        <w:tc>
          <w:tcPr>
            <w:tcW w:w="941" w:type="dxa"/>
            <w:tcBorders>
              <w:top w:val="single" w:color="auto" w:sz="4" w:space="0"/>
              <w:left w:val="single" w:color="auto" w:sz="4" w:space="0"/>
              <w:bottom w:val="nil"/>
              <w:right w:val="nil"/>
            </w:tcBorders>
            <w:tcMar>
              <w:top w:w="-1" w:type="dxa"/>
              <w:left w:w="-1" w:type="dxa"/>
              <w:bottom w:w="-1" w:type="dxa"/>
              <w:right w:w="-1" w:type="dxa"/>
            </w:tcMar>
            <w:vAlign w:val="center"/>
          </w:tcPr>
          <w:p w14:paraId="004A8566">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Robust SE</w:t>
            </w:r>
          </w:p>
        </w:tc>
        <w:tc>
          <w:tcPr>
            <w:tcW w:w="757" w:type="dxa"/>
            <w:tcBorders>
              <w:top w:val="single" w:color="auto" w:sz="4" w:space="0"/>
              <w:left w:val="single" w:color="auto" w:sz="4" w:space="0"/>
              <w:bottom w:val="nil"/>
              <w:right w:val="nil"/>
            </w:tcBorders>
            <w:tcMar>
              <w:top w:w="-1" w:type="dxa"/>
              <w:left w:w="-1" w:type="dxa"/>
              <w:bottom w:w="-1" w:type="dxa"/>
              <w:right w:w="-1" w:type="dxa"/>
            </w:tcMar>
            <w:vAlign w:val="center"/>
          </w:tcPr>
          <w:p w14:paraId="06022312">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z</w:t>
            </w:r>
          </w:p>
        </w:tc>
        <w:tc>
          <w:tcPr>
            <w:tcW w:w="896" w:type="dxa"/>
            <w:tcBorders>
              <w:top w:val="single" w:color="auto" w:sz="4" w:space="0"/>
              <w:left w:val="single" w:color="auto" w:sz="4" w:space="0"/>
              <w:bottom w:val="nil"/>
              <w:right w:val="nil"/>
            </w:tcBorders>
            <w:tcMar>
              <w:top w:w="-1" w:type="dxa"/>
              <w:left w:w="-1" w:type="dxa"/>
              <w:bottom w:w="-1" w:type="dxa"/>
              <w:right w:w="-1" w:type="dxa"/>
            </w:tcMar>
            <w:vAlign w:val="center"/>
          </w:tcPr>
          <w:p w14:paraId="54E70F2E">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p-value</w:t>
            </w:r>
          </w:p>
        </w:tc>
        <w:tc>
          <w:tcPr>
            <w:tcW w:w="939"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B1F502A">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w:t>
            </w:r>
          </w:p>
        </w:tc>
      </w:tr>
      <w:tr w14:paraId="2016E0F7">
        <w:tblPrEx>
          <w:tblCellMar>
            <w:top w:w="0" w:type="dxa"/>
            <w:left w:w="108" w:type="dxa"/>
            <w:bottom w:w="0" w:type="dxa"/>
            <w:right w:w="108" w:type="dxa"/>
          </w:tblCellMar>
        </w:tblPrEx>
        <w:trPr>
          <w:cantSplit/>
          <w:trHeight w:val="283" w:hRule="atLeast"/>
          <w:jc w:val="center"/>
        </w:trPr>
        <w:tc>
          <w:tcPr>
            <w:tcW w:w="250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11B26AB">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6.07</w:t>
            </w:r>
          </w:p>
        </w:tc>
        <w:tc>
          <w:tcPr>
            <w:tcW w:w="223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D8474BC">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6.5</w:t>
            </w:r>
          </w:p>
        </w:tc>
        <w:tc>
          <w:tcPr>
            <w:tcW w:w="108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891A05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0.43</w:t>
            </w:r>
          </w:p>
        </w:tc>
        <w:tc>
          <w:tcPr>
            <w:tcW w:w="94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F4C15C6">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0.089</w:t>
            </w:r>
          </w:p>
        </w:tc>
        <w:tc>
          <w:tcPr>
            <w:tcW w:w="75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7B4D4D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4.83</w:t>
            </w:r>
          </w:p>
        </w:tc>
        <w:tc>
          <w:tcPr>
            <w:tcW w:w="89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26B0AB4">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939"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AB7EA7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[0.255, 0.604]</w:t>
            </w:r>
          </w:p>
        </w:tc>
      </w:tr>
    </w:tbl>
    <w:p w14:paraId="4FAD5364">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b/>
          <w:sz w:val="20"/>
          <w:szCs w:val="28"/>
        </w:rPr>
      </w:pPr>
      <w:r>
        <w:rPr>
          <w:rFonts w:hint="default" w:ascii="Times New Roman" w:hAnsi="Times New Roman" w:cs="Times New Roman"/>
          <w:sz w:val="20"/>
          <w:szCs w:val="28"/>
        </w:rPr>
        <w:t xml:space="preserve">Subpanel </w:t>
      </w:r>
      <w:r>
        <w:rPr>
          <w:rFonts w:hint="default" w:ascii="Times New Roman" w:hAnsi="Times New Roman" w:cs="Times New Roman"/>
          <w:sz w:val="20"/>
          <w:szCs w:val="28"/>
          <w:lang w:val="en-US" w:eastAsia="zh-CN"/>
        </w:rPr>
        <w:t>A2</w:t>
      </w:r>
      <w:r>
        <w:rPr>
          <w:rFonts w:hint="default" w:ascii="Times New Roman" w:hAnsi="Times New Roman" w:cs="Times New Roman"/>
          <w:sz w:val="20"/>
          <w:szCs w:val="28"/>
        </w:rPr>
        <w:t>. Weighted ATET and potential-outcome means</w:t>
      </w:r>
    </w:p>
    <w:tbl>
      <w:tblPr>
        <w:tblStyle w:val="5"/>
        <w:tblW w:w="0" w:type="auto"/>
        <w:jc w:val="center"/>
        <w:tblLayout w:type="fixed"/>
        <w:tblCellMar>
          <w:top w:w="0" w:type="dxa"/>
          <w:left w:w="108" w:type="dxa"/>
          <w:bottom w:w="0" w:type="dxa"/>
          <w:right w:w="108" w:type="dxa"/>
        </w:tblCellMar>
      </w:tblPr>
      <w:tblGrid>
        <w:gridCol w:w="1110"/>
        <w:gridCol w:w="877"/>
        <w:gridCol w:w="757"/>
        <w:gridCol w:w="942"/>
        <w:gridCol w:w="1514"/>
        <w:gridCol w:w="3410"/>
      </w:tblGrid>
      <w:tr w14:paraId="37042B93">
        <w:tblPrEx>
          <w:tblCellMar>
            <w:top w:w="0" w:type="dxa"/>
            <w:left w:w="108" w:type="dxa"/>
            <w:bottom w:w="0" w:type="dxa"/>
            <w:right w:w="108" w:type="dxa"/>
          </w:tblCellMar>
        </w:tblPrEx>
        <w:trPr>
          <w:cantSplit/>
          <w:trHeight w:val="283" w:hRule="atLeast"/>
          <w:tblHeader/>
          <w:jc w:val="center"/>
        </w:trPr>
        <w:tc>
          <w:tcPr>
            <w:tcW w:w="1110" w:type="dxa"/>
            <w:tcBorders>
              <w:top w:val="single" w:color="auto" w:sz="4" w:space="0"/>
              <w:left w:val="single" w:color="auto" w:sz="4" w:space="0"/>
              <w:bottom w:val="nil"/>
              <w:right w:val="nil"/>
            </w:tcBorders>
            <w:tcMar>
              <w:top w:w="-1" w:type="dxa"/>
              <w:left w:w="-1" w:type="dxa"/>
              <w:bottom w:w="-1" w:type="dxa"/>
              <w:right w:w="-1" w:type="dxa"/>
            </w:tcMar>
            <w:vAlign w:val="center"/>
          </w:tcPr>
          <w:p w14:paraId="5DC007E9">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eastAsia="宋体" w:cs="Times New Roman"/>
                <w:b/>
                <w:bCs/>
                <w:kern w:val="0"/>
                <w:sz w:val="21"/>
                <w:szCs w:val="21"/>
                <w:lang w:bidi="ar"/>
              </w:rPr>
              <w:t>ATET</w:t>
            </w:r>
          </w:p>
          <w:p w14:paraId="78EBB809">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cs="Times New Roman"/>
                <w:b/>
                <w:bCs/>
              </w:rPr>
              <w:t>(pp)</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2DDC3423">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cs="Times New Roman"/>
                <w:b/>
                <w:bCs/>
              </w:rPr>
              <w:t>Robust SE</w:t>
            </w:r>
          </w:p>
        </w:tc>
        <w:tc>
          <w:tcPr>
            <w:tcW w:w="757" w:type="dxa"/>
            <w:tcBorders>
              <w:top w:val="single" w:color="auto" w:sz="4" w:space="0"/>
              <w:left w:val="single" w:color="auto" w:sz="4" w:space="0"/>
              <w:bottom w:val="nil"/>
              <w:right w:val="nil"/>
            </w:tcBorders>
            <w:tcMar>
              <w:top w:w="-1" w:type="dxa"/>
              <w:left w:w="-1" w:type="dxa"/>
              <w:bottom w:w="-1" w:type="dxa"/>
              <w:right w:w="-1" w:type="dxa"/>
            </w:tcMar>
            <w:vAlign w:val="center"/>
          </w:tcPr>
          <w:p w14:paraId="2CB0B2E6">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cs="Times New Roman"/>
                <w:b/>
                <w:bCs/>
              </w:rPr>
              <w:t>z</w:t>
            </w:r>
          </w:p>
        </w:tc>
        <w:tc>
          <w:tcPr>
            <w:tcW w:w="942" w:type="dxa"/>
            <w:tcBorders>
              <w:top w:val="single" w:color="auto" w:sz="4" w:space="0"/>
              <w:left w:val="single" w:color="auto" w:sz="4" w:space="0"/>
              <w:bottom w:val="nil"/>
              <w:right w:val="nil"/>
            </w:tcBorders>
            <w:tcMar>
              <w:top w:w="-1" w:type="dxa"/>
              <w:left w:w="-1" w:type="dxa"/>
              <w:bottom w:w="-1" w:type="dxa"/>
              <w:right w:w="-1" w:type="dxa"/>
            </w:tcMar>
            <w:vAlign w:val="center"/>
          </w:tcPr>
          <w:p w14:paraId="094C0A70">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cs="Times New Roman"/>
                <w:b/>
                <w:bCs/>
              </w:rPr>
              <w:t>p-value</w:t>
            </w:r>
          </w:p>
        </w:tc>
        <w:tc>
          <w:tcPr>
            <w:tcW w:w="1514" w:type="dxa"/>
            <w:tcBorders>
              <w:top w:val="single" w:color="auto" w:sz="4" w:space="0"/>
              <w:left w:val="single" w:color="auto" w:sz="4" w:space="0"/>
              <w:bottom w:val="nil"/>
              <w:right w:val="nil"/>
            </w:tcBorders>
            <w:tcMar>
              <w:top w:w="-1" w:type="dxa"/>
              <w:left w:w="-1" w:type="dxa"/>
              <w:bottom w:w="-1" w:type="dxa"/>
              <w:right w:w="-1" w:type="dxa"/>
            </w:tcMar>
            <w:vAlign w:val="center"/>
          </w:tcPr>
          <w:p w14:paraId="0969F74B">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cs="Times New Roman"/>
                <w:b/>
                <w:bCs/>
              </w:rPr>
              <w:t>95% CI</w:t>
            </w:r>
          </w:p>
        </w:tc>
        <w:tc>
          <w:tcPr>
            <w:tcW w:w="341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29ACFBB">
            <w:pPr>
              <w:widowControl/>
              <w:snapToGrid w:val="0"/>
              <w:spacing w:before="0" w:after="0" w:line="240" w:lineRule="auto"/>
              <w:jc w:val="center"/>
              <w:textAlignment w:val="center"/>
              <w:rPr>
                <w:rFonts w:hint="default" w:ascii="Times New Roman" w:hAnsi="Times New Roman" w:eastAsia="宋体" w:cs="Times New Roman"/>
                <w:b/>
                <w:bCs/>
                <w:kern w:val="0"/>
                <w:sz w:val="21"/>
                <w:szCs w:val="21"/>
                <w:lang w:bidi="ar"/>
              </w:rPr>
            </w:pPr>
            <w:r>
              <w:rPr>
                <w:rFonts w:hint="default" w:ascii="Times New Roman" w:hAnsi="Times New Roman" w:cs="Times New Roman"/>
                <w:b/>
                <w:bCs/>
              </w:rPr>
              <w:t>Counterfactual mean, non-elite bachelor’s (%)</w:t>
            </w:r>
          </w:p>
        </w:tc>
      </w:tr>
      <w:tr w14:paraId="2AE96738">
        <w:tblPrEx>
          <w:tblCellMar>
            <w:top w:w="0" w:type="dxa"/>
            <w:left w:w="108" w:type="dxa"/>
            <w:bottom w:w="0" w:type="dxa"/>
            <w:right w:w="108" w:type="dxa"/>
          </w:tblCellMar>
        </w:tblPrEx>
        <w:trPr>
          <w:cantSplit/>
          <w:trHeight w:val="283" w:hRule="atLeast"/>
          <w:jc w:val="center"/>
        </w:trPr>
        <w:tc>
          <w:tcPr>
            <w:tcW w:w="111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D89D2F2">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0.461</w:t>
            </w:r>
          </w:p>
        </w:tc>
        <w:tc>
          <w:tcPr>
            <w:tcW w:w="87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BC24EB9">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0.088</w:t>
            </w:r>
          </w:p>
        </w:tc>
        <w:tc>
          <w:tcPr>
            <w:tcW w:w="75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2CEDB43">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5.25</w:t>
            </w:r>
          </w:p>
        </w:tc>
        <w:tc>
          <w:tcPr>
            <w:tcW w:w="94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6CDC1AD">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&lt;0.001</w:t>
            </w:r>
          </w:p>
        </w:tc>
        <w:tc>
          <w:tcPr>
            <w:tcW w:w="151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0A9DD52">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[0.289, 0.633]</w:t>
            </w:r>
          </w:p>
        </w:tc>
        <w:tc>
          <w:tcPr>
            <w:tcW w:w="3410"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E680919">
            <w:pPr>
              <w:widowControl/>
              <w:snapToGrid w:val="0"/>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6.82</w:t>
            </w:r>
          </w:p>
        </w:tc>
      </w:tr>
    </w:tbl>
    <w:p w14:paraId="46265F6C">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b/>
          <w:sz w:val="20"/>
          <w:szCs w:val="28"/>
        </w:rPr>
      </w:pPr>
      <w:r>
        <w:rPr>
          <w:rFonts w:hint="default" w:ascii="Times New Roman" w:hAnsi="Times New Roman" w:cs="Times New Roman"/>
          <w:sz w:val="20"/>
          <w:szCs w:val="28"/>
        </w:rPr>
        <w:t xml:space="preserve">Subpanel </w:t>
      </w:r>
      <w:r>
        <w:rPr>
          <w:rFonts w:hint="default" w:ascii="Times New Roman" w:hAnsi="Times New Roman" w:cs="Times New Roman"/>
          <w:sz w:val="20"/>
          <w:szCs w:val="28"/>
          <w:lang w:val="en-US" w:eastAsia="zh-CN"/>
        </w:rPr>
        <w:t>A3</w:t>
      </w:r>
      <w:r>
        <w:rPr>
          <w:rFonts w:hint="default" w:ascii="Times New Roman" w:hAnsi="Times New Roman" w:cs="Times New Roman"/>
          <w:sz w:val="20"/>
          <w:szCs w:val="28"/>
        </w:rPr>
        <w:t>. Fixed-window sample selection</w:t>
      </w:r>
    </w:p>
    <w:tbl>
      <w:tblPr>
        <w:tblStyle w:val="5"/>
        <w:tblW w:w="0" w:type="auto"/>
        <w:jc w:val="center"/>
        <w:tblLayout w:type="fixed"/>
        <w:tblCellMar>
          <w:top w:w="0" w:type="dxa"/>
          <w:left w:w="108" w:type="dxa"/>
          <w:bottom w:w="0" w:type="dxa"/>
          <w:right w:w="108" w:type="dxa"/>
        </w:tblCellMar>
      </w:tblPr>
      <w:tblGrid>
        <w:gridCol w:w="1687"/>
        <w:gridCol w:w="2410"/>
        <w:gridCol w:w="1984"/>
        <w:gridCol w:w="2483"/>
      </w:tblGrid>
      <w:tr w14:paraId="2750C52A">
        <w:tblPrEx>
          <w:tblCellMar>
            <w:top w:w="0" w:type="dxa"/>
            <w:left w:w="108" w:type="dxa"/>
            <w:bottom w:w="0" w:type="dxa"/>
            <w:right w:w="108" w:type="dxa"/>
          </w:tblCellMar>
        </w:tblPrEx>
        <w:trPr>
          <w:cantSplit/>
          <w:trHeight w:val="283" w:hRule="atLeast"/>
          <w:tblHeader/>
          <w:jc w:val="center"/>
        </w:trPr>
        <w:tc>
          <w:tcPr>
            <w:tcW w:w="1687" w:type="dxa"/>
            <w:tcBorders>
              <w:top w:val="single" w:color="000000" w:sz="4" w:space="0"/>
              <w:left w:val="single" w:color="000000" w:sz="4" w:space="0"/>
              <w:bottom w:val="single" w:color="000000" w:sz="4" w:space="0"/>
              <w:right w:val="single" w:color="000000" w:sz="4" w:space="0"/>
              <w:tl2br w:val="nil"/>
            </w:tcBorders>
            <w:shd w:val="clear" w:color="auto" w:fill="FFFFFF"/>
            <w:tcMar>
              <w:top w:w="-1" w:type="dxa"/>
              <w:left w:w="-1" w:type="dxa"/>
              <w:bottom w:w="-1" w:type="dxa"/>
              <w:right w:w="-1" w:type="dxa"/>
            </w:tcMar>
            <w:vAlign w:val="center"/>
          </w:tcPr>
          <w:p w14:paraId="21B3900D">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Initial risk-set N</w:t>
            </w:r>
          </w:p>
        </w:tc>
        <w:tc>
          <w:tcPr>
            <w:tcW w:w="241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D260E3D">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Eligible for ten-year window</w:t>
            </w:r>
          </w:p>
        </w:tc>
        <w:tc>
          <w:tcPr>
            <w:tcW w:w="19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5E32F00">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Promotions within window</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E65E98D">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Excluded for insufficient follow-up</w:t>
            </w:r>
          </w:p>
        </w:tc>
      </w:tr>
      <w:tr w14:paraId="741C1E91">
        <w:tblPrEx>
          <w:tblCellMar>
            <w:top w:w="0" w:type="dxa"/>
            <w:left w:w="108" w:type="dxa"/>
            <w:bottom w:w="0" w:type="dxa"/>
            <w:right w:w="108" w:type="dxa"/>
          </w:tblCellMar>
        </w:tblPrEx>
        <w:trPr>
          <w:cantSplit/>
          <w:trHeight w:val="283" w:hRule="atLeast"/>
          <w:jc w:val="center"/>
        </w:trPr>
        <w:tc>
          <w:tcPr>
            <w:tcW w:w="1687"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A2BCBF7">
            <w:pPr>
              <w:snapToGrid w:val="0"/>
              <w:spacing w:before="0"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rPr>
              <w:t>2,340,453</w:t>
            </w:r>
          </w:p>
        </w:tc>
        <w:tc>
          <w:tcPr>
            <w:tcW w:w="2410"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65042AF1">
            <w:pPr>
              <w:snapToGrid w:val="0"/>
              <w:spacing w:before="0"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rPr>
              <w:t>340,208</w:t>
            </w:r>
          </w:p>
        </w:tc>
        <w:tc>
          <w:tcPr>
            <w:tcW w:w="1984"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3AEF6798">
            <w:pPr>
              <w:snapToGrid w:val="0"/>
              <w:spacing w:before="0"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rPr>
              <w:t>21,110</w:t>
            </w:r>
          </w:p>
        </w:tc>
        <w:tc>
          <w:tcPr>
            <w:tcW w:w="248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CA55260">
            <w:pPr>
              <w:snapToGrid w:val="0"/>
              <w:spacing w:before="0" w:after="0" w:line="240" w:lineRule="auto"/>
              <w:jc w:val="center"/>
              <w:rPr>
                <w:rFonts w:hint="default" w:ascii="Times New Roman" w:hAnsi="Times New Roman" w:eastAsia="宋体" w:cs="Times New Roman"/>
                <w:szCs w:val="21"/>
              </w:rPr>
            </w:pPr>
            <w:r>
              <w:rPr>
                <w:rFonts w:hint="default" w:ascii="Times New Roman" w:hAnsi="Times New Roman" w:eastAsia="宋体" w:cs="Times New Roman"/>
              </w:rPr>
              <w:t>2,000,245</w:t>
            </w:r>
          </w:p>
        </w:tc>
      </w:tr>
    </w:tbl>
    <w:p w14:paraId="67AD0B25">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b/>
          <w:sz w:val="20"/>
          <w:szCs w:val="28"/>
        </w:rPr>
      </w:pPr>
      <w:r>
        <w:rPr>
          <w:rFonts w:hint="default" w:ascii="Times New Roman" w:hAnsi="Times New Roman" w:cs="Times New Roman"/>
          <w:sz w:val="20"/>
          <w:szCs w:val="28"/>
        </w:rPr>
        <w:t xml:space="preserve">Subpanel </w:t>
      </w:r>
      <w:r>
        <w:rPr>
          <w:rFonts w:hint="default" w:ascii="Times New Roman" w:hAnsi="Times New Roman" w:cs="Times New Roman"/>
          <w:sz w:val="20"/>
          <w:szCs w:val="28"/>
          <w:lang w:val="en-US" w:eastAsia="zh-CN"/>
        </w:rPr>
        <w:t>A4</w:t>
      </w:r>
      <w:r>
        <w:rPr>
          <w:rFonts w:hint="default" w:ascii="Times New Roman" w:hAnsi="Times New Roman" w:cs="Times New Roman"/>
          <w:sz w:val="20"/>
          <w:szCs w:val="28"/>
        </w:rPr>
        <w:t>. Covariate balance after exact-stratification weighting</w:t>
      </w:r>
    </w:p>
    <w:tbl>
      <w:tblPr>
        <w:tblStyle w:val="5"/>
        <w:tblW w:w="0" w:type="auto"/>
        <w:jc w:val="center"/>
        <w:tblLayout w:type="fixed"/>
        <w:tblCellMar>
          <w:top w:w="0" w:type="dxa"/>
          <w:left w:w="108" w:type="dxa"/>
          <w:bottom w:w="0" w:type="dxa"/>
          <w:right w:w="108" w:type="dxa"/>
        </w:tblCellMar>
      </w:tblPr>
      <w:tblGrid>
        <w:gridCol w:w="2569"/>
        <w:gridCol w:w="2528"/>
        <w:gridCol w:w="2421"/>
      </w:tblGrid>
      <w:tr w14:paraId="40CDEA94">
        <w:tblPrEx>
          <w:tblCellMar>
            <w:top w:w="0" w:type="dxa"/>
            <w:left w:w="108" w:type="dxa"/>
            <w:bottom w:w="0" w:type="dxa"/>
            <w:right w:w="108" w:type="dxa"/>
          </w:tblCellMar>
        </w:tblPrEx>
        <w:trPr>
          <w:cantSplit/>
          <w:trHeight w:val="283" w:hRule="atLeast"/>
          <w:tblHeader/>
          <w:jc w:val="center"/>
        </w:trPr>
        <w:tc>
          <w:tcPr>
            <w:tcW w:w="25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2F2F5025">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Mean absolute SMD before weighting</w:t>
            </w:r>
          </w:p>
        </w:tc>
        <w:tc>
          <w:tcPr>
            <w:tcW w:w="252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4D51CB96">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Mean absolute SMD after weighting</w:t>
            </w:r>
          </w:p>
        </w:tc>
        <w:tc>
          <w:tcPr>
            <w:tcW w:w="242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7668725">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Maximum absolute SMD after weighting</w:t>
            </w:r>
          </w:p>
        </w:tc>
      </w:tr>
      <w:tr w14:paraId="1D4B4577">
        <w:tblPrEx>
          <w:tblCellMar>
            <w:top w:w="0" w:type="dxa"/>
            <w:left w:w="108" w:type="dxa"/>
            <w:bottom w:w="0" w:type="dxa"/>
            <w:right w:w="108" w:type="dxa"/>
          </w:tblCellMar>
        </w:tblPrEx>
        <w:trPr>
          <w:cantSplit/>
          <w:trHeight w:val="283" w:hRule="atLeast"/>
          <w:jc w:val="center"/>
        </w:trPr>
        <w:tc>
          <w:tcPr>
            <w:tcW w:w="2569"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70EBF483">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rPr>
              <w:t>0.133</w:t>
            </w:r>
          </w:p>
        </w:tc>
        <w:tc>
          <w:tcPr>
            <w:tcW w:w="2528"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500E752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rPr>
              <w:t>0.000</w:t>
            </w:r>
          </w:p>
        </w:tc>
        <w:tc>
          <w:tcPr>
            <w:tcW w:w="2421"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1EEBA50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rPr>
              <w:t>0.000</w:t>
            </w:r>
          </w:p>
        </w:tc>
      </w:tr>
    </w:tbl>
    <w:p w14:paraId="7DB41EC0">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risk period begins at the first observed government or public-administration position and excludes individuals already in a senior position at baseline. Subpanel A1 controls for gender, country, and first observed government-position year. Subpanel A2 applies exact-stratification weighting. In Subpanel A3, non-promoters must be observed through the ten-year window. SMD denotes standardized mean difference. Weighted results are interpreted as associations adjusted for observed characteristics</w:t>
      </w:r>
      <w:r>
        <w:rPr>
          <w:rFonts w:hint="default" w:ascii="Times New Roman" w:hAnsi="Times New Roman" w:cs="Times New Roman"/>
          <w:b w:val="0"/>
          <w:i w:val="0"/>
          <w:sz w:val="20"/>
          <w:szCs w:val="28"/>
          <w:lang w:val="en-US" w:eastAsia="zh-CN"/>
        </w:rPr>
        <w:t>.</w:t>
      </w:r>
    </w:p>
    <w:p w14:paraId="11D4E48E">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B. Time-to-promotion models</w:t>
      </w:r>
    </w:p>
    <w:p w14:paraId="4E43D6D7">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b/>
          <w:sz w:val="20"/>
          <w:szCs w:val="28"/>
        </w:rPr>
      </w:pPr>
      <w:r>
        <w:rPr>
          <w:rFonts w:hint="default" w:ascii="Times New Roman" w:hAnsi="Times New Roman" w:cs="Times New Roman"/>
          <w:sz w:val="20"/>
          <w:szCs w:val="28"/>
        </w:rPr>
        <w:t xml:space="preserve">Subpanel </w:t>
      </w:r>
      <w:r>
        <w:rPr>
          <w:rFonts w:hint="default" w:ascii="Times New Roman" w:hAnsi="Times New Roman" w:cs="Times New Roman"/>
          <w:sz w:val="20"/>
          <w:szCs w:val="28"/>
          <w:lang w:val="en-US" w:eastAsia="zh-CN"/>
        </w:rPr>
        <w:t>B1</w:t>
      </w:r>
      <w:r>
        <w:rPr>
          <w:rFonts w:hint="default" w:ascii="Times New Roman" w:hAnsi="Times New Roman" w:cs="Times New Roman"/>
          <w:sz w:val="20"/>
          <w:szCs w:val="28"/>
        </w:rPr>
        <w:t>. Cox proportional-hazards model</w:t>
      </w:r>
    </w:p>
    <w:tbl>
      <w:tblPr>
        <w:tblStyle w:val="5"/>
        <w:tblW w:w="0" w:type="auto"/>
        <w:jc w:val="center"/>
        <w:tblLayout w:type="fixed"/>
        <w:tblCellMar>
          <w:top w:w="0" w:type="dxa"/>
          <w:left w:w="108" w:type="dxa"/>
          <w:bottom w:w="0" w:type="dxa"/>
          <w:right w:w="108" w:type="dxa"/>
        </w:tblCellMar>
      </w:tblPr>
      <w:tblGrid>
        <w:gridCol w:w="1324"/>
        <w:gridCol w:w="1652"/>
        <w:gridCol w:w="1330"/>
        <w:gridCol w:w="1144"/>
        <w:gridCol w:w="674"/>
        <w:gridCol w:w="890"/>
        <w:gridCol w:w="1562"/>
      </w:tblGrid>
      <w:tr w14:paraId="48BC7AF3">
        <w:tblPrEx>
          <w:tblCellMar>
            <w:top w:w="0" w:type="dxa"/>
            <w:left w:w="108" w:type="dxa"/>
            <w:bottom w:w="0" w:type="dxa"/>
            <w:right w:w="108" w:type="dxa"/>
          </w:tblCellMar>
        </w:tblPrEx>
        <w:trPr>
          <w:cantSplit/>
          <w:trHeight w:val="283" w:hRule="atLeast"/>
          <w:tblHeader/>
          <w:jc w:val="center"/>
        </w:trPr>
        <w:tc>
          <w:tcPr>
            <w:tcW w:w="1324" w:type="dxa"/>
            <w:tcBorders>
              <w:top w:val="single" w:color="auto" w:sz="4" w:space="0"/>
              <w:left w:val="single" w:color="auto" w:sz="4" w:space="0"/>
              <w:bottom w:val="nil"/>
              <w:right w:val="nil"/>
            </w:tcBorders>
            <w:tcMar>
              <w:top w:w="-1" w:type="dxa"/>
              <w:left w:w="-1" w:type="dxa"/>
              <w:bottom w:w="-1" w:type="dxa"/>
              <w:right w:w="-1" w:type="dxa"/>
            </w:tcMar>
            <w:vAlign w:val="center"/>
          </w:tcPr>
          <w:p w14:paraId="5454CAC5">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Risk-set N</w:t>
            </w:r>
          </w:p>
        </w:tc>
        <w:tc>
          <w:tcPr>
            <w:tcW w:w="1652" w:type="dxa"/>
            <w:tcBorders>
              <w:top w:val="single" w:color="auto" w:sz="4" w:space="0"/>
              <w:left w:val="single" w:color="auto" w:sz="4" w:space="0"/>
              <w:bottom w:val="nil"/>
              <w:right w:val="nil"/>
            </w:tcBorders>
            <w:tcMar>
              <w:top w:w="-1" w:type="dxa"/>
              <w:left w:w="-1" w:type="dxa"/>
              <w:bottom w:w="-1" w:type="dxa"/>
              <w:right w:w="-1" w:type="dxa"/>
            </w:tcMar>
            <w:vAlign w:val="center"/>
          </w:tcPr>
          <w:p w14:paraId="38350DC7">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First-promotion events</w:t>
            </w:r>
          </w:p>
        </w:tc>
        <w:tc>
          <w:tcPr>
            <w:tcW w:w="1330" w:type="dxa"/>
            <w:tcBorders>
              <w:top w:val="single" w:color="auto" w:sz="4" w:space="0"/>
              <w:left w:val="single" w:color="auto" w:sz="4" w:space="0"/>
              <w:bottom w:val="nil"/>
              <w:right w:val="nil"/>
            </w:tcBorders>
            <w:tcMar>
              <w:top w:w="-1" w:type="dxa"/>
              <w:left w:w="-1" w:type="dxa"/>
              <w:bottom w:w="-1" w:type="dxa"/>
              <w:right w:w="-1" w:type="dxa"/>
            </w:tcMar>
            <w:vAlign w:val="center"/>
          </w:tcPr>
          <w:p w14:paraId="74125100">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Hazard ratio (HR)</w:t>
            </w:r>
          </w:p>
        </w:tc>
        <w:tc>
          <w:tcPr>
            <w:tcW w:w="1144" w:type="dxa"/>
            <w:tcBorders>
              <w:top w:val="single" w:color="auto" w:sz="4" w:space="0"/>
              <w:left w:val="single" w:color="auto" w:sz="4" w:space="0"/>
              <w:bottom w:val="nil"/>
              <w:right w:val="nil"/>
            </w:tcBorders>
            <w:tcMar>
              <w:top w:w="-1" w:type="dxa"/>
              <w:left w:w="-1" w:type="dxa"/>
              <w:bottom w:w="-1" w:type="dxa"/>
              <w:right w:w="-1" w:type="dxa"/>
            </w:tcMar>
            <w:vAlign w:val="center"/>
          </w:tcPr>
          <w:p w14:paraId="54DFB162">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Robust SE</w:t>
            </w:r>
          </w:p>
        </w:tc>
        <w:tc>
          <w:tcPr>
            <w:tcW w:w="674" w:type="dxa"/>
            <w:tcBorders>
              <w:top w:val="single" w:color="auto" w:sz="4" w:space="0"/>
              <w:left w:val="single" w:color="auto" w:sz="4" w:space="0"/>
              <w:bottom w:val="nil"/>
              <w:right w:val="nil"/>
            </w:tcBorders>
            <w:tcMar>
              <w:top w:w="-1" w:type="dxa"/>
              <w:left w:w="-1" w:type="dxa"/>
              <w:bottom w:w="-1" w:type="dxa"/>
              <w:right w:w="-1" w:type="dxa"/>
            </w:tcMar>
            <w:vAlign w:val="center"/>
          </w:tcPr>
          <w:p w14:paraId="1283F14D">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z</w:t>
            </w:r>
          </w:p>
        </w:tc>
        <w:tc>
          <w:tcPr>
            <w:tcW w:w="890" w:type="dxa"/>
            <w:tcBorders>
              <w:top w:val="single" w:color="auto" w:sz="4" w:space="0"/>
              <w:left w:val="single" w:color="auto" w:sz="4" w:space="0"/>
              <w:bottom w:val="nil"/>
              <w:right w:val="nil"/>
            </w:tcBorders>
            <w:tcMar>
              <w:top w:w="-1" w:type="dxa"/>
              <w:left w:w="-1" w:type="dxa"/>
              <w:bottom w:w="-1" w:type="dxa"/>
              <w:right w:w="-1" w:type="dxa"/>
            </w:tcMar>
            <w:vAlign w:val="center"/>
          </w:tcPr>
          <w:p w14:paraId="2AC5CF6D">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p-value</w:t>
            </w:r>
          </w:p>
        </w:tc>
        <w:tc>
          <w:tcPr>
            <w:tcW w:w="156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A215B11">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w:t>
            </w:r>
          </w:p>
        </w:tc>
      </w:tr>
      <w:tr w14:paraId="0859833B">
        <w:tblPrEx>
          <w:tblCellMar>
            <w:top w:w="0" w:type="dxa"/>
            <w:left w:w="108" w:type="dxa"/>
            <w:bottom w:w="0" w:type="dxa"/>
            <w:right w:w="108" w:type="dxa"/>
          </w:tblCellMar>
        </w:tblPrEx>
        <w:trPr>
          <w:cantSplit/>
          <w:trHeight w:val="283" w:hRule="atLeast"/>
          <w:jc w:val="center"/>
        </w:trPr>
        <w:tc>
          <w:tcPr>
            <w:tcW w:w="132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53B7DD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234,045</w:t>
            </w:r>
          </w:p>
        </w:tc>
        <w:tc>
          <w:tcPr>
            <w:tcW w:w="165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83CC7A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3,781</w:t>
            </w:r>
          </w:p>
        </w:tc>
        <w:tc>
          <w:tcPr>
            <w:tcW w:w="133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9F3C43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1.103</w:t>
            </w:r>
          </w:p>
        </w:tc>
        <w:tc>
          <w:tcPr>
            <w:tcW w:w="114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A65A3EA">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0.0351</w:t>
            </w:r>
          </w:p>
        </w:tc>
        <w:tc>
          <w:tcPr>
            <w:tcW w:w="67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2A48B5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2.8</w:t>
            </w:r>
          </w:p>
        </w:tc>
        <w:tc>
          <w:tcPr>
            <w:tcW w:w="89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66DFC1A">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0.005</w:t>
            </w:r>
          </w:p>
        </w:tc>
        <w:tc>
          <w:tcPr>
            <w:tcW w:w="1562"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13EC20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[1.030, 1.182]</w:t>
            </w:r>
          </w:p>
        </w:tc>
      </w:tr>
    </w:tbl>
    <w:p w14:paraId="4C30CBC3">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b/>
          <w:sz w:val="20"/>
          <w:szCs w:val="28"/>
        </w:rPr>
      </w:pPr>
      <w:r>
        <w:rPr>
          <w:rFonts w:hint="default" w:ascii="Times New Roman" w:hAnsi="Times New Roman" w:cs="Times New Roman"/>
          <w:sz w:val="20"/>
          <w:szCs w:val="28"/>
        </w:rPr>
        <w:t>Subpanel B</w:t>
      </w:r>
      <w:r>
        <w:rPr>
          <w:rFonts w:hint="default" w:ascii="Times New Roman" w:hAnsi="Times New Roman" w:cs="Times New Roman"/>
          <w:sz w:val="20"/>
          <w:szCs w:val="28"/>
          <w:lang w:val="en-US" w:eastAsia="zh-CN"/>
        </w:rPr>
        <w:t>2</w:t>
      </w:r>
      <w:r>
        <w:rPr>
          <w:rFonts w:hint="default" w:ascii="Times New Roman" w:hAnsi="Times New Roman" w:cs="Times New Roman"/>
          <w:sz w:val="20"/>
          <w:szCs w:val="28"/>
        </w:rPr>
        <w:t>. Weibull accelerated-failure-time model</w:t>
      </w:r>
    </w:p>
    <w:tbl>
      <w:tblPr>
        <w:tblStyle w:val="5"/>
        <w:tblW w:w="0" w:type="auto"/>
        <w:jc w:val="center"/>
        <w:tblLayout w:type="fixed"/>
        <w:tblCellMar>
          <w:top w:w="0" w:type="dxa"/>
          <w:left w:w="108" w:type="dxa"/>
          <w:bottom w:w="0" w:type="dxa"/>
          <w:right w:w="108" w:type="dxa"/>
        </w:tblCellMar>
      </w:tblPr>
      <w:tblGrid>
        <w:gridCol w:w="926"/>
        <w:gridCol w:w="1191"/>
        <w:gridCol w:w="1200"/>
        <w:gridCol w:w="914"/>
        <w:gridCol w:w="681"/>
        <w:gridCol w:w="898"/>
        <w:gridCol w:w="978"/>
        <w:gridCol w:w="1098"/>
        <w:gridCol w:w="1149"/>
      </w:tblGrid>
      <w:tr w14:paraId="7BC8E056">
        <w:tblPrEx>
          <w:tblCellMar>
            <w:top w:w="0" w:type="dxa"/>
            <w:left w:w="108" w:type="dxa"/>
            <w:bottom w:w="0" w:type="dxa"/>
            <w:right w:w="108" w:type="dxa"/>
          </w:tblCellMar>
        </w:tblPrEx>
        <w:trPr>
          <w:cantSplit/>
          <w:trHeight w:val="835" w:hRule="atLeast"/>
          <w:tblHeader/>
          <w:jc w:val="center"/>
        </w:trPr>
        <w:tc>
          <w:tcPr>
            <w:tcW w:w="926" w:type="dxa"/>
            <w:tcBorders>
              <w:top w:val="single" w:color="auto" w:sz="4" w:space="0"/>
              <w:left w:val="single" w:color="auto" w:sz="4" w:space="0"/>
              <w:bottom w:val="nil"/>
              <w:right w:val="nil"/>
            </w:tcBorders>
            <w:tcMar>
              <w:top w:w="-1" w:type="dxa"/>
              <w:left w:w="-1" w:type="dxa"/>
              <w:bottom w:w="-1" w:type="dxa"/>
              <w:right w:w="-1" w:type="dxa"/>
            </w:tcMar>
            <w:vAlign w:val="center"/>
          </w:tcPr>
          <w:p w14:paraId="6C15545C">
            <w:pPr>
              <w:widowControl/>
              <w:snapToGrid w:val="0"/>
              <w:spacing w:before="0" w:after="0" w:line="240" w:lineRule="auto"/>
              <w:jc w:val="center"/>
              <w:textAlignment w:val="center"/>
              <w:rPr>
                <w:rFonts w:hint="default" w:ascii="Times New Roman" w:hAnsi="Times New Roman" w:cs="Times New Roman"/>
                <w:b/>
                <w:bCs/>
              </w:rPr>
            </w:pPr>
            <w:r>
              <w:rPr>
                <w:rFonts w:hint="default" w:ascii="Times New Roman" w:hAnsi="Times New Roman" w:cs="Times New Roman"/>
                <w:b/>
                <w:bCs/>
              </w:rPr>
              <w:t>Risk-</w:t>
            </w:r>
          </w:p>
          <w:p w14:paraId="7678D0CE">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set N</w:t>
            </w:r>
          </w:p>
        </w:tc>
        <w:tc>
          <w:tcPr>
            <w:tcW w:w="1191" w:type="dxa"/>
            <w:tcBorders>
              <w:top w:val="single" w:color="auto" w:sz="4" w:space="0"/>
              <w:left w:val="single" w:color="auto" w:sz="4" w:space="0"/>
              <w:bottom w:val="nil"/>
              <w:right w:val="nil"/>
            </w:tcBorders>
            <w:tcMar>
              <w:top w:w="-1" w:type="dxa"/>
              <w:left w:w="-1" w:type="dxa"/>
              <w:bottom w:w="-1" w:type="dxa"/>
              <w:right w:w="-1" w:type="dxa"/>
            </w:tcMar>
            <w:vAlign w:val="center"/>
          </w:tcPr>
          <w:p w14:paraId="42DF44A0">
            <w:pPr>
              <w:widowControl/>
              <w:snapToGrid w:val="0"/>
              <w:spacing w:before="0" w:after="0" w:line="240" w:lineRule="auto"/>
              <w:jc w:val="center"/>
              <w:textAlignment w:val="center"/>
              <w:rPr>
                <w:rFonts w:hint="default" w:ascii="Times New Roman" w:hAnsi="Times New Roman" w:cs="Times New Roman"/>
                <w:b/>
                <w:bCs/>
              </w:rPr>
            </w:pPr>
            <w:r>
              <w:rPr>
                <w:rFonts w:hint="default" w:ascii="Times New Roman" w:hAnsi="Times New Roman" w:cs="Times New Roman"/>
                <w:b/>
                <w:bCs/>
              </w:rPr>
              <w:t>First-</w:t>
            </w:r>
          </w:p>
          <w:p w14:paraId="331F496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promotion events</w:t>
            </w:r>
          </w:p>
        </w:tc>
        <w:tc>
          <w:tcPr>
            <w:tcW w:w="1200" w:type="dxa"/>
            <w:tcBorders>
              <w:top w:val="single" w:color="auto" w:sz="4" w:space="0"/>
              <w:left w:val="single" w:color="auto" w:sz="4" w:space="0"/>
              <w:bottom w:val="nil"/>
              <w:right w:val="nil"/>
            </w:tcBorders>
            <w:tcMar>
              <w:top w:w="-1" w:type="dxa"/>
              <w:left w:w="-1" w:type="dxa"/>
              <w:bottom w:w="-1" w:type="dxa"/>
              <w:right w:w="-1" w:type="dxa"/>
            </w:tcMar>
            <w:vAlign w:val="center"/>
          </w:tcPr>
          <w:p w14:paraId="28608B21">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Raw coefficient b</w:t>
            </w:r>
          </w:p>
        </w:tc>
        <w:tc>
          <w:tcPr>
            <w:tcW w:w="914" w:type="dxa"/>
            <w:tcBorders>
              <w:top w:val="single" w:color="auto" w:sz="4" w:space="0"/>
              <w:left w:val="single" w:color="auto" w:sz="4" w:space="0"/>
              <w:bottom w:val="nil"/>
              <w:right w:val="nil"/>
            </w:tcBorders>
            <w:tcMar>
              <w:top w:w="-1" w:type="dxa"/>
              <w:left w:w="-1" w:type="dxa"/>
              <w:bottom w:w="-1" w:type="dxa"/>
              <w:right w:w="-1" w:type="dxa"/>
            </w:tcMar>
            <w:vAlign w:val="center"/>
          </w:tcPr>
          <w:p w14:paraId="445F4A1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Robust SE</w:t>
            </w:r>
          </w:p>
        </w:tc>
        <w:tc>
          <w:tcPr>
            <w:tcW w:w="681" w:type="dxa"/>
            <w:tcBorders>
              <w:top w:val="single" w:color="auto" w:sz="4" w:space="0"/>
              <w:left w:val="single" w:color="auto" w:sz="4" w:space="0"/>
              <w:bottom w:val="nil"/>
              <w:right w:val="nil"/>
            </w:tcBorders>
            <w:tcMar>
              <w:top w:w="-1" w:type="dxa"/>
              <w:left w:w="-1" w:type="dxa"/>
              <w:bottom w:w="-1" w:type="dxa"/>
              <w:right w:w="-1" w:type="dxa"/>
            </w:tcMar>
            <w:vAlign w:val="center"/>
          </w:tcPr>
          <w:p w14:paraId="6188782B">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z</w:t>
            </w:r>
          </w:p>
        </w:tc>
        <w:tc>
          <w:tcPr>
            <w:tcW w:w="898" w:type="dxa"/>
            <w:tcBorders>
              <w:top w:val="single" w:color="auto" w:sz="4" w:space="0"/>
              <w:left w:val="single" w:color="auto" w:sz="4" w:space="0"/>
              <w:bottom w:val="nil"/>
              <w:right w:val="nil"/>
            </w:tcBorders>
            <w:tcMar>
              <w:top w:w="-1" w:type="dxa"/>
              <w:left w:w="-1" w:type="dxa"/>
              <w:bottom w:w="-1" w:type="dxa"/>
              <w:right w:w="-1" w:type="dxa"/>
            </w:tcMar>
            <w:vAlign w:val="center"/>
          </w:tcPr>
          <w:p w14:paraId="378D69B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c>
          <w:tcPr>
            <w:tcW w:w="978" w:type="dxa"/>
            <w:tcBorders>
              <w:top w:val="single" w:color="auto" w:sz="4" w:space="0"/>
              <w:left w:val="single" w:color="auto" w:sz="4" w:space="0"/>
              <w:bottom w:val="nil"/>
              <w:right w:val="nil"/>
            </w:tcBorders>
            <w:tcMar>
              <w:top w:w="-1" w:type="dxa"/>
              <w:left w:w="-1" w:type="dxa"/>
              <w:bottom w:w="-1" w:type="dxa"/>
              <w:right w:w="-1" w:type="dxa"/>
            </w:tcMar>
            <w:vAlign w:val="center"/>
          </w:tcPr>
          <w:p w14:paraId="3FEC4D6A">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 for b</w:t>
            </w:r>
          </w:p>
        </w:tc>
        <w:tc>
          <w:tcPr>
            <w:tcW w:w="1098" w:type="dxa"/>
            <w:tcBorders>
              <w:top w:val="single" w:color="auto" w:sz="4" w:space="0"/>
              <w:left w:val="single" w:color="auto" w:sz="4" w:space="0"/>
              <w:bottom w:val="nil"/>
              <w:right w:val="nil"/>
            </w:tcBorders>
            <w:tcMar>
              <w:top w:w="-1" w:type="dxa"/>
              <w:left w:w="-1" w:type="dxa"/>
              <w:bottom w:w="-1" w:type="dxa"/>
              <w:right w:w="-1" w:type="dxa"/>
            </w:tcMar>
            <w:vAlign w:val="center"/>
          </w:tcPr>
          <w:p w14:paraId="6FFE7CA4">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Time ratio exp</w:t>
            </w:r>
          </w:p>
          <w:p w14:paraId="1E60B7AA">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(b)</w:t>
            </w:r>
          </w:p>
        </w:tc>
        <w:tc>
          <w:tcPr>
            <w:tcW w:w="1149"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886D265">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 for time ratio</w:t>
            </w:r>
          </w:p>
        </w:tc>
      </w:tr>
      <w:tr w14:paraId="020D14DD">
        <w:tblPrEx>
          <w:tblCellMar>
            <w:top w:w="0" w:type="dxa"/>
            <w:left w:w="108" w:type="dxa"/>
            <w:bottom w:w="0" w:type="dxa"/>
            <w:right w:w="108" w:type="dxa"/>
          </w:tblCellMar>
        </w:tblPrEx>
        <w:trPr>
          <w:cantSplit/>
          <w:trHeight w:val="430" w:hRule="atLeast"/>
          <w:jc w:val="center"/>
        </w:trPr>
        <w:tc>
          <w:tcPr>
            <w:tcW w:w="92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125A7D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234,045</w:t>
            </w:r>
          </w:p>
        </w:tc>
        <w:tc>
          <w:tcPr>
            <w:tcW w:w="119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152AC8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3,781</w:t>
            </w:r>
          </w:p>
        </w:tc>
        <w:tc>
          <w:tcPr>
            <w:tcW w:w="120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4E3C2F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-0.051</w:t>
            </w:r>
          </w:p>
        </w:tc>
        <w:tc>
          <w:tcPr>
            <w:tcW w:w="91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8A7CCA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0.0137</w:t>
            </w:r>
          </w:p>
        </w:tc>
        <w:tc>
          <w:tcPr>
            <w:tcW w:w="68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79F63F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-3.71</w:t>
            </w:r>
          </w:p>
        </w:tc>
        <w:tc>
          <w:tcPr>
            <w:tcW w:w="89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E09E13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c>
          <w:tcPr>
            <w:tcW w:w="97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87B786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[-0.078, -0.024]</w:t>
            </w:r>
          </w:p>
        </w:tc>
        <w:tc>
          <w:tcPr>
            <w:tcW w:w="109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B457D4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0.95</w:t>
            </w:r>
          </w:p>
        </w:tc>
        <w:tc>
          <w:tcPr>
            <w:tcW w:w="1149"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42AEA81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[0.925, 0.976]</w:t>
            </w:r>
          </w:p>
        </w:tc>
      </w:tr>
    </w:tbl>
    <w:p w14:paraId="4389CDD4">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Survival time begins at the first observed government or public-administration position; non-promoters are right-censored at the last observation. HR values above one indicate faster promotion, and time ratios below one indicate shorter expected promotion time. Models control for gender, country, and first observed government-position year and use a 10% person-level random sample</w:t>
      </w:r>
      <w:r>
        <w:rPr>
          <w:rFonts w:hint="default" w:ascii="Times New Roman" w:hAnsi="Times New Roman" w:cs="Times New Roman"/>
          <w:b w:val="0"/>
          <w:i w:val="0"/>
          <w:sz w:val="20"/>
          <w:szCs w:val="28"/>
          <w:lang w:val="en-US" w:eastAsia="zh-CN"/>
        </w:rPr>
        <w:t>.</w:t>
      </w:r>
    </w:p>
    <w:p w14:paraId="286CAEA0">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C. Observed promotion duration among promotion completers</w:t>
      </w:r>
    </w:p>
    <w:p w14:paraId="1454D2D4">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b/>
          <w:sz w:val="20"/>
          <w:szCs w:val="28"/>
        </w:rPr>
      </w:pPr>
      <w:r>
        <w:rPr>
          <w:rFonts w:hint="default" w:ascii="Times New Roman" w:hAnsi="Times New Roman" w:cs="Times New Roman"/>
          <w:sz w:val="20"/>
          <w:szCs w:val="28"/>
        </w:rPr>
        <w:t>Subpanel C1. OLS model of observed promotion duration (outcome: years from first observed public-administration position to first promotion)</w:t>
      </w:r>
    </w:p>
    <w:tbl>
      <w:tblPr>
        <w:tblStyle w:val="5"/>
        <w:tblW w:w="0" w:type="auto"/>
        <w:jc w:val="center"/>
        <w:tblLayout w:type="fixed"/>
        <w:tblCellMar>
          <w:top w:w="0" w:type="dxa"/>
          <w:left w:w="108" w:type="dxa"/>
          <w:bottom w:w="0" w:type="dxa"/>
          <w:right w:w="108" w:type="dxa"/>
        </w:tblCellMar>
      </w:tblPr>
      <w:tblGrid>
        <w:gridCol w:w="1437"/>
        <w:gridCol w:w="1938"/>
        <w:gridCol w:w="967"/>
        <w:gridCol w:w="979"/>
        <w:gridCol w:w="904"/>
        <w:gridCol w:w="1895"/>
        <w:gridCol w:w="1032"/>
      </w:tblGrid>
      <w:tr w14:paraId="07463400">
        <w:tblPrEx>
          <w:tblCellMar>
            <w:top w:w="0" w:type="dxa"/>
            <w:left w:w="108" w:type="dxa"/>
            <w:bottom w:w="0" w:type="dxa"/>
            <w:right w:w="108" w:type="dxa"/>
          </w:tblCellMar>
        </w:tblPrEx>
        <w:trPr>
          <w:cantSplit/>
          <w:trHeight w:val="673" w:hRule="atLeast"/>
          <w:tblHeader/>
          <w:jc w:val="center"/>
        </w:trPr>
        <w:tc>
          <w:tcPr>
            <w:tcW w:w="1437" w:type="dxa"/>
            <w:tcBorders>
              <w:top w:val="single" w:color="auto" w:sz="4" w:space="0"/>
              <w:left w:val="single" w:color="auto" w:sz="4" w:space="0"/>
              <w:bottom w:val="nil"/>
              <w:right w:val="nil"/>
            </w:tcBorders>
            <w:tcMar>
              <w:top w:w="-1" w:type="dxa"/>
              <w:left w:w="-1" w:type="dxa"/>
              <w:bottom w:w="-1" w:type="dxa"/>
              <w:right w:w="-1" w:type="dxa"/>
            </w:tcMar>
            <w:vAlign w:val="center"/>
          </w:tcPr>
          <w:p w14:paraId="1731F43F">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N</w:t>
            </w:r>
          </w:p>
        </w:tc>
        <w:tc>
          <w:tcPr>
            <w:tcW w:w="1938" w:type="dxa"/>
            <w:tcBorders>
              <w:top w:val="single" w:color="auto" w:sz="4" w:space="0"/>
              <w:left w:val="single" w:color="auto" w:sz="4" w:space="0"/>
              <w:bottom w:val="nil"/>
              <w:right w:val="nil"/>
            </w:tcBorders>
            <w:tcMar>
              <w:top w:w="-1" w:type="dxa"/>
              <w:left w:w="-1" w:type="dxa"/>
              <w:bottom w:w="-1" w:type="dxa"/>
              <w:right w:w="-1" w:type="dxa"/>
            </w:tcMar>
            <w:vAlign w:val="center"/>
          </w:tcPr>
          <w:p w14:paraId="2CE13ABB">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Elite-bachelor’s coefficient (years)</w:t>
            </w:r>
          </w:p>
        </w:tc>
        <w:tc>
          <w:tcPr>
            <w:tcW w:w="967" w:type="dxa"/>
            <w:tcBorders>
              <w:top w:val="single" w:color="auto" w:sz="4" w:space="0"/>
              <w:left w:val="single" w:color="auto" w:sz="4" w:space="0"/>
              <w:bottom w:val="nil"/>
              <w:right w:val="nil"/>
            </w:tcBorders>
            <w:tcMar>
              <w:top w:w="-1" w:type="dxa"/>
              <w:left w:w="-1" w:type="dxa"/>
              <w:bottom w:w="-1" w:type="dxa"/>
              <w:right w:w="-1" w:type="dxa"/>
            </w:tcMar>
            <w:vAlign w:val="center"/>
          </w:tcPr>
          <w:p w14:paraId="40AC1C4B">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Robust SE</w:t>
            </w:r>
          </w:p>
        </w:tc>
        <w:tc>
          <w:tcPr>
            <w:tcW w:w="979" w:type="dxa"/>
            <w:tcBorders>
              <w:top w:val="single" w:color="auto" w:sz="4" w:space="0"/>
              <w:left w:val="single" w:color="auto" w:sz="4" w:space="0"/>
              <w:bottom w:val="nil"/>
              <w:right w:val="nil"/>
            </w:tcBorders>
            <w:tcMar>
              <w:top w:w="-1" w:type="dxa"/>
              <w:left w:w="-1" w:type="dxa"/>
              <w:bottom w:w="-1" w:type="dxa"/>
              <w:right w:w="-1" w:type="dxa"/>
            </w:tcMar>
            <w:vAlign w:val="center"/>
          </w:tcPr>
          <w:p w14:paraId="6AEA13B7">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t</w:t>
            </w:r>
          </w:p>
        </w:tc>
        <w:tc>
          <w:tcPr>
            <w:tcW w:w="904" w:type="dxa"/>
            <w:tcBorders>
              <w:top w:val="single" w:color="auto" w:sz="4" w:space="0"/>
              <w:left w:val="single" w:color="auto" w:sz="4" w:space="0"/>
              <w:bottom w:val="nil"/>
              <w:right w:val="nil"/>
            </w:tcBorders>
            <w:tcMar>
              <w:top w:w="-1" w:type="dxa"/>
              <w:left w:w="-1" w:type="dxa"/>
              <w:bottom w:w="-1" w:type="dxa"/>
              <w:right w:w="-1" w:type="dxa"/>
            </w:tcMar>
            <w:vAlign w:val="center"/>
          </w:tcPr>
          <w:p w14:paraId="38C2C34D">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c>
          <w:tcPr>
            <w:tcW w:w="1895" w:type="dxa"/>
            <w:tcBorders>
              <w:top w:val="single" w:color="auto" w:sz="4" w:space="0"/>
              <w:left w:val="single" w:color="auto" w:sz="4" w:space="0"/>
              <w:bottom w:val="nil"/>
              <w:right w:val="nil"/>
            </w:tcBorders>
            <w:tcMar>
              <w:top w:w="-1" w:type="dxa"/>
              <w:left w:w="-1" w:type="dxa"/>
              <w:bottom w:w="-1" w:type="dxa"/>
              <w:right w:w="-1" w:type="dxa"/>
            </w:tcMar>
            <w:vAlign w:val="center"/>
          </w:tcPr>
          <w:p w14:paraId="7D20845D">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w:t>
            </w:r>
          </w:p>
        </w:tc>
        <w:tc>
          <w:tcPr>
            <w:tcW w:w="103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0F20F10">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R²</w:t>
            </w:r>
          </w:p>
        </w:tc>
      </w:tr>
      <w:tr w14:paraId="635EB863">
        <w:tblPrEx>
          <w:tblCellMar>
            <w:top w:w="0" w:type="dxa"/>
            <w:left w:w="108" w:type="dxa"/>
            <w:bottom w:w="0" w:type="dxa"/>
            <w:right w:w="108" w:type="dxa"/>
          </w:tblCellMar>
        </w:tblPrEx>
        <w:trPr>
          <w:cantSplit/>
          <w:trHeight w:val="209" w:hRule="atLeast"/>
          <w:jc w:val="center"/>
        </w:trPr>
        <w:tc>
          <w:tcPr>
            <w:tcW w:w="143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C1B4FC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38,310</w:t>
            </w:r>
          </w:p>
        </w:tc>
        <w:tc>
          <w:tcPr>
            <w:tcW w:w="193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57BB9A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-0.192</w:t>
            </w:r>
          </w:p>
        </w:tc>
        <w:tc>
          <w:tcPr>
            <w:tcW w:w="96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FFF1E9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0.0619</w:t>
            </w:r>
          </w:p>
        </w:tc>
        <w:tc>
          <w:tcPr>
            <w:tcW w:w="97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FBC243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-3.09</w:t>
            </w:r>
          </w:p>
        </w:tc>
        <w:tc>
          <w:tcPr>
            <w:tcW w:w="90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A092F6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0.002</w:t>
            </w:r>
          </w:p>
        </w:tc>
        <w:tc>
          <w:tcPr>
            <w:tcW w:w="189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A9B1BA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[-0.313, -0.070]</w:t>
            </w:r>
          </w:p>
        </w:tc>
        <w:tc>
          <w:tcPr>
            <w:tcW w:w="1032"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1C87BB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0.4851</w:t>
            </w:r>
          </w:p>
        </w:tc>
      </w:tr>
    </w:tbl>
    <w:p w14:paraId="5211C534">
      <w:pPr>
        <w:pStyle w:val="18"/>
        <w:keepNext/>
        <w:keepLines w:val="0"/>
        <w:pageBreakBefore w:val="0"/>
        <w:widowControl/>
        <w:kinsoku/>
        <w:wordWrap/>
        <w:overflowPunct/>
        <w:topLinePunct w:val="0"/>
        <w:autoSpaceDE/>
        <w:autoSpaceDN/>
        <w:bidi w:val="0"/>
        <w:adjustRightInd/>
        <w:snapToGrid/>
        <w:spacing w:before="60" w:after="60" w:line="300" w:lineRule="auto"/>
        <w:textAlignment w:val="auto"/>
        <w:rPr>
          <w:rFonts w:hint="default" w:ascii="Times New Roman" w:hAnsi="Times New Roman" w:cs="Times New Roman"/>
          <w:b/>
          <w:sz w:val="20"/>
          <w:szCs w:val="28"/>
        </w:rPr>
      </w:pPr>
      <w:r>
        <w:rPr>
          <w:rFonts w:hint="default" w:ascii="Times New Roman" w:hAnsi="Times New Roman" w:cs="Times New Roman"/>
          <w:sz w:val="20"/>
          <w:szCs w:val="28"/>
        </w:rPr>
        <w:t xml:space="preserve">Subpanel </w:t>
      </w:r>
      <w:r>
        <w:rPr>
          <w:rFonts w:hint="default" w:ascii="Times New Roman" w:hAnsi="Times New Roman" w:cs="Times New Roman"/>
          <w:sz w:val="20"/>
          <w:szCs w:val="28"/>
          <w:lang w:val="en-US" w:eastAsia="zh-CN"/>
        </w:rPr>
        <w:t>C2</w:t>
      </w:r>
      <w:r>
        <w:rPr>
          <w:rFonts w:hint="default" w:ascii="Times New Roman" w:hAnsi="Times New Roman" w:cs="Times New Roman"/>
          <w:sz w:val="20"/>
          <w:szCs w:val="28"/>
        </w:rPr>
        <w:t>. Exact-stratification-weighted estimate</w:t>
      </w:r>
    </w:p>
    <w:tbl>
      <w:tblPr>
        <w:tblStyle w:val="5"/>
        <w:tblW w:w="0" w:type="auto"/>
        <w:jc w:val="center"/>
        <w:tblLayout w:type="fixed"/>
        <w:tblCellMar>
          <w:top w:w="0" w:type="dxa"/>
          <w:left w:w="108" w:type="dxa"/>
          <w:bottom w:w="0" w:type="dxa"/>
          <w:right w:w="108" w:type="dxa"/>
        </w:tblCellMar>
      </w:tblPr>
      <w:tblGrid>
        <w:gridCol w:w="1025"/>
        <w:gridCol w:w="987"/>
        <w:gridCol w:w="748"/>
        <w:gridCol w:w="1052"/>
        <w:gridCol w:w="1616"/>
        <w:gridCol w:w="3158"/>
      </w:tblGrid>
      <w:tr w14:paraId="5EC71700">
        <w:tblPrEx>
          <w:tblCellMar>
            <w:top w:w="0" w:type="dxa"/>
            <w:left w:w="108" w:type="dxa"/>
            <w:bottom w:w="0" w:type="dxa"/>
            <w:right w:w="108" w:type="dxa"/>
          </w:tblCellMar>
        </w:tblPrEx>
        <w:trPr>
          <w:cantSplit/>
          <w:trHeight w:val="283" w:hRule="atLeast"/>
          <w:tblHeader/>
          <w:jc w:val="center"/>
        </w:trPr>
        <w:tc>
          <w:tcPr>
            <w:tcW w:w="1025" w:type="dxa"/>
            <w:tcBorders>
              <w:top w:val="single" w:color="auto" w:sz="4" w:space="0"/>
              <w:left w:val="single" w:color="auto" w:sz="4" w:space="0"/>
              <w:bottom w:val="nil"/>
              <w:right w:val="nil"/>
            </w:tcBorders>
            <w:tcMar>
              <w:top w:w="-1" w:type="dxa"/>
              <w:left w:w="-1" w:type="dxa"/>
              <w:bottom w:w="-1" w:type="dxa"/>
              <w:right w:w="-1" w:type="dxa"/>
            </w:tcMar>
            <w:vAlign w:val="center"/>
          </w:tcPr>
          <w:p w14:paraId="3E7FAF62">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ATET</w:t>
            </w:r>
          </w:p>
          <w:p w14:paraId="43F0886B">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 years)</w:t>
            </w:r>
          </w:p>
        </w:tc>
        <w:tc>
          <w:tcPr>
            <w:tcW w:w="987" w:type="dxa"/>
            <w:tcBorders>
              <w:top w:val="single" w:color="auto" w:sz="4" w:space="0"/>
              <w:left w:val="single" w:color="auto" w:sz="4" w:space="0"/>
              <w:bottom w:val="nil"/>
              <w:right w:val="nil"/>
            </w:tcBorders>
            <w:tcMar>
              <w:top w:w="-1" w:type="dxa"/>
              <w:left w:w="-1" w:type="dxa"/>
              <w:bottom w:w="-1" w:type="dxa"/>
              <w:right w:w="-1" w:type="dxa"/>
            </w:tcMar>
            <w:vAlign w:val="center"/>
          </w:tcPr>
          <w:p w14:paraId="306B2598">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Robust SE</w:t>
            </w:r>
          </w:p>
        </w:tc>
        <w:tc>
          <w:tcPr>
            <w:tcW w:w="748" w:type="dxa"/>
            <w:tcBorders>
              <w:top w:val="single" w:color="auto" w:sz="4" w:space="0"/>
              <w:left w:val="single" w:color="auto" w:sz="4" w:space="0"/>
              <w:bottom w:val="nil"/>
              <w:right w:val="nil"/>
            </w:tcBorders>
            <w:tcMar>
              <w:top w:w="-1" w:type="dxa"/>
              <w:left w:w="-1" w:type="dxa"/>
              <w:bottom w:w="-1" w:type="dxa"/>
              <w:right w:w="-1" w:type="dxa"/>
            </w:tcMar>
            <w:vAlign w:val="center"/>
          </w:tcPr>
          <w:p w14:paraId="791F9815">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z</w:t>
            </w:r>
          </w:p>
        </w:tc>
        <w:tc>
          <w:tcPr>
            <w:tcW w:w="1052" w:type="dxa"/>
            <w:tcBorders>
              <w:top w:val="single" w:color="auto" w:sz="4" w:space="0"/>
              <w:left w:val="single" w:color="auto" w:sz="4" w:space="0"/>
              <w:bottom w:val="nil"/>
              <w:right w:val="nil"/>
            </w:tcBorders>
            <w:tcMar>
              <w:top w:w="-1" w:type="dxa"/>
              <w:left w:w="-1" w:type="dxa"/>
              <w:bottom w:w="-1" w:type="dxa"/>
              <w:right w:w="-1" w:type="dxa"/>
            </w:tcMar>
            <w:vAlign w:val="center"/>
          </w:tcPr>
          <w:p w14:paraId="7F408896">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p-value</w:t>
            </w:r>
          </w:p>
        </w:tc>
        <w:tc>
          <w:tcPr>
            <w:tcW w:w="1616" w:type="dxa"/>
            <w:tcBorders>
              <w:top w:val="single" w:color="auto" w:sz="4" w:space="0"/>
              <w:left w:val="single" w:color="auto" w:sz="4" w:space="0"/>
              <w:bottom w:val="nil"/>
              <w:right w:val="nil"/>
            </w:tcBorders>
            <w:tcMar>
              <w:top w:w="-1" w:type="dxa"/>
              <w:left w:w="-1" w:type="dxa"/>
              <w:bottom w:w="-1" w:type="dxa"/>
              <w:right w:w="-1" w:type="dxa"/>
            </w:tcMar>
            <w:vAlign w:val="center"/>
          </w:tcPr>
          <w:p w14:paraId="0D798CF0">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w:t>
            </w:r>
          </w:p>
        </w:tc>
        <w:tc>
          <w:tcPr>
            <w:tcW w:w="315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0D3DA86">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Counterfactual promotion duration under non-elite bachelor’s (years)</w:t>
            </w:r>
          </w:p>
        </w:tc>
      </w:tr>
      <w:tr w14:paraId="089CC426">
        <w:tblPrEx>
          <w:tblCellMar>
            <w:top w:w="0" w:type="dxa"/>
            <w:left w:w="108" w:type="dxa"/>
            <w:bottom w:w="0" w:type="dxa"/>
            <w:right w:w="108" w:type="dxa"/>
          </w:tblCellMar>
        </w:tblPrEx>
        <w:trPr>
          <w:cantSplit/>
          <w:trHeight w:val="283" w:hRule="atLeast"/>
          <w:jc w:val="center"/>
        </w:trPr>
        <w:tc>
          <w:tcPr>
            <w:tcW w:w="102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465BA2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-0.235</w:t>
            </w:r>
          </w:p>
        </w:tc>
        <w:tc>
          <w:tcPr>
            <w:tcW w:w="98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667CDA9">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0.0639</w:t>
            </w:r>
          </w:p>
        </w:tc>
        <w:tc>
          <w:tcPr>
            <w:tcW w:w="74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626BC33">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-3.69</w:t>
            </w:r>
          </w:p>
        </w:tc>
        <w:tc>
          <w:tcPr>
            <w:tcW w:w="105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15BDA1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&lt;0.001</w:t>
            </w:r>
          </w:p>
        </w:tc>
        <w:tc>
          <w:tcPr>
            <w:tcW w:w="161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548511C">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[-0.361, -0.110]</w:t>
            </w:r>
          </w:p>
        </w:tc>
        <w:tc>
          <w:tcPr>
            <w:tcW w:w="315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24612A95">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10.51</w:t>
            </w:r>
          </w:p>
        </w:tc>
      </w:tr>
    </w:tbl>
    <w:p w14:paraId="186C95B8">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table includes individuals who completed a first promotion to a senior government position during the full observation period and is not limited to the ten-year window in Appendix Table 18, Panel A. OLS models control for gender, country, and first observed government-position year; weighting uses the same variables and achieves zero standardized mean differences. Negative coefficients or ATETs indicate shorter promotion duration for elite-bachelor’s individuals. Because right-censored observations are excluded, these estimates supplement the survival analyses</w:t>
      </w:r>
      <w:r>
        <w:rPr>
          <w:rFonts w:hint="default" w:ascii="Times New Roman" w:hAnsi="Times New Roman" w:cs="Times New Roman"/>
          <w:b w:val="0"/>
          <w:i w:val="0"/>
          <w:sz w:val="20"/>
          <w:szCs w:val="28"/>
          <w:lang w:val="en-US" w:eastAsia="zh-CN"/>
        </w:rPr>
        <w:t>.</w:t>
      </w:r>
    </w:p>
    <w:p w14:paraId="3DE6FD4F">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D. Discrete-time first-promotion model</w:t>
      </w:r>
    </w:p>
    <w:tbl>
      <w:tblPr>
        <w:tblStyle w:val="5"/>
        <w:tblW w:w="0" w:type="auto"/>
        <w:jc w:val="center"/>
        <w:tblLayout w:type="fixed"/>
        <w:tblCellMar>
          <w:top w:w="0" w:type="dxa"/>
          <w:left w:w="108" w:type="dxa"/>
          <w:bottom w:w="0" w:type="dxa"/>
          <w:right w:w="108" w:type="dxa"/>
        </w:tblCellMar>
      </w:tblPr>
      <w:tblGrid>
        <w:gridCol w:w="1386"/>
        <w:gridCol w:w="3159"/>
        <w:gridCol w:w="1234"/>
        <w:gridCol w:w="1671"/>
        <w:gridCol w:w="1138"/>
      </w:tblGrid>
      <w:tr w14:paraId="7C599003">
        <w:tblPrEx>
          <w:tblCellMar>
            <w:top w:w="0" w:type="dxa"/>
            <w:left w:w="108" w:type="dxa"/>
            <w:bottom w:w="0" w:type="dxa"/>
            <w:right w:w="108" w:type="dxa"/>
          </w:tblCellMar>
        </w:tblPrEx>
        <w:trPr>
          <w:cantSplit/>
          <w:trHeight w:val="283" w:hRule="atLeast"/>
          <w:tblHeader/>
          <w:jc w:val="center"/>
        </w:trPr>
        <w:tc>
          <w:tcPr>
            <w:tcW w:w="1386" w:type="dxa"/>
            <w:vMerge w:val="restar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D4407C8">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Person-year observations</w:t>
            </w:r>
          </w:p>
          <w:p w14:paraId="3F27A093">
            <w:pPr>
              <w:widowControl/>
              <w:snapToGrid w:val="0"/>
              <w:spacing w:before="0" w:after="0" w:line="240" w:lineRule="auto"/>
              <w:jc w:val="center"/>
              <w:textAlignment w:val="center"/>
              <w:rPr>
                <w:rFonts w:hint="default" w:ascii="Times New Roman" w:hAnsi="Times New Roman" w:eastAsia="宋体" w:cs="Times New Roman"/>
                <w:b/>
                <w:bCs w:val="0"/>
                <w:szCs w:val="21"/>
              </w:rPr>
            </w:pPr>
            <w:r>
              <w:rPr>
                <w:rFonts w:hint="default" w:ascii="Times New Roman" w:hAnsi="Times New Roman" w:eastAsia="宋体" w:cs="Times New Roman"/>
                <w:b/>
                <w:bCs/>
                <w:kern w:val="0"/>
                <w:szCs w:val="21"/>
                <w:lang w:bidi="ar"/>
              </w:rPr>
              <w:t>1,027,370</w:t>
            </w:r>
          </w:p>
        </w:tc>
        <w:tc>
          <w:tcPr>
            <w:tcW w:w="31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76D87">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Model</w:t>
            </w:r>
          </w:p>
        </w:tc>
        <w:tc>
          <w:tcPr>
            <w:tcW w:w="12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73617">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eastAsia="宋体" w:cs="Times New Roman"/>
                <w:b/>
                <w:bCs/>
                <w:kern w:val="0"/>
                <w:szCs w:val="21"/>
                <w:lang w:bidi="ar"/>
              </w:rPr>
              <w:t>OR</w:t>
            </w:r>
          </w:p>
        </w:tc>
        <w:tc>
          <w:tcPr>
            <w:tcW w:w="16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22BFF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95% CI</w:t>
            </w:r>
          </w:p>
        </w:tc>
        <w:tc>
          <w:tcPr>
            <w:tcW w:w="11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B9BDC">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r>
      <w:tr w14:paraId="207551FF">
        <w:tblPrEx>
          <w:tblCellMar>
            <w:top w:w="0" w:type="dxa"/>
            <w:left w:w="108" w:type="dxa"/>
            <w:bottom w:w="0" w:type="dxa"/>
            <w:right w:w="108" w:type="dxa"/>
          </w:tblCellMar>
        </w:tblPrEx>
        <w:trPr>
          <w:cantSplit/>
          <w:trHeight w:val="283"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FDEF40">
            <w:pPr>
              <w:widowControl/>
              <w:snapToGrid w:val="0"/>
              <w:jc w:val="center"/>
              <w:textAlignment w:val="center"/>
              <w:rPr>
                <w:rFonts w:hint="default" w:ascii="Times New Roman" w:hAnsi="Times New Roman" w:eastAsia="宋体" w:cs="Times New Roman"/>
                <w:szCs w:val="21"/>
              </w:rPr>
            </w:pPr>
          </w:p>
        </w:tc>
        <w:tc>
          <w:tcPr>
            <w:tcW w:w="31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8898E">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cs="Times New Roman"/>
              </w:rPr>
              <w:t>Discrete-time logit</w:t>
            </w:r>
          </w:p>
        </w:tc>
        <w:tc>
          <w:tcPr>
            <w:tcW w:w="12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45DCD">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1.097</w:t>
            </w:r>
          </w:p>
        </w:tc>
        <w:tc>
          <w:tcPr>
            <w:tcW w:w="16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A3D5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[1.022, 1.178]</w:t>
            </w:r>
          </w:p>
        </w:tc>
        <w:tc>
          <w:tcPr>
            <w:tcW w:w="11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F6F9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0.011</w:t>
            </w:r>
          </w:p>
        </w:tc>
      </w:tr>
      <w:tr w14:paraId="599E2211">
        <w:tblPrEx>
          <w:tblCellMar>
            <w:top w:w="0" w:type="dxa"/>
            <w:left w:w="108" w:type="dxa"/>
            <w:bottom w:w="0" w:type="dxa"/>
            <w:right w:w="108" w:type="dxa"/>
          </w:tblCellMar>
        </w:tblPrEx>
        <w:trPr>
          <w:cantSplit/>
          <w:trHeight w:val="283" w:hRule="atLeast"/>
          <w:jc w:val="center"/>
        </w:trPr>
        <w:tc>
          <w:tcPr>
            <w:tcW w:w="13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8F1F8D">
            <w:pPr>
              <w:widowControl/>
              <w:snapToGrid w:val="0"/>
              <w:jc w:val="center"/>
              <w:textAlignment w:val="center"/>
              <w:rPr>
                <w:rFonts w:hint="default" w:ascii="Times New Roman" w:hAnsi="Times New Roman" w:eastAsia="宋体" w:cs="Times New Roman"/>
                <w:kern w:val="0"/>
                <w:szCs w:val="21"/>
                <w:lang w:bidi="ar"/>
              </w:rPr>
            </w:pPr>
          </w:p>
        </w:tc>
        <w:tc>
          <w:tcPr>
            <w:tcW w:w="31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4194B2">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bCs/>
                <w:kern w:val="0"/>
                <w:szCs w:val="21"/>
                <w:lang w:bidi="ar"/>
              </w:rPr>
              <w:t>Complementarylog-logHR</w:t>
            </w:r>
          </w:p>
        </w:tc>
        <w:tc>
          <w:tcPr>
            <w:tcW w:w="12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76169">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1.097</w:t>
            </w:r>
          </w:p>
        </w:tc>
        <w:tc>
          <w:tcPr>
            <w:tcW w:w="16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E3F51">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[1.022, 1.177]</w:t>
            </w:r>
          </w:p>
        </w:tc>
        <w:tc>
          <w:tcPr>
            <w:tcW w:w="113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5384F">
            <w:pPr>
              <w:widowControl/>
              <w:snapToGrid w:val="0"/>
              <w:spacing w:before="0" w:after="0" w:line="240" w:lineRule="auto"/>
              <w:jc w:val="center"/>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kern w:val="0"/>
                <w:szCs w:val="21"/>
                <w:lang w:bidi="ar"/>
              </w:rPr>
              <w:t>0.011</w:t>
            </w:r>
          </w:p>
        </w:tc>
      </w:tr>
    </w:tbl>
    <w:p w14:paraId="4FF98C87">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The unit of analysis is the person-government-career year. The outcome equals one in the year of first promotion to a senior government position. Models control for gender, country, first observed government-position year, and log government-career duration, with standard errors clustered by individual. The model uses the same 10% person-level random sample as Appendix Table 18, Panel B</w:t>
      </w:r>
      <w:r>
        <w:rPr>
          <w:rFonts w:hint="default" w:ascii="Times New Roman" w:hAnsi="Times New Roman" w:cs="Times New Roman"/>
          <w:b w:val="0"/>
          <w:i w:val="0"/>
          <w:sz w:val="20"/>
          <w:szCs w:val="28"/>
          <w:lang w:val="en-US" w:eastAsia="zh-CN"/>
        </w:rPr>
        <w:t>.</w:t>
      </w:r>
    </w:p>
    <w:p w14:paraId="30F317AD">
      <w:pPr>
        <w:pStyle w:val="4"/>
        <w:widowControl/>
        <w:spacing w:beforeAutospacing="0" w:after="156" w:afterLines="50" w:afterAutospacing="0"/>
        <w:jc w:val="both"/>
        <w:rPr>
          <w:rFonts w:hint="default" w:ascii="Times New Roman" w:hAnsi="Times New Roman" w:cs="Times New Roman"/>
          <w:sz w:val="22"/>
          <w:szCs w:val="22"/>
        </w:rPr>
      </w:pPr>
    </w:p>
    <w:p w14:paraId="3F3F23F0">
      <w:pPr>
        <w:keepNext/>
        <w:spacing w:after="60"/>
        <w:rPr>
          <w:rFonts w:hint="default" w:ascii="Times New Roman" w:hAnsi="Times New Roman" w:cs="Times New Roman"/>
          <w:b/>
        </w:rPr>
      </w:pPr>
    </w:p>
    <w:p w14:paraId="40775EC2">
      <w:pPr>
        <w:keepNext/>
        <w:spacing w:after="60"/>
        <w:rPr>
          <w:rFonts w:hint="default" w:ascii="Times New Roman" w:hAnsi="Times New Roman" w:cs="Times New Roman"/>
          <w:b/>
        </w:rPr>
      </w:pPr>
    </w:p>
    <w:p w14:paraId="4B1E105C">
      <w:pPr>
        <w:keepNext/>
        <w:spacing w:after="60"/>
        <w:rPr>
          <w:rFonts w:hint="default" w:ascii="Times New Roman" w:hAnsi="Times New Roman" w:cs="Times New Roman"/>
          <w:b/>
        </w:rPr>
      </w:pPr>
    </w:p>
    <w:p w14:paraId="7237AC8F">
      <w:pPr>
        <w:keepNext/>
        <w:spacing w:after="60"/>
        <w:rPr>
          <w:rFonts w:hint="default" w:ascii="Times New Roman" w:hAnsi="Times New Roman" w:cs="Times New Roman"/>
          <w:b/>
        </w:rPr>
      </w:pPr>
    </w:p>
    <w:p w14:paraId="4F6EC467">
      <w:pPr>
        <w:rPr>
          <w:rFonts w:hint="default" w:ascii="Times New Roman" w:hAnsi="Times New Roman" w:cs="Times New Roman"/>
          <w:b/>
        </w:rPr>
      </w:pPr>
    </w:p>
    <w:p w14:paraId="38DE11D3">
      <w:pPr>
        <w:rPr>
          <w:rFonts w:hint="default" w:ascii="Times New Roman" w:hAnsi="Times New Roman" w:cs="Times New Roman"/>
          <w:szCs w:val="22"/>
        </w:rPr>
      </w:pPr>
      <w:r>
        <w:rPr>
          <w:rFonts w:hint="default" w:ascii="Times New Roman" w:hAnsi="Times New Roman" w:cs="Times New Roman"/>
          <w:szCs w:val="22"/>
        </w:rPr>
        <w:br w:type="page"/>
      </w:r>
    </w:p>
    <w:p w14:paraId="2C7B6749">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19. Robustness to adjustment for initial position level</w:t>
      </w:r>
    </w:p>
    <w:tbl>
      <w:tblPr>
        <w:tblStyle w:val="5"/>
        <w:tblW w:w="0" w:type="auto"/>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82"/>
        <w:gridCol w:w="1579"/>
        <w:gridCol w:w="2030"/>
        <w:gridCol w:w="1708"/>
        <w:gridCol w:w="1518"/>
      </w:tblGrid>
      <w:tr w14:paraId="19121B8D">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tblHeader/>
          <w:jc w:val="center"/>
        </w:trPr>
        <w:tc>
          <w:tcPr>
            <w:tcW w:w="2182"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C592992">
            <w:pPr>
              <w:spacing w:before="0" w:after="0" w:line="240" w:lineRule="auto"/>
              <w:jc w:val="center"/>
              <w:rPr>
                <w:rFonts w:hint="default" w:ascii="Times New Roman" w:hAnsi="Times New Roman" w:cs="Times New Roman"/>
                <w:b/>
                <w:bCs/>
              </w:rPr>
            </w:pPr>
            <w:r>
              <w:rPr>
                <w:rFonts w:hint="default" w:ascii="Times New Roman" w:hAnsi="Times New Roman" w:cs="Times New Roman"/>
                <w:b/>
                <w:bCs/>
              </w:rPr>
              <w:t>Dataset</w:t>
            </w:r>
          </w:p>
        </w:tc>
        <w:tc>
          <w:tcPr>
            <w:tcW w:w="15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5A3B5">
            <w:pPr>
              <w:spacing w:before="0" w:after="0" w:line="240" w:lineRule="auto"/>
              <w:jc w:val="center"/>
              <w:rPr>
                <w:rFonts w:hint="default" w:ascii="Times New Roman" w:hAnsi="Times New Roman" w:cs="Times New Roman"/>
                <w:b/>
                <w:bCs/>
              </w:rPr>
            </w:pPr>
            <w:r>
              <w:rPr>
                <w:rFonts w:hint="default" w:ascii="Times New Roman" w:hAnsi="Times New Roman" w:cs="Times New Roman"/>
                <w:b/>
                <w:bCs/>
              </w:rPr>
              <w:t>Probability AME: main model (pp)</w:t>
            </w:r>
          </w:p>
        </w:tc>
        <w:tc>
          <w:tcPr>
            <w:tcW w:w="2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BA3F5">
            <w:pPr>
              <w:spacing w:before="0" w:after="0" w:line="240" w:lineRule="auto"/>
              <w:jc w:val="center"/>
              <w:rPr>
                <w:rFonts w:hint="default" w:ascii="Times New Roman" w:hAnsi="Times New Roman" w:cs="Times New Roman"/>
                <w:b/>
                <w:bCs/>
              </w:rPr>
            </w:pPr>
            <w:r>
              <w:rPr>
                <w:rFonts w:hint="default" w:ascii="Times New Roman" w:hAnsi="Times New Roman" w:cs="Times New Roman"/>
                <w:b/>
                <w:bCs/>
              </w:rPr>
              <w:t>Probability AME: adjusted for initial level (pp)</w:t>
            </w:r>
          </w:p>
        </w:tc>
        <w:tc>
          <w:tcPr>
            <w:tcW w:w="17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954CE">
            <w:pPr>
              <w:spacing w:before="0" w:after="0" w:line="240" w:lineRule="auto"/>
              <w:jc w:val="center"/>
              <w:rPr>
                <w:rFonts w:hint="default" w:ascii="Times New Roman" w:hAnsi="Times New Roman" w:cs="Times New Roman"/>
                <w:b/>
                <w:bCs/>
              </w:rPr>
            </w:pPr>
            <w:r>
              <w:rPr>
                <w:rFonts w:hint="default" w:ascii="Times New Roman" w:hAnsi="Times New Roman" w:cs="Times New Roman"/>
                <w:b/>
                <w:bCs/>
              </w:rPr>
              <w:t>Cox HR: main model</w:t>
            </w:r>
          </w:p>
        </w:tc>
        <w:tc>
          <w:tcPr>
            <w:tcW w:w="15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46057">
            <w:pPr>
              <w:spacing w:before="0" w:after="0" w:line="240" w:lineRule="auto"/>
              <w:jc w:val="center"/>
              <w:rPr>
                <w:rFonts w:hint="default" w:ascii="Times New Roman" w:hAnsi="Times New Roman" w:cs="Times New Roman"/>
                <w:b/>
                <w:bCs/>
              </w:rPr>
            </w:pPr>
            <w:r>
              <w:rPr>
                <w:rFonts w:hint="default" w:ascii="Times New Roman" w:hAnsi="Times New Roman" w:cs="Times New Roman"/>
                <w:b/>
                <w:bCs/>
              </w:rPr>
              <w:t>Cox HR: adjusted for initial level</w:t>
            </w:r>
          </w:p>
        </w:tc>
      </w:tr>
      <w:tr w14:paraId="389DFB02">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739F4">
            <w:pPr>
              <w:spacing w:before="0" w:after="0" w:line="240" w:lineRule="auto"/>
              <w:jc w:val="center"/>
              <w:rPr>
                <w:rFonts w:hint="default" w:ascii="Times New Roman" w:hAnsi="Times New Roman" w:cs="Times New Roman"/>
              </w:rPr>
            </w:pPr>
            <w:r>
              <w:rPr>
                <w:rFonts w:hint="default" w:ascii="Times New Roman" w:hAnsi="Times New Roman" w:cs="Times New Roman"/>
              </w:rPr>
              <w:t>LinkedIn corporate sample</w:t>
            </w:r>
          </w:p>
        </w:tc>
        <w:tc>
          <w:tcPr>
            <w:tcW w:w="15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5B745">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1.225***</w:t>
            </w:r>
          </w:p>
        </w:tc>
        <w:tc>
          <w:tcPr>
            <w:tcW w:w="2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32941">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1.250***</w:t>
            </w:r>
          </w:p>
        </w:tc>
        <w:tc>
          <w:tcPr>
            <w:tcW w:w="17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5CAD4">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1.174***</w:t>
            </w:r>
          </w:p>
        </w:tc>
        <w:tc>
          <w:tcPr>
            <w:tcW w:w="15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583000">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1.175***</w:t>
            </w:r>
          </w:p>
        </w:tc>
      </w:tr>
      <w:tr w14:paraId="5C6E42F4">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12F65">
            <w:pPr>
              <w:spacing w:before="0" w:after="0" w:line="240" w:lineRule="auto"/>
              <w:jc w:val="center"/>
              <w:rPr>
                <w:rFonts w:hint="default" w:ascii="Times New Roman" w:hAnsi="Times New Roman" w:cs="Times New Roman"/>
              </w:rPr>
            </w:pPr>
            <w:r>
              <w:rPr>
                <w:rFonts w:hint="default" w:ascii="Times New Roman" w:hAnsi="Times New Roman" w:cs="Times New Roman"/>
              </w:rPr>
              <w:t>LinkedIn public-administration sample</w:t>
            </w:r>
          </w:p>
        </w:tc>
        <w:tc>
          <w:tcPr>
            <w:tcW w:w="15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8D3B9">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0.430***</w:t>
            </w:r>
          </w:p>
        </w:tc>
        <w:tc>
          <w:tcPr>
            <w:tcW w:w="2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32875">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0.369***</w:t>
            </w:r>
          </w:p>
        </w:tc>
        <w:tc>
          <w:tcPr>
            <w:tcW w:w="17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9DB5E">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1.103**</w:t>
            </w:r>
          </w:p>
        </w:tc>
        <w:tc>
          <w:tcPr>
            <w:tcW w:w="15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444345">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1.096**</w:t>
            </w:r>
          </w:p>
        </w:tc>
      </w:tr>
      <w:tr w14:paraId="55DF398C">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2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E86ED9">
            <w:pPr>
              <w:spacing w:before="0" w:after="0" w:line="240" w:lineRule="auto"/>
              <w:jc w:val="center"/>
              <w:rPr>
                <w:rFonts w:hint="default" w:ascii="Times New Roman" w:hAnsi="Times New Roman" w:cs="Times New Roman"/>
              </w:rPr>
            </w:pPr>
            <w:r>
              <w:rPr>
                <w:rFonts w:hint="default" w:ascii="Times New Roman" w:hAnsi="Times New Roman" w:cs="Times New Roman"/>
              </w:rPr>
              <w:t>Chinese listed-company executive sample</w:t>
            </w:r>
          </w:p>
        </w:tc>
        <w:tc>
          <w:tcPr>
            <w:tcW w:w="15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94B3F">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0.960</w:t>
            </w:r>
          </w:p>
        </w:tc>
        <w:tc>
          <w:tcPr>
            <w:tcW w:w="20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11290">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0.823</w:t>
            </w:r>
          </w:p>
        </w:tc>
        <w:tc>
          <w:tcPr>
            <w:tcW w:w="17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EA9D12">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1.079</w:t>
            </w:r>
          </w:p>
        </w:tc>
        <w:tc>
          <w:tcPr>
            <w:tcW w:w="15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88108A">
            <w:pPr>
              <w:spacing w:before="0" w:after="0" w:line="240" w:lineRule="auto"/>
              <w:jc w:val="center"/>
              <w:rPr>
                <w:rFonts w:hint="default" w:ascii="Times New Roman" w:hAnsi="Times New Roman" w:cs="Times New Roman"/>
              </w:rPr>
            </w:pPr>
            <w:r>
              <w:rPr>
                <w:rFonts w:hint="default" w:ascii="Times New Roman" w:hAnsi="Times New Roman" w:eastAsia="宋体" w:cs="Times New Roman"/>
              </w:rPr>
              <w:t>1.096</w:t>
            </w:r>
          </w:p>
        </w:tc>
      </w:tr>
    </w:tbl>
    <w:p w14:paraId="49B95577">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Initial position level is the rank of the first observed position at entry to the risk set. In LinkedIn corporate and government samples, initial rank is measured using Revelio seniority and the target is first attainment of seniority levels 6–7. In the Chinese listed-company sample, initial rank is the first observed non-core executive category and the target is first entry into a core executive position. Robustness models add initial position level to the main specifications. LinkedIn corporate and government estimates remain significant, whereas Chinese listed-company estimates remain non-significant. *** p &lt; 0.001, ** p &lt; 0.01, * p &lt; 0.05</w:t>
      </w:r>
      <w:r>
        <w:rPr>
          <w:rFonts w:hint="default" w:ascii="Times New Roman" w:hAnsi="Times New Roman" w:cs="Times New Roman"/>
          <w:b w:val="0"/>
          <w:i w:val="0"/>
          <w:sz w:val="20"/>
          <w:szCs w:val="28"/>
          <w:lang w:val="en-US" w:eastAsia="zh-CN"/>
        </w:rPr>
        <w:t>.</w:t>
      </w:r>
    </w:p>
    <w:p w14:paraId="25821C9D">
      <w:pPr>
        <w:pStyle w:val="4"/>
        <w:widowControl/>
        <w:spacing w:beforeAutospacing="0" w:after="156" w:afterLines="50" w:afterAutospacing="0"/>
        <w:jc w:val="both"/>
        <w:rPr>
          <w:rFonts w:hint="default" w:ascii="Times New Roman" w:hAnsi="Times New Roman" w:cs="Times New Roman"/>
          <w:sz w:val="22"/>
          <w:szCs w:val="22"/>
        </w:rPr>
      </w:pPr>
    </w:p>
    <w:p w14:paraId="1BBCB83E">
      <w:pPr>
        <w:rPr>
          <w:rFonts w:hint="default" w:ascii="Times New Roman" w:hAnsi="Times New Roman" w:cs="Times New Roman"/>
          <w:b/>
        </w:rPr>
      </w:pPr>
      <w:r>
        <w:rPr>
          <w:rFonts w:hint="default" w:ascii="Times New Roman" w:hAnsi="Times New Roman" w:cs="Times New Roman"/>
          <w:b/>
        </w:rPr>
        <w:br w:type="page"/>
      </w:r>
    </w:p>
    <w:p w14:paraId="0A78BE1E">
      <w:pPr>
        <w:pStyle w:val="13"/>
        <w:keepNext/>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Times New Roman" w:hAnsi="Times New Roman" w:cs="Times New Roman"/>
          <w:b/>
          <w:sz w:val="24"/>
          <w:szCs w:val="24"/>
          <w:highlight w:val="cyan"/>
        </w:rPr>
      </w:pPr>
      <w:r>
        <w:rPr>
          <w:rFonts w:hint="default" w:ascii="Times New Roman" w:hAnsi="Times New Roman" w:cs="Times New Roman"/>
          <w:sz w:val="24"/>
          <w:szCs w:val="24"/>
        </w:rPr>
        <w:t>B5. Robustness and sensitivity analyses</w:t>
      </w:r>
    </w:p>
    <w:p w14:paraId="63BE1E0A">
      <w:pPr>
        <w:pStyle w:val="4"/>
        <w:widowControl/>
        <w:spacing w:beforeAutospacing="0" w:afterAutospacing="0" w:line="300" w:lineRule="auto"/>
        <w:ind w:firstLine="420"/>
        <w:jc w:val="both"/>
        <w:rPr>
          <w:rFonts w:hint="default" w:ascii="Times New Roman" w:hAnsi="Times New Roman" w:eastAsia="宋体" w:cs="Times New Roman"/>
          <w:b w:val="0"/>
          <w:i w:val="0"/>
          <w:szCs w:val="32"/>
          <w:lang w:eastAsia="zh-CN"/>
        </w:rPr>
      </w:pPr>
      <w:r>
        <w:rPr>
          <w:rFonts w:hint="default" w:ascii="Times New Roman" w:hAnsi="Times New Roman" w:eastAsia="宋体" w:cs="Times New Roman"/>
          <w:b w:val="0"/>
          <w:i w:val="0"/>
          <w:szCs w:val="32"/>
          <w:lang w:eastAsia="zh-CN"/>
        </w:rPr>
        <w:t>We conducted additional robustness checks using alternative adjustment methods and definitions of elite universities. In the academic samples, inverse probability weighting was used to improve covariate balance between scholars with elite and non-elite doctoral backgrounds, and elite universities were alternatively defined using Top 100 and Top 1,000 thresholds. In the corporate and government samples, exact matching was used to improve comparability between individuals with elite and non-elite bachelor’s backgrounds. The estimated associations remained positive and consistent with the baseline results across these specifications (Appendix Tables 20–23).</w:t>
      </w:r>
    </w:p>
    <w:p w14:paraId="6AA8182D">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20. Robustness analyses of elite doctoral education and elite-university employment</w:t>
      </w:r>
    </w:p>
    <w:p w14:paraId="0871E1AE">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A. Selection-adjusted estimates of elite doctoral education and elite-university employment</w:t>
      </w:r>
    </w:p>
    <w:tbl>
      <w:tblPr>
        <w:tblStyle w:val="5"/>
        <w:tblW w:w="10091" w:type="dxa"/>
        <w:jc w:val="center"/>
        <w:tblLayout w:type="fixed"/>
        <w:tblCellMar>
          <w:top w:w="0" w:type="dxa"/>
          <w:left w:w="108" w:type="dxa"/>
          <w:bottom w:w="0" w:type="dxa"/>
          <w:right w:w="108" w:type="dxa"/>
        </w:tblCellMar>
      </w:tblPr>
      <w:tblGrid>
        <w:gridCol w:w="879"/>
        <w:gridCol w:w="1255"/>
        <w:gridCol w:w="1080"/>
        <w:gridCol w:w="1302"/>
        <w:gridCol w:w="1320"/>
        <w:gridCol w:w="1154"/>
        <w:gridCol w:w="729"/>
        <w:gridCol w:w="1477"/>
        <w:gridCol w:w="895"/>
      </w:tblGrid>
      <w:tr w14:paraId="4B42A14D">
        <w:tblPrEx>
          <w:tblCellMar>
            <w:top w:w="0" w:type="dxa"/>
            <w:left w:w="108" w:type="dxa"/>
            <w:bottom w:w="0" w:type="dxa"/>
            <w:right w:w="108" w:type="dxa"/>
          </w:tblCellMar>
        </w:tblPrEx>
        <w:trPr>
          <w:cantSplit/>
          <w:trHeight w:val="283" w:hRule="atLeast"/>
          <w:tblHeader/>
          <w:jc w:val="center"/>
        </w:trPr>
        <w:tc>
          <w:tcPr>
            <w:tcW w:w="879" w:type="dxa"/>
            <w:tcBorders>
              <w:top w:val="single" w:color="auto" w:sz="4" w:space="0"/>
              <w:left w:val="single" w:color="auto" w:sz="4" w:space="0"/>
              <w:bottom w:val="nil"/>
              <w:right w:val="nil"/>
            </w:tcBorders>
            <w:tcMar>
              <w:top w:w="-1" w:type="dxa"/>
              <w:left w:w="-1" w:type="dxa"/>
              <w:bottom w:w="-1" w:type="dxa"/>
              <w:right w:w="-1" w:type="dxa"/>
            </w:tcMar>
            <w:vAlign w:val="center"/>
          </w:tcPr>
          <w:p w14:paraId="172D31DB">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Data source</w:t>
            </w:r>
          </w:p>
        </w:tc>
        <w:tc>
          <w:tcPr>
            <w:tcW w:w="1255" w:type="dxa"/>
            <w:tcBorders>
              <w:top w:val="single" w:color="auto" w:sz="4" w:space="0"/>
              <w:left w:val="single" w:color="auto" w:sz="4" w:space="0"/>
              <w:bottom w:val="nil"/>
              <w:right w:val="nil"/>
            </w:tcBorders>
            <w:tcMar>
              <w:top w:w="-1" w:type="dxa"/>
              <w:left w:w="-1" w:type="dxa"/>
              <w:bottom w:w="-1" w:type="dxa"/>
              <w:right w:w="-1" w:type="dxa"/>
            </w:tcMar>
            <w:vAlign w:val="center"/>
          </w:tcPr>
          <w:p w14:paraId="46483010">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Estimator</w:t>
            </w:r>
          </w:p>
        </w:tc>
        <w:tc>
          <w:tcPr>
            <w:tcW w:w="1080" w:type="dxa"/>
            <w:tcBorders>
              <w:top w:val="single" w:color="auto" w:sz="4" w:space="0"/>
              <w:left w:val="single" w:color="auto" w:sz="4" w:space="0"/>
              <w:bottom w:val="nil"/>
              <w:right w:val="nil"/>
            </w:tcBorders>
            <w:tcMar>
              <w:top w:w="-1" w:type="dxa"/>
              <w:left w:w="-1" w:type="dxa"/>
              <w:bottom w:w="-1" w:type="dxa"/>
              <w:right w:w="-1" w:type="dxa"/>
            </w:tcMar>
            <w:vAlign w:val="center"/>
          </w:tcPr>
          <w:p w14:paraId="4CE9669D">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N</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5648705C">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Probability under elite doctorate (%)</w:t>
            </w:r>
          </w:p>
          <w:p w14:paraId="207B27E9">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eastAsia="宋体" w:cs="Times New Roman"/>
                <w:b/>
                <w:bCs/>
                <w:kern w:val="0"/>
                <w:szCs w:val="21"/>
                <w:lang w:bidi="ar"/>
              </w:rPr>
              <w:t>（%）</w:t>
            </w:r>
          </w:p>
        </w:tc>
        <w:tc>
          <w:tcPr>
            <w:tcW w:w="1320" w:type="dxa"/>
            <w:tcBorders>
              <w:top w:val="single" w:color="auto" w:sz="4" w:space="0"/>
              <w:left w:val="single" w:color="auto" w:sz="4" w:space="0"/>
              <w:bottom w:val="nil"/>
              <w:right w:val="nil"/>
            </w:tcBorders>
            <w:tcMar>
              <w:top w:w="-1" w:type="dxa"/>
              <w:left w:w="-1" w:type="dxa"/>
              <w:bottom w:w="-1" w:type="dxa"/>
              <w:right w:w="-1" w:type="dxa"/>
            </w:tcMar>
            <w:vAlign w:val="center"/>
          </w:tcPr>
          <w:p w14:paraId="6C920542">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Probability under non-elite doctorate (%)</w:t>
            </w:r>
          </w:p>
        </w:tc>
        <w:tc>
          <w:tcPr>
            <w:tcW w:w="1154" w:type="dxa"/>
            <w:tcBorders>
              <w:top w:val="single" w:color="auto" w:sz="4" w:space="0"/>
              <w:left w:val="single" w:color="auto" w:sz="4" w:space="0"/>
              <w:bottom w:val="nil"/>
              <w:right w:val="nil"/>
            </w:tcBorders>
            <w:tcMar>
              <w:top w:w="-1" w:type="dxa"/>
              <w:left w:w="-1" w:type="dxa"/>
              <w:bottom w:w="-1" w:type="dxa"/>
              <w:right w:w="-1" w:type="dxa"/>
            </w:tcMar>
            <w:vAlign w:val="center"/>
          </w:tcPr>
          <w:p w14:paraId="2AF3C0CA">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Difference or ATET</w:t>
            </w:r>
          </w:p>
          <w:p w14:paraId="349DC2EC">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729" w:type="dxa"/>
            <w:tcBorders>
              <w:top w:val="single" w:color="auto" w:sz="4" w:space="0"/>
              <w:left w:val="single" w:color="auto" w:sz="4" w:space="0"/>
              <w:bottom w:val="nil"/>
              <w:right w:val="nil"/>
            </w:tcBorders>
            <w:tcMar>
              <w:top w:w="-1" w:type="dxa"/>
              <w:left w:w="-1" w:type="dxa"/>
              <w:bottom w:w="-1" w:type="dxa"/>
              <w:right w:w="-1" w:type="dxa"/>
            </w:tcMar>
            <w:vAlign w:val="center"/>
          </w:tcPr>
          <w:p w14:paraId="4690F007">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SE</w:t>
            </w:r>
          </w:p>
          <w:p w14:paraId="34B0D85E">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1477" w:type="dxa"/>
            <w:tcBorders>
              <w:top w:val="single" w:color="auto" w:sz="4" w:space="0"/>
              <w:left w:val="single" w:color="auto" w:sz="4" w:space="0"/>
              <w:bottom w:val="nil"/>
              <w:right w:val="nil"/>
            </w:tcBorders>
            <w:tcMar>
              <w:top w:w="-1" w:type="dxa"/>
              <w:left w:w="-1" w:type="dxa"/>
              <w:bottom w:w="-1" w:type="dxa"/>
              <w:right w:w="-1" w:type="dxa"/>
            </w:tcMar>
            <w:vAlign w:val="center"/>
          </w:tcPr>
          <w:p w14:paraId="45993E15">
            <w:pPr>
              <w:widowControl/>
              <w:snapToGrid w:val="0"/>
              <w:spacing w:before="0" w:after="0" w:line="240" w:lineRule="auto"/>
              <w:jc w:val="center"/>
              <w:textAlignment w:val="center"/>
              <w:rPr>
                <w:rFonts w:hint="default" w:ascii="Times New Roman" w:hAnsi="Times New Roman" w:eastAsia="宋体" w:cs="Times New Roman"/>
                <w:b/>
                <w:bCs/>
                <w:kern w:val="0"/>
                <w:szCs w:val="21"/>
                <w:lang w:bidi="ar"/>
              </w:rPr>
            </w:pPr>
            <w:r>
              <w:rPr>
                <w:rFonts w:hint="default" w:ascii="Times New Roman" w:hAnsi="Times New Roman" w:cs="Times New Roman"/>
                <w:b/>
                <w:bCs/>
              </w:rPr>
              <w:t>95% CI</w:t>
            </w:r>
          </w:p>
          <w:p w14:paraId="33ABFC78">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(pp)</w:t>
            </w:r>
          </w:p>
        </w:tc>
        <w:tc>
          <w:tcPr>
            <w:tcW w:w="89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043B12E">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p-value</w:t>
            </w:r>
          </w:p>
        </w:tc>
      </w:tr>
      <w:tr w14:paraId="12868FDE">
        <w:tblPrEx>
          <w:tblCellMar>
            <w:top w:w="0" w:type="dxa"/>
            <w:left w:w="108" w:type="dxa"/>
            <w:bottom w:w="0" w:type="dxa"/>
            <w:right w:w="108" w:type="dxa"/>
          </w:tblCellMar>
        </w:tblPrEx>
        <w:trPr>
          <w:cantSplit/>
          <w:trHeight w:val="283" w:hRule="atLeast"/>
          <w:jc w:val="center"/>
        </w:trPr>
        <w:tc>
          <w:tcPr>
            <w:tcW w:w="879" w:type="dxa"/>
            <w:vMerge w:val="restart"/>
            <w:tcBorders>
              <w:top w:val="single" w:color="auto" w:sz="4" w:space="0"/>
              <w:left w:val="single" w:color="auto" w:sz="4" w:space="0"/>
              <w:right w:val="nil"/>
            </w:tcBorders>
            <w:tcMar>
              <w:top w:w="-1" w:type="dxa"/>
              <w:left w:w="-1" w:type="dxa"/>
              <w:bottom w:w="-1" w:type="dxa"/>
              <w:right w:w="-1" w:type="dxa"/>
            </w:tcMar>
            <w:vAlign w:val="center"/>
          </w:tcPr>
          <w:p w14:paraId="7E20589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ORCID</w:t>
            </w:r>
          </w:p>
        </w:tc>
        <w:tc>
          <w:tcPr>
            <w:tcW w:w="1255" w:type="dxa"/>
            <w:tcBorders>
              <w:top w:val="single" w:color="auto" w:sz="4" w:space="0"/>
              <w:left w:val="single" w:color="auto" w:sz="4" w:space="0"/>
              <w:bottom w:val="nil"/>
              <w:right w:val="nil"/>
            </w:tcBorders>
            <w:tcMar>
              <w:top w:w="-1" w:type="dxa"/>
              <w:left w:w="-1" w:type="dxa"/>
              <w:bottom w:w="-1" w:type="dxa"/>
              <w:right w:w="-1" w:type="dxa"/>
            </w:tcMar>
            <w:vAlign w:val="center"/>
          </w:tcPr>
          <w:p w14:paraId="0D9F623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Unadjusted difference</w:t>
            </w:r>
          </w:p>
        </w:tc>
        <w:tc>
          <w:tcPr>
            <w:tcW w:w="1080" w:type="dxa"/>
            <w:vMerge w:val="restart"/>
            <w:tcBorders>
              <w:top w:val="single" w:color="auto" w:sz="4" w:space="0"/>
              <w:left w:val="single" w:color="auto" w:sz="4" w:space="0"/>
              <w:right w:val="nil"/>
            </w:tcBorders>
            <w:tcMar>
              <w:top w:w="-1" w:type="dxa"/>
              <w:left w:w="-1" w:type="dxa"/>
              <w:bottom w:w="-1" w:type="dxa"/>
              <w:right w:w="-1" w:type="dxa"/>
            </w:tcMar>
            <w:vAlign w:val="center"/>
          </w:tcPr>
          <w:p w14:paraId="5BA882B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545,388</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0ACC897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44.68</w:t>
            </w:r>
          </w:p>
        </w:tc>
        <w:tc>
          <w:tcPr>
            <w:tcW w:w="1320" w:type="dxa"/>
            <w:tcBorders>
              <w:top w:val="single" w:color="auto" w:sz="4" w:space="0"/>
              <w:left w:val="single" w:color="auto" w:sz="4" w:space="0"/>
              <w:bottom w:val="nil"/>
              <w:right w:val="nil"/>
            </w:tcBorders>
            <w:tcMar>
              <w:top w:w="-1" w:type="dxa"/>
              <w:left w:w="-1" w:type="dxa"/>
              <w:bottom w:w="-1" w:type="dxa"/>
              <w:right w:w="-1" w:type="dxa"/>
            </w:tcMar>
            <w:vAlign w:val="center"/>
          </w:tcPr>
          <w:p w14:paraId="2E94F7B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9.92</w:t>
            </w:r>
          </w:p>
        </w:tc>
        <w:tc>
          <w:tcPr>
            <w:tcW w:w="1154" w:type="dxa"/>
            <w:tcBorders>
              <w:top w:val="single" w:color="auto" w:sz="4" w:space="0"/>
              <w:left w:val="single" w:color="auto" w:sz="4" w:space="0"/>
              <w:bottom w:val="nil"/>
              <w:right w:val="nil"/>
            </w:tcBorders>
            <w:tcMar>
              <w:top w:w="-1" w:type="dxa"/>
              <w:left w:w="-1" w:type="dxa"/>
              <w:bottom w:w="-1" w:type="dxa"/>
              <w:right w:w="-1" w:type="dxa"/>
            </w:tcMar>
            <w:vAlign w:val="center"/>
          </w:tcPr>
          <w:p w14:paraId="616104C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34.76</w:t>
            </w:r>
          </w:p>
        </w:tc>
        <w:tc>
          <w:tcPr>
            <w:tcW w:w="729" w:type="dxa"/>
            <w:tcBorders>
              <w:top w:val="single" w:color="auto" w:sz="4" w:space="0"/>
              <w:left w:val="single" w:color="auto" w:sz="4" w:space="0"/>
              <w:bottom w:val="nil"/>
              <w:right w:val="nil"/>
            </w:tcBorders>
            <w:tcMar>
              <w:top w:w="-1" w:type="dxa"/>
              <w:left w:w="-1" w:type="dxa"/>
              <w:bottom w:w="-1" w:type="dxa"/>
              <w:right w:w="-1" w:type="dxa"/>
            </w:tcMar>
            <w:vAlign w:val="center"/>
          </w:tcPr>
          <w:p w14:paraId="7C0343A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0.114</w:t>
            </w:r>
          </w:p>
        </w:tc>
        <w:tc>
          <w:tcPr>
            <w:tcW w:w="1477" w:type="dxa"/>
            <w:tcBorders>
              <w:top w:val="single" w:color="auto" w:sz="4" w:space="0"/>
              <w:left w:val="single" w:color="auto" w:sz="4" w:space="0"/>
              <w:bottom w:val="nil"/>
              <w:right w:val="nil"/>
            </w:tcBorders>
            <w:tcMar>
              <w:top w:w="-1" w:type="dxa"/>
              <w:left w:w="-1" w:type="dxa"/>
              <w:bottom w:w="-1" w:type="dxa"/>
              <w:right w:w="-1" w:type="dxa"/>
            </w:tcMar>
            <w:vAlign w:val="center"/>
          </w:tcPr>
          <w:p w14:paraId="67BFA23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[34.54, 34.98]</w:t>
            </w:r>
          </w:p>
        </w:tc>
        <w:tc>
          <w:tcPr>
            <w:tcW w:w="89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0B790D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60B5E7D0">
        <w:tblPrEx>
          <w:tblCellMar>
            <w:top w:w="0" w:type="dxa"/>
            <w:left w:w="108" w:type="dxa"/>
            <w:bottom w:w="0" w:type="dxa"/>
            <w:right w:w="108" w:type="dxa"/>
          </w:tblCellMar>
        </w:tblPrEx>
        <w:trPr>
          <w:cantSplit/>
          <w:trHeight w:val="283" w:hRule="atLeast"/>
          <w:jc w:val="center"/>
        </w:trPr>
        <w:tc>
          <w:tcPr>
            <w:tcW w:w="879" w:type="dxa"/>
            <w:vMerge w:val="continue"/>
            <w:tcBorders>
              <w:left w:val="single" w:color="auto" w:sz="4" w:space="0"/>
              <w:right w:val="nil"/>
            </w:tcBorders>
            <w:tcMar>
              <w:top w:w="-1" w:type="dxa"/>
              <w:left w:w="-1" w:type="dxa"/>
              <w:bottom w:w="-1" w:type="dxa"/>
              <w:right w:w="-1" w:type="dxa"/>
            </w:tcMar>
            <w:vAlign w:val="center"/>
          </w:tcPr>
          <w:p w14:paraId="3DAB1E10">
            <w:pPr>
              <w:snapToGrid w:val="0"/>
              <w:jc w:val="center"/>
              <w:rPr>
                <w:rFonts w:hint="default" w:ascii="Times New Roman" w:hAnsi="Times New Roman" w:eastAsia="宋体" w:cs="Times New Roman"/>
                <w:szCs w:val="21"/>
              </w:rPr>
            </w:pPr>
          </w:p>
        </w:tc>
        <w:tc>
          <w:tcPr>
            <w:tcW w:w="1255" w:type="dxa"/>
            <w:tcBorders>
              <w:top w:val="single" w:color="auto" w:sz="4" w:space="0"/>
              <w:left w:val="single" w:color="auto" w:sz="4" w:space="0"/>
              <w:bottom w:val="nil"/>
              <w:right w:val="nil"/>
            </w:tcBorders>
            <w:tcMar>
              <w:top w:w="-1" w:type="dxa"/>
              <w:left w:w="-1" w:type="dxa"/>
              <w:bottom w:w="-1" w:type="dxa"/>
              <w:right w:w="-1" w:type="dxa"/>
            </w:tcMar>
            <w:vAlign w:val="center"/>
          </w:tcPr>
          <w:p w14:paraId="015E1EE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Logit AME</w:t>
            </w:r>
          </w:p>
        </w:tc>
        <w:tc>
          <w:tcPr>
            <w:tcW w:w="1080" w:type="dxa"/>
            <w:vMerge w:val="continue"/>
            <w:tcBorders>
              <w:left w:val="single" w:color="auto" w:sz="4" w:space="0"/>
              <w:right w:val="nil"/>
            </w:tcBorders>
            <w:tcMar>
              <w:top w:w="-1" w:type="dxa"/>
              <w:left w:w="-1" w:type="dxa"/>
              <w:bottom w:w="-1" w:type="dxa"/>
              <w:right w:w="-1" w:type="dxa"/>
            </w:tcMar>
            <w:vAlign w:val="center"/>
          </w:tcPr>
          <w:p w14:paraId="3FC0D41C">
            <w:pPr>
              <w:widowControl/>
              <w:snapToGrid w:val="0"/>
              <w:jc w:val="center"/>
              <w:textAlignment w:val="center"/>
              <w:rPr>
                <w:rFonts w:hint="default" w:ascii="Times New Roman" w:hAnsi="Times New Roman" w:eastAsia="宋体" w:cs="Times New Roman"/>
                <w:szCs w:val="21"/>
              </w:rPr>
            </w:pP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172200C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44.52</w:t>
            </w:r>
          </w:p>
        </w:tc>
        <w:tc>
          <w:tcPr>
            <w:tcW w:w="1320" w:type="dxa"/>
            <w:tcBorders>
              <w:top w:val="single" w:color="auto" w:sz="4" w:space="0"/>
              <w:left w:val="single" w:color="auto" w:sz="4" w:space="0"/>
              <w:bottom w:val="nil"/>
              <w:right w:val="nil"/>
            </w:tcBorders>
            <w:tcMar>
              <w:top w:w="-1" w:type="dxa"/>
              <w:left w:w="-1" w:type="dxa"/>
              <w:bottom w:w="-1" w:type="dxa"/>
              <w:right w:w="-1" w:type="dxa"/>
            </w:tcMar>
            <w:vAlign w:val="center"/>
          </w:tcPr>
          <w:p w14:paraId="35C6EA3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9.97</w:t>
            </w:r>
          </w:p>
        </w:tc>
        <w:tc>
          <w:tcPr>
            <w:tcW w:w="1154" w:type="dxa"/>
            <w:tcBorders>
              <w:top w:val="single" w:color="auto" w:sz="4" w:space="0"/>
              <w:left w:val="single" w:color="auto" w:sz="4" w:space="0"/>
              <w:bottom w:val="nil"/>
              <w:right w:val="nil"/>
            </w:tcBorders>
            <w:tcMar>
              <w:top w:w="-1" w:type="dxa"/>
              <w:left w:w="-1" w:type="dxa"/>
              <w:bottom w:w="-1" w:type="dxa"/>
              <w:right w:w="-1" w:type="dxa"/>
            </w:tcMar>
            <w:vAlign w:val="center"/>
          </w:tcPr>
          <w:p w14:paraId="3094F83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34.56</w:t>
            </w:r>
          </w:p>
        </w:tc>
        <w:tc>
          <w:tcPr>
            <w:tcW w:w="729" w:type="dxa"/>
            <w:tcBorders>
              <w:top w:val="single" w:color="auto" w:sz="4" w:space="0"/>
              <w:left w:val="single" w:color="auto" w:sz="4" w:space="0"/>
              <w:bottom w:val="nil"/>
              <w:right w:val="nil"/>
            </w:tcBorders>
            <w:tcMar>
              <w:top w:w="-1" w:type="dxa"/>
              <w:left w:w="-1" w:type="dxa"/>
              <w:bottom w:w="-1" w:type="dxa"/>
              <w:right w:w="-1" w:type="dxa"/>
            </w:tcMar>
            <w:vAlign w:val="center"/>
          </w:tcPr>
          <w:p w14:paraId="7E3A787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0.115</w:t>
            </w:r>
          </w:p>
        </w:tc>
        <w:tc>
          <w:tcPr>
            <w:tcW w:w="1477" w:type="dxa"/>
            <w:tcBorders>
              <w:top w:val="single" w:color="auto" w:sz="4" w:space="0"/>
              <w:left w:val="single" w:color="auto" w:sz="4" w:space="0"/>
              <w:bottom w:val="nil"/>
              <w:right w:val="nil"/>
            </w:tcBorders>
            <w:tcMar>
              <w:top w:w="-1" w:type="dxa"/>
              <w:left w:w="-1" w:type="dxa"/>
              <w:bottom w:w="-1" w:type="dxa"/>
              <w:right w:w="-1" w:type="dxa"/>
            </w:tcMar>
            <w:vAlign w:val="center"/>
          </w:tcPr>
          <w:p w14:paraId="76307FE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[34.33, 34.78]</w:t>
            </w:r>
          </w:p>
        </w:tc>
        <w:tc>
          <w:tcPr>
            <w:tcW w:w="89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B0F43C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14FB40E5">
        <w:tblPrEx>
          <w:tblCellMar>
            <w:top w:w="0" w:type="dxa"/>
            <w:left w:w="108" w:type="dxa"/>
            <w:bottom w:w="0" w:type="dxa"/>
            <w:right w:w="108" w:type="dxa"/>
          </w:tblCellMar>
        </w:tblPrEx>
        <w:trPr>
          <w:cantSplit/>
          <w:trHeight w:val="283" w:hRule="atLeast"/>
          <w:jc w:val="center"/>
        </w:trPr>
        <w:tc>
          <w:tcPr>
            <w:tcW w:w="879" w:type="dxa"/>
            <w:vMerge w:val="continue"/>
            <w:tcBorders>
              <w:left w:val="single" w:color="auto" w:sz="4" w:space="0"/>
              <w:bottom w:val="nil"/>
              <w:right w:val="nil"/>
            </w:tcBorders>
            <w:tcMar>
              <w:top w:w="-1" w:type="dxa"/>
              <w:left w:w="-1" w:type="dxa"/>
              <w:bottom w:w="-1" w:type="dxa"/>
              <w:right w:w="-1" w:type="dxa"/>
            </w:tcMar>
            <w:vAlign w:val="center"/>
          </w:tcPr>
          <w:p w14:paraId="4CCEE099">
            <w:pPr>
              <w:snapToGrid w:val="0"/>
              <w:jc w:val="center"/>
              <w:rPr>
                <w:rFonts w:hint="default" w:ascii="Times New Roman" w:hAnsi="Times New Roman" w:eastAsia="宋体" w:cs="Times New Roman"/>
                <w:szCs w:val="21"/>
              </w:rPr>
            </w:pPr>
          </w:p>
        </w:tc>
        <w:tc>
          <w:tcPr>
            <w:tcW w:w="1255" w:type="dxa"/>
            <w:tcBorders>
              <w:top w:val="single" w:color="auto" w:sz="4" w:space="0"/>
              <w:left w:val="single" w:color="auto" w:sz="4" w:space="0"/>
              <w:bottom w:val="nil"/>
              <w:right w:val="nil"/>
            </w:tcBorders>
            <w:tcMar>
              <w:top w:w="-1" w:type="dxa"/>
              <w:left w:w="-1" w:type="dxa"/>
              <w:bottom w:w="-1" w:type="dxa"/>
              <w:right w:w="-1" w:type="dxa"/>
            </w:tcMar>
            <w:vAlign w:val="center"/>
          </w:tcPr>
          <w:p w14:paraId="5CB3C60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IPWRA ATET</w:t>
            </w:r>
          </w:p>
        </w:tc>
        <w:tc>
          <w:tcPr>
            <w:tcW w:w="1080" w:type="dxa"/>
            <w:vMerge w:val="continue"/>
            <w:tcBorders>
              <w:left w:val="single" w:color="auto" w:sz="4" w:space="0"/>
              <w:bottom w:val="nil"/>
              <w:right w:val="nil"/>
            </w:tcBorders>
            <w:tcMar>
              <w:top w:w="-1" w:type="dxa"/>
              <w:left w:w="-1" w:type="dxa"/>
              <w:bottom w:w="-1" w:type="dxa"/>
              <w:right w:w="-1" w:type="dxa"/>
            </w:tcMar>
            <w:vAlign w:val="center"/>
          </w:tcPr>
          <w:p w14:paraId="2689E741">
            <w:pPr>
              <w:widowControl/>
              <w:snapToGrid w:val="0"/>
              <w:jc w:val="center"/>
              <w:textAlignment w:val="center"/>
              <w:rPr>
                <w:rFonts w:hint="default" w:ascii="Times New Roman" w:hAnsi="Times New Roman" w:eastAsia="宋体" w:cs="Times New Roman"/>
                <w:szCs w:val="21"/>
              </w:rPr>
            </w:pP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523EF44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44.68</w:t>
            </w:r>
          </w:p>
        </w:tc>
        <w:tc>
          <w:tcPr>
            <w:tcW w:w="1320" w:type="dxa"/>
            <w:tcBorders>
              <w:top w:val="single" w:color="auto" w:sz="4" w:space="0"/>
              <w:left w:val="single" w:color="auto" w:sz="4" w:space="0"/>
              <w:bottom w:val="nil"/>
              <w:right w:val="nil"/>
            </w:tcBorders>
            <w:tcMar>
              <w:top w:w="-1" w:type="dxa"/>
              <w:left w:w="-1" w:type="dxa"/>
              <w:bottom w:w="-1" w:type="dxa"/>
              <w:right w:w="-1" w:type="dxa"/>
            </w:tcMar>
            <w:vAlign w:val="center"/>
          </w:tcPr>
          <w:p w14:paraId="0BC612F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10.31</w:t>
            </w:r>
          </w:p>
        </w:tc>
        <w:tc>
          <w:tcPr>
            <w:tcW w:w="1154" w:type="dxa"/>
            <w:tcBorders>
              <w:top w:val="single" w:color="auto" w:sz="4" w:space="0"/>
              <w:left w:val="single" w:color="auto" w:sz="4" w:space="0"/>
              <w:bottom w:val="nil"/>
              <w:right w:val="nil"/>
            </w:tcBorders>
            <w:tcMar>
              <w:top w:w="-1" w:type="dxa"/>
              <w:left w:w="-1" w:type="dxa"/>
              <w:bottom w:w="-1" w:type="dxa"/>
              <w:right w:w="-1" w:type="dxa"/>
            </w:tcMar>
            <w:vAlign w:val="center"/>
          </w:tcPr>
          <w:p w14:paraId="66F3D07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34.37</w:t>
            </w:r>
          </w:p>
        </w:tc>
        <w:tc>
          <w:tcPr>
            <w:tcW w:w="729" w:type="dxa"/>
            <w:tcBorders>
              <w:top w:val="single" w:color="auto" w:sz="4" w:space="0"/>
              <w:left w:val="single" w:color="auto" w:sz="4" w:space="0"/>
              <w:bottom w:val="nil"/>
              <w:right w:val="nil"/>
            </w:tcBorders>
            <w:tcMar>
              <w:top w:w="-1" w:type="dxa"/>
              <w:left w:w="-1" w:type="dxa"/>
              <w:bottom w:w="-1" w:type="dxa"/>
              <w:right w:w="-1" w:type="dxa"/>
            </w:tcMar>
            <w:vAlign w:val="center"/>
          </w:tcPr>
          <w:p w14:paraId="5630D8E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0.115</w:t>
            </w:r>
          </w:p>
        </w:tc>
        <w:tc>
          <w:tcPr>
            <w:tcW w:w="1477" w:type="dxa"/>
            <w:tcBorders>
              <w:top w:val="single" w:color="auto" w:sz="4" w:space="0"/>
              <w:left w:val="single" w:color="auto" w:sz="4" w:space="0"/>
              <w:bottom w:val="nil"/>
              <w:right w:val="nil"/>
            </w:tcBorders>
            <w:tcMar>
              <w:top w:w="-1" w:type="dxa"/>
              <w:left w:w="-1" w:type="dxa"/>
              <w:bottom w:w="-1" w:type="dxa"/>
              <w:right w:w="-1" w:type="dxa"/>
            </w:tcMar>
            <w:vAlign w:val="center"/>
          </w:tcPr>
          <w:p w14:paraId="72DFC7E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[34.15, 34.60]</w:t>
            </w:r>
          </w:p>
        </w:tc>
        <w:tc>
          <w:tcPr>
            <w:tcW w:w="89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EE4A6D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2E34E0EE">
        <w:tblPrEx>
          <w:tblCellMar>
            <w:top w:w="0" w:type="dxa"/>
            <w:left w:w="108" w:type="dxa"/>
            <w:bottom w:w="0" w:type="dxa"/>
            <w:right w:w="108" w:type="dxa"/>
          </w:tblCellMar>
        </w:tblPrEx>
        <w:trPr>
          <w:cantSplit/>
          <w:trHeight w:val="283" w:hRule="atLeast"/>
          <w:jc w:val="center"/>
        </w:trPr>
        <w:tc>
          <w:tcPr>
            <w:tcW w:w="879" w:type="dxa"/>
            <w:vMerge w:val="restart"/>
            <w:tcBorders>
              <w:top w:val="single" w:color="auto" w:sz="4" w:space="0"/>
              <w:left w:val="single" w:color="auto" w:sz="4" w:space="0"/>
              <w:right w:val="nil"/>
            </w:tcBorders>
            <w:tcMar>
              <w:top w:w="-1" w:type="dxa"/>
              <w:left w:w="-1" w:type="dxa"/>
              <w:bottom w:w="-1" w:type="dxa"/>
              <w:right w:w="-1" w:type="dxa"/>
            </w:tcMar>
            <w:vAlign w:val="center"/>
          </w:tcPr>
          <w:p w14:paraId="4A6595CE">
            <w:pPr>
              <w:widowControl/>
              <w:snapToGrid w:val="0"/>
              <w:spacing w:before="0" w:after="0" w:line="240" w:lineRule="auto"/>
              <w:jc w:val="center"/>
              <w:textAlignment w:val="center"/>
              <w:rPr>
                <w:rFonts w:hint="default" w:ascii="Times New Roman" w:hAnsi="Times New Roman" w:eastAsia="宋体" w:cs="Times New Roman"/>
                <w:kern w:val="0"/>
                <w:szCs w:val="21"/>
                <w:lang w:val="en-US" w:eastAsia="zh-CN" w:bidi="ar"/>
              </w:rPr>
            </w:pPr>
            <w:r>
              <w:rPr>
                <w:rFonts w:hint="default" w:ascii="Times New Roman" w:hAnsi="Times New Roman" w:eastAsia="宋体" w:cs="Times New Roman"/>
                <w:kern w:val="0"/>
                <w:szCs w:val="21"/>
                <w:lang w:bidi="ar"/>
              </w:rPr>
              <w:t>O</w:t>
            </w:r>
            <w:r>
              <w:rPr>
                <w:rFonts w:hint="default" w:ascii="Times New Roman" w:hAnsi="Times New Roman" w:eastAsia="宋体" w:cs="Times New Roman"/>
                <w:kern w:val="0"/>
                <w:szCs w:val="21"/>
                <w:lang w:val="en-US" w:eastAsia="zh-CN" w:bidi="ar"/>
              </w:rPr>
              <w:t>pen</w:t>
            </w:r>
          </w:p>
          <w:p w14:paraId="721F0D6C">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val="en-US" w:eastAsia="zh-CN" w:bidi="ar"/>
              </w:rPr>
              <w:t>Alex</w:t>
            </w:r>
          </w:p>
        </w:tc>
        <w:tc>
          <w:tcPr>
            <w:tcW w:w="1255" w:type="dxa"/>
            <w:tcBorders>
              <w:top w:val="single" w:color="auto" w:sz="4" w:space="0"/>
              <w:left w:val="single" w:color="auto" w:sz="4" w:space="0"/>
              <w:bottom w:val="nil"/>
              <w:right w:val="nil"/>
            </w:tcBorders>
            <w:tcMar>
              <w:top w:w="-1" w:type="dxa"/>
              <w:left w:w="-1" w:type="dxa"/>
              <w:bottom w:w="-1" w:type="dxa"/>
              <w:right w:w="-1" w:type="dxa"/>
            </w:tcMar>
            <w:vAlign w:val="center"/>
          </w:tcPr>
          <w:p w14:paraId="761B65B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Unadjusted difference</w:t>
            </w:r>
          </w:p>
        </w:tc>
        <w:tc>
          <w:tcPr>
            <w:tcW w:w="1080" w:type="dxa"/>
            <w:vMerge w:val="restart"/>
            <w:tcBorders>
              <w:top w:val="single" w:color="auto" w:sz="4" w:space="0"/>
              <w:left w:val="single" w:color="auto" w:sz="4" w:space="0"/>
              <w:right w:val="nil"/>
            </w:tcBorders>
            <w:tcMar>
              <w:top w:w="-1" w:type="dxa"/>
              <w:left w:w="-1" w:type="dxa"/>
              <w:bottom w:w="-1" w:type="dxa"/>
              <w:right w:w="-1" w:type="dxa"/>
            </w:tcMar>
            <w:vAlign w:val="center"/>
          </w:tcPr>
          <w:p w14:paraId="434907C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1,813,704</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7FBEEA5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63.48</w:t>
            </w:r>
          </w:p>
        </w:tc>
        <w:tc>
          <w:tcPr>
            <w:tcW w:w="1320" w:type="dxa"/>
            <w:tcBorders>
              <w:top w:val="single" w:color="auto" w:sz="4" w:space="0"/>
              <w:left w:val="single" w:color="auto" w:sz="4" w:space="0"/>
              <w:bottom w:val="nil"/>
              <w:right w:val="nil"/>
            </w:tcBorders>
            <w:tcMar>
              <w:top w:w="-1" w:type="dxa"/>
              <w:left w:w="-1" w:type="dxa"/>
              <w:bottom w:w="-1" w:type="dxa"/>
              <w:right w:w="-1" w:type="dxa"/>
            </w:tcMar>
            <w:vAlign w:val="center"/>
          </w:tcPr>
          <w:p w14:paraId="60D56C5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54</w:t>
            </w:r>
          </w:p>
        </w:tc>
        <w:tc>
          <w:tcPr>
            <w:tcW w:w="1154" w:type="dxa"/>
            <w:tcBorders>
              <w:top w:val="single" w:color="auto" w:sz="4" w:space="0"/>
              <w:left w:val="single" w:color="auto" w:sz="4" w:space="0"/>
              <w:bottom w:val="nil"/>
              <w:right w:val="nil"/>
            </w:tcBorders>
            <w:tcMar>
              <w:top w:w="-1" w:type="dxa"/>
              <w:left w:w="-1" w:type="dxa"/>
              <w:bottom w:w="-1" w:type="dxa"/>
              <w:right w:w="-1" w:type="dxa"/>
            </w:tcMar>
            <w:vAlign w:val="center"/>
          </w:tcPr>
          <w:p w14:paraId="0CC86ED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9.48</w:t>
            </w:r>
          </w:p>
        </w:tc>
        <w:tc>
          <w:tcPr>
            <w:tcW w:w="729" w:type="dxa"/>
            <w:tcBorders>
              <w:top w:val="single" w:color="auto" w:sz="4" w:space="0"/>
              <w:left w:val="single" w:color="auto" w:sz="4" w:space="0"/>
              <w:bottom w:val="nil"/>
              <w:right w:val="nil"/>
            </w:tcBorders>
            <w:tcMar>
              <w:top w:w="-1" w:type="dxa"/>
              <w:left w:w="-1" w:type="dxa"/>
              <w:bottom w:w="-1" w:type="dxa"/>
              <w:right w:w="-1" w:type="dxa"/>
            </w:tcMar>
            <w:vAlign w:val="center"/>
          </w:tcPr>
          <w:p w14:paraId="73CF3F2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0.076</w:t>
            </w:r>
          </w:p>
        </w:tc>
        <w:tc>
          <w:tcPr>
            <w:tcW w:w="1477" w:type="dxa"/>
            <w:tcBorders>
              <w:top w:val="single" w:color="auto" w:sz="4" w:space="0"/>
              <w:left w:val="single" w:color="auto" w:sz="4" w:space="0"/>
              <w:bottom w:val="nil"/>
              <w:right w:val="nil"/>
            </w:tcBorders>
            <w:tcMar>
              <w:top w:w="-1" w:type="dxa"/>
              <w:left w:w="-1" w:type="dxa"/>
              <w:bottom w:w="-1" w:type="dxa"/>
              <w:right w:w="-1" w:type="dxa"/>
            </w:tcMar>
            <w:vAlign w:val="center"/>
          </w:tcPr>
          <w:p w14:paraId="18C01C0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[9.33, 9.63]</w:t>
            </w:r>
          </w:p>
        </w:tc>
        <w:tc>
          <w:tcPr>
            <w:tcW w:w="89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9E9213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50DD8FC7">
        <w:tblPrEx>
          <w:tblCellMar>
            <w:top w:w="0" w:type="dxa"/>
            <w:left w:w="108" w:type="dxa"/>
            <w:bottom w:w="0" w:type="dxa"/>
            <w:right w:w="108" w:type="dxa"/>
          </w:tblCellMar>
        </w:tblPrEx>
        <w:trPr>
          <w:cantSplit/>
          <w:trHeight w:val="283" w:hRule="atLeast"/>
          <w:jc w:val="center"/>
        </w:trPr>
        <w:tc>
          <w:tcPr>
            <w:tcW w:w="879" w:type="dxa"/>
            <w:vMerge w:val="continue"/>
            <w:tcBorders>
              <w:left w:val="single" w:color="auto" w:sz="4" w:space="0"/>
              <w:right w:val="nil"/>
            </w:tcBorders>
            <w:tcMar>
              <w:top w:w="-1" w:type="dxa"/>
              <w:left w:w="-1" w:type="dxa"/>
              <w:bottom w:w="-1" w:type="dxa"/>
              <w:right w:w="-1" w:type="dxa"/>
            </w:tcMar>
            <w:vAlign w:val="center"/>
          </w:tcPr>
          <w:p w14:paraId="3EC16095">
            <w:pPr>
              <w:snapToGrid w:val="0"/>
              <w:jc w:val="center"/>
              <w:rPr>
                <w:rFonts w:hint="default" w:ascii="Times New Roman" w:hAnsi="Times New Roman" w:eastAsia="宋体" w:cs="Times New Roman"/>
                <w:szCs w:val="21"/>
              </w:rPr>
            </w:pPr>
          </w:p>
        </w:tc>
        <w:tc>
          <w:tcPr>
            <w:tcW w:w="1255" w:type="dxa"/>
            <w:tcBorders>
              <w:top w:val="single" w:color="auto" w:sz="4" w:space="0"/>
              <w:left w:val="single" w:color="auto" w:sz="4" w:space="0"/>
              <w:bottom w:val="nil"/>
              <w:right w:val="nil"/>
            </w:tcBorders>
            <w:tcMar>
              <w:top w:w="-1" w:type="dxa"/>
              <w:left w:w="-1" w:type="dxa"/>
              <w:bottom w:w="-1" w:type="dxa"/>
              <w:right w:w="-1" w:type="dxa"/>
            </w:tcMar>
            <w:vAlign w:val="center"/>
          </w:tcPr>
          <w:p w14:paraId="066F0E9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Logit AME</w:t>
            </w:r>
          </w:p>
        </w:tc>
        <w:tc>
          <w:tcPr>
            <w:tcW w:w="1080" w:type="dxa"/>
            <w:vMerge w:val="continue"/>
            <w:tcBorders>
              <w:left w:val="single" w:color="auto" w:sz="4" w:space="0"/>
              <w:right w:val="nil"/>
            </w:tcBorders>
            <w:tcMar>
              <w:top w:w="-1" w:type="dxa"/>
              <w:left w:w="-1" w:type="dxa"/>
              <w:bottom w:w="-1" w:type="dxa"/>
              <w:right w:w="-1" w:type="dxa"/>
            </w:tcMar>
            <w:vAlign w:val="center"/>
          </w:tcPr>
          <w:p w14:paraId="47710048">
            <w:pPr>
              <w:widowControl/>
              <w:snapToGrid w:val="0"/>
              <w:jc w:val="center"/>
              <w:textAlignment w:val="center"/>
              <w:rPr>
                <w:rFonts w:hint="default" w:ascii="Times New Roman" w:hAnsi="Times New Roman" w:eastAsia="宋体" w:cs="Times New Roman"/>
                <w:szCs w:val="21"/>
              </w:rPr>
            </w:pP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2A58DD8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63.36</w:t>
            </w:r>
          </w:p>
        </w:tc>
        <w:tc>
          <w:tcPr>
            <w:tcW w:w="1320" w:type="dxa"/>
            <w:tcBorders>
              <w:top w:val="single" w:color="auto" w:sz="4" w:space="0"/>
              <w:left w:val="single" w:color="auto" w:sz="4" w:space="0"/>
              <w:bottom w:val="nil"/>
              <w:right w:val="nil"/>
            </w:tcBorders>
            <w:tcMar>
              <w:top w:w="-1" w:type="dxa"/>
              <w:left w:w="-1" w:type="dxa"/>
              <w:bottom w:w="-1" w:type="dxa"/>
              <w:right w:w="-1" w:type="dxa"/>
            </w:tcMar>
            <w:vAlign w:val="center"/>
          </w:tcPr>
          <w:p w14:paraId="1720CBB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54.22</w:t>
            </w:r>
          </w:p>
        </w:tc>
        <w:tc>
          <w:tcPr>
            <w:tcW w:w="1154" w:type="dxa"/>
            <w:tcBorders>
              <w:top w:val="single" w:color="auto" w:sz="4" w:space="0"/>
              <w:left w:val="single" w:color="auto" w:sz="4" w:space="0"/>
              <w:bottom w:val="nil"/>
              <w:right w:val="nil"/>
            </w:tcBorders>
            <w:tcMar>
              <w:top w:w="-1" w:type="dxa"/>
              <w:left w:w="-1" w:type="dxa"/>
              <w:bottom w:w="-1" w:type="dxa"/>
              <w:right w:w="-1" w:type="dxa"/>
            </w:tcMar>
            <w:vAlign w:val="center"/>
          </w:tcPr>
          <w:p w14:paraId="75417C6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9.13</w:t>
            </w:r>
          </w:p>
        </w:tc>
        <w:tc>
          <w:tcPr>
            <w:tcW w:w="729" w:type="dxa"/>
            <w:tcBorders>
              <w:top w:val="single" w:color="auto" w:sz="4" w:space="0"/>
              <w:left w:val="single" w:color="auto" w:sz="4" w:space="0"/>
              <w:bottom w:val="nil"/>
              <w:right w:val="nil"/>
            </w:tcBorders>
            <w:tcMar>
              <w:top w:w="-1" w:type="dxa"/>
              <w:left w:w="-1" w:type="dxa"/>
              <w:bottom w:w="-1" w:type="dxa"/>
              <w:right w:w="-1" w:type="dxa"/>
            </w:tcMar>
            <w:vAlign w:val="center"/>
          </w:tcPr>
          <w:p w14:paraId="3747BF7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0.076</w:t>
            </w:r>
          </w:p>
        </w:tc>
        <w:tc>
          <w:tcPr>
            <w:tcW w:w="1477" w:type="dxa"/>
            <w:tcBorders>
              <w:top w:val="single" w:color="auto" w:sz="4" w:space="0"/>
              <w:left w:val="single" w:color="auto" w:sz="4" w:space="0"/>
              <w:bottom w:val="nil"/>
              <w:right w:val="nil"/>
            </w:tcBorders>
            <w:tcMar>
              <w:top w:w="-1" w:type="dxa"/>
              <w:left w:w="-1" w:type="dxa"/>
              <w:bottom w:w="-1" w:type="dxa"/>
              <w:right w:w="-1" w:type="dxa"/>
            </w:tcMar>
            <w:vAlign w:val="center"/>
          </w:tcPr>
          <w:p w14:paraId="2B7835E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[8.99, 9.28]</w:t>
            </w:r>
          </w:p>
        </w:tc>
        <w:tc>
          <w:tcPr>
            <w:tcW w:w="89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681728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08FCE8F5">
        <w:tblPrEx>
          <w:tblCellMar>
            <w:top w:w="0" w:type="dxa"/>
            <w:left w:w="108" w:type="dxa"/>
            <w:bottom w:w="0" w:type="dxa"/>
            <w:right w:w="108" w:type="dxa"/>
          </w:tblCellMar>
        </w:tblPrEx>
        <w:trPr>
          <w:cantSplit/>
          <w:trHeight w:val="283" w:hRule="atLeast"/>
          <w:jc w:val="center"/>
        </w:trPr>
        <w:tc>
          <w:tcPr>
            <w:tcW w:w="879" w:type="dxa"/>
            <w:vMerge w:val="continue"/>
            <w:tcBorders>
              <w:left w:val="single" w:color="auto" w:sz="4" w:space="0"/>
              <w:bottom w:val="nil"/>
              <w:right w:val="nil"/>
            </w:tcBorders>
            <w:tcMar>
              <w:top w:w="-1" w:type="dxa"/>
              <w:left w:w="-1" w:type="dxa"/>
              <w:bottom w:w="-1" w:type="dxa"/>
              <w:right w:w="-1" w:type="dxa"/>
            </w:tcMar>
            <w:vAlign w:val="center"/>
          </w:tcPr>
          <w:p w14:paraId="0B1A18E8">
            <w:pPr>
              <w:snapToGrid w:val="0"/>
              <w:jc w:val="center"/>
              <w:rPr>
                <w:rFonts w:hint="default" w:ascii="Times New Roman" w:hAnsi="Times New Roman" w:eastAsia="宋体" w:cs="Times New Roman"/>
                <w:szCs w:val="21"/>
              </w:rPr>
            </w:pPr>
          </w:p>
        </w:tc>
        <w:tc>
          <w:tcPr>
            <w:tcW w:w="1255" w:type="dxa"/>
            <w:tcBorders>
              <w:top w:val="single" w:color="auto" w:sz="4" w:space="0"/>
              <w:left w:val="single" w:color="auto" w:sz="4" w:space="0"/>
              <w:bottom w:val="nil"/>
              <w:right w:val="nil"/>
            </w:tcBorders>
            <w:tcMar>
              <w:top w:w="-1" w:type="dxa"/>
              <w:left w:w="-1" w:type="dxa"/>
              <w:bottom w:w="-1" w:type="dxa"/>
              <w:right w:w="-1" w:type="dxa"/>
            </w:tcMar>
            <w:vAlign w:val="center"/>
          </w:tcPr>
          <w:p w14:paraId="2B220DE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IPWRA ATET</w:t>
            </w:r>
          </w:p>
        </w:tc>
        <w:tc>
          <w:tcPr>
            <w:tcW w:w="1080" w:type="dxa"/>
            <w:vMerge w:val="continue"/>
            <w:tcBorders>
              <w:left w:val="single" w:color="auto" w:sz="4" w:space="0"/>
              <w:bottom w:val="nil"/>
              <w:right w:val="nil"/>
            </w:tcBorders>
            <w:tcMar>
              <w:top w:w="-1" w:type="dxa"/>
              <w:left w:w="-1" w:type="dxa"/>
              <w:bottom w:w="-1" w:type="dxa"/>
              <w:right w:w="-1" w:type="dxa"/>
            </w:tcMar>
            <w:vAlign w:val="center"/>
          </w:tcPr>
          <w:p w14:paraId="1A67F35D">
            <w:pPr>
              <w:widowControl/>
              <w:snapToGrid w:val="0"/>
              <w:jc w:val="center"/>
              <w:textAlignment w:val="center"/>
              <w:rPr>
                <w:rFonts w:hint="default" w:ascii="Times New Roman" w:hAnsi="Times New Roman" w:eastAsia="宋体" w:cs="Times New Roman"/>
                <w:szCs w:val="21"/>
              </w:rPr>
            </w:pP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75ED80F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63.48</w:t>
            </w:r>
          </w:p>
        </w:tc>
        <w:tc>
          <w:tcPr>
            <w:tcW w:w="1320" w:type="dxa"/>
            <w:tcBorders>
              <w:top w:val="single" w:color="auto" w:sz="4" w:space="0"/>
              <w:left w:val="single" w:color="auto" w:sz="4" w:space="0"/>
              <w:bottom w:val="nil"/>
              <w:right w:val="nil"/>
            </w:tcBorders>
            <w:tcMar>
              <w:top w:w="-1" w:type="dxa"/>
              <w:left w:w="-1" w:type="dxa"/>
              <w:bottom w:w="-1" w:type="dxa"/>
              <w:right w:w="-1" w:type="dxa"/>
            </w:tcMar>
            <w:vAlign w:val="center"/>
          </w:tcPr>
          <w:p w14:paraId="1B9758A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54.34</w:t>
            </w:r>
          </w:p>
        </w:tc>
        <w:tc>
          <w:tcPr>
            <w:tcW w:w="1154" w:type="dxa"/>
            <w:tcBorders>
              <w:top w:val="single" w:color="auto" w:sz="4" w:space="0"/>
              <w:left w:val="single" w:color="auto" w:sz="4" w:space="0"/>
              <w:bottom w:val="nil"/>
              <w:right w:val="nil"/>
            </w:tcBorders>
            <w:tcMar>
              <w:top w:w="-1" w:type="dxa"/>
              <w:left w:w="-1" w:type="dxa"/>
              <w:bottom w:w="-1" w:type="dxa"/>
              <w:right w:w="-1" w:type="dxa"/>
            </w:tcMar>
            <w:vAlign w:val="center"/>
          </w:tcPr>
          <w:p w14:paraId="5583F5C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9.14</w:t>
            </w:r>
          </w:p>
        </w:tc>
        <w:tc>
          <w:tcPr>
            <w:tcW w:w="729" w:type="dxa"/>
            <w:tcBorders>
              <w:top w:val="single" w:color="auto" w:sz="4" w:space="0"/>
              <w:left w:val="single" w:color="auto" w:sz="4" w:space="0"/>
              <w:bottom w:val="nil"/>
              <w:right w:val="nil"/>
            </w:tcBorders>
            <w:tcMar>
              <w:top w:w="-1" w:type="dxa"/>
              <w:left w:w="-1" w:type="dxa"/>
              <w:bottom w:w="-1" w:type="dxa"/>
              <w:right w:w="-1" w:type="dxa"/>
            </w:tcMar>
            <w:vAlign w:val="center"/>
          </w:tcPr>
          <w:p w14:paraId="5394A69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0.077</w:t>
            </w:r>
          </w:p>
        </w:tc>
        <w:tc>
          <w:tcPr>
            <w:tcW w:w="1477" w:type="dxa"/>
            <w:tcBorders>
              <w:top w:val="single" w:color="auto" w:sz="4" w:space="0"/>
              <w:left w:val="single" w:color="auto" w:sz="4" w:space="0"/>
              <w:bottom w:val="nil"/>
              <w:right w:val="nil"/>
            </w:tcBorders>
            <w:tcMar>
              <w:top w:w="-1" w:type="dxa"/>
              <w:left w:w="-1" w:type="dxa"/>
              <w:bottom w:w="-1" w:type="dxa"/>
              <w:right w:w="-1" w:type="dxa"/>
            </w:tcMar>
            <w:vAlign w:val="center"/>
          </w:tcPr>
          <w:p w14:paraId="490C0D1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[8.99, 9.29]</w:t>
            </w:r>
          </w:p>
        </w:tc>
        <w:tc>
          <w:tcPr>
            <w:tcW w:w="89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B9ACC7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4A1333FD">
        <w:tblPrEx>
          <w:tblCellMar>
            <w:top w:w="0" w:type="dxa"/>
            <w:left w:w="108" w:type="dxa"/>
            <w:bottom w:w="0" w:type="dxa"/>
            <w:right w:w="108" w:type="dxa"/>
          </w:tblCellMar>
        </w:tblPrEx>
        <w:trPr>
          <w:cantSplit/>
          <w:trHeight w:val="283" w:hRule="atLeast"/>
          <w:jc w:val="center"/>
        </w:trPr>
        <w:tc>
          <w:tcPr>
            <w:tcW w:w="879" w:type="dxa"/>
            <w:vMerge w:val="restart"/>
            <w:tcBorders>
              <w:top w:val="single" w:color="auto" w:sz="4" w:space="0"/>
              <w:left w:val="single" w:color="auto" w:sz="4" w:space="0"/>
              <w:right w:val="nil"/>
            </w:tcBorders>
            <w:tcMar>
              <w:top w:w="-1" w:type="dxa"/>
              <w:left w:w="-1" w:type="dxa"/>
              <w:bottom w:w="-1" w:type="dxa"/>
              <w:right w:w="-1" w:type="dxa"/>
            </w:tcMar>
            <w:vAlign w:val="center"/>
          </w:tcPr>
          <w:p w14:paraId="5EBADB8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Global faculty CV</w:t>
            </w:r>
          </w:p>
        </w:tc>
        <w:tc>
          <w:tcPr>
            <w:tcW w:w="1255" w:type="dxa"/>
            <w:tcBorders>
              <w:top w:val="single" w:color="auto" w:sz="4" w:space="0"/>
              <w:left w:val="single" w:color="auto" w:sz="4" w:space="0"/>
              <w:bottom w:val="nil"/>
              <w:right w:val="nil"/>
            </w:tcBorders>
            <w:tcMar>
              <w:top w:w="-1" w:type="dxa"/>
              <w:left w:w="-1" w:type="dxa"/>
              <w:bottom w:w="-1" w:type="dxa"/>
              <w:right w:w="-1" w:type="dxa"/>
            </w:tcMar>
            <w:vAlign w:val="center"/>
          </w:tcPr>
          <w:p w14:paraId="29EB47F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Unadjusted difference</w:t>
            </w:r>
          </w:p>
        </w:tc>
        <w:tc>
          <w:tcPr>
            <w:tcW w:w="1080" w:type="dxa"/>
            <w:vMerge w:val="restart"/>
            <w:tcBorders>
              <w:top w:val="single" w:color="auto" w:sz="4" w:space="0"/>
              <w:left w:val="single" w:color="auto" w:sz="4" w:space="0"/>
              <w:right w:val="nil"/>
            </w:tcBorders>
            <w:tcMar>
              <w:top w:w="-1" w:type="dxa"/>
              <w:left w:w="-1" w:type="dxa"/>
              <w:bottom w:w="-1" w:type="dxa"/>
              <w:right w:w="-1" w:type="dxa"/>
            </w:tcMar>
            <w:vAlign w:val="center"/>
          </w:tcPr>
          <w:p w14:paraId="35C006F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803,817</w:t>
            </w: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553E05B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50.64</w:t>
            </w:r>
          </w:p>
        </w:tc>
        <w:tc>
          <w:tcPr>
            <w:tcW w:w="1320" w:type="dxa"/>
            <w:tcBorders>
              <w:top w:val="single" w:color="auto" w:sz="4" w:space="0"/>
              <w:left w:val="single" w:color="auto" w:sz="4" w:space="0"/>
              <w:bottom w:val="nil"/>
              <w:right w:val="nil"/>
            </w:tcBorders>
            <w:tcMar>
              <w:top w:w="-1" w:type="dxa"/>
              <w:left w:w="-1" w:type="dxa"/>
              <w:bottom w:w="-1" w:type="dxa"/>
              <w:right w:w="-1" w:type="dxa"/>
            </w:tcMar>
            <w:vAlign w:val="center"/>
          </w:tcPr>
          <w:p w14:paraId="0BA8216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16.51</w:t>
            </w:r>
          </w:p>
        </w:tc>
        <w:tc>
          <w:tcPr>
            <w:tcW w:w="1154" w:type="dxa"/>
            <w:tcBorders>
              <w:top w:val="single" w:color="auto" w:sz="4" w:space="0"/>
              <w:left w:val="single" w:color="auto" w:sz="4" w:space="0"/>
              <w:bottom w:val="nil"/>
              <w:right w:val="nil"/>
            </w:tcBorders>
            <w:tcMar>
              <w:top w:w="-1" w:type="dxa"/>
              <w:left w:w="-1" w:type="dxa"/>
              <w:bottom w:w="-1" w:type="dxa"/>
              <w:right w:w="-1" w:type="dxa"/>
            </w:tcMar>
            <w:vAlign w:val="center"/>
          </w:tcPr>
          <w:p w14:paraId="09EEC97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34.13</w:t>
            </w:r>
          </w:p>
        </w:tc>
        <w:tc>
          <w:tcPr>
            <w:tcW w:w="729" w:type="dxa"/>
            <w:tcBorders>
              <w:top w:val="single" w:color="auto" w:sz="4" w:space="0"/>
              <w:left w:val="single" w:color="auto" w:sz="4" w:space="0"/>
              <w:bottom w:val="nil"/>
              <w:right w:val="nil"/>
            </w:tcBorders>
            <w:tcMar>
              <w:top w:w="-1" w:type="dxa"/>
              <w:left w:w="-1" w:type="dxa"/>
              <w:bottom w:w="-1" w:type="dxa"/>
              <w:right w:w="-1" w:type="dxa"/>
            </w:tcMar>
            <w:vAlign w:val="center"/>
          </w:tcPr>
          <w:p w14:paraId="0175176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0.104</w:t>
            </w:r>
          </w:p>
        </w:tc>
        <w:tc>
          <w:tcPr>
            <w:tcW w:w="1477" w:type="dxa"/>
            <w:tcBorders>
              <w:top w:val="single" w:color="auto" w:sz="4" w:space="0"/>
              <w:left w:val="single" w:color="auto" w:sz="4" w:space="0"/>
              <w:bottom w:val="nil"/>
              <w:right w:val="nil"/>
            </w:tcBorders>
            <w:tcMar>
              <w:top w:w="-1" w:type="dxa"/>
              <w:left w:w="-1" w:type="dxa"/>
              <w:bottom w:w="-1" w:type="dxa"/>
              <w:right w:w="-1" w:type="dxa"/>
            </w:tcMar>
            <w:vAlign w:val="center"/>
          </w:tcPr>
          <w:p w14:paraId="22D6C87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[33.92, 34.33]</w:t>
            </w:r>
          </w:p>
        </w:tc>
        <w:tc>
          <w:tcPr>
            <w:tcW w:w="89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82E270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1A654BEB">
        <w:tblPrEx>
          <w:tblCellMar>
            <w:top w:w="0" w:type="dxa"/>
            <w:left w:w="108" w:type="dxa"/>
            <w:bottom w:w="0" w:type="dxa"/>
            <w:right w:w="108" w:type="dxa"/>
          </w:tblCellMar>
        </w:tblPrEx>
        <w:trPr>
          <w:cantSplit/>
          <w:trHeight w:val="283" w:hRule="atLeast"/>
          <w:jc w:val="center"/>
        </w:trPr>
        <w:tc>
          <w:tcPr>
            <w:tcW w:w="879" w:type="dxa"/>
            <w:vMerge w:val="continue"/>
            <w:tcBorders>
              <w:left w:val="single" w:color="auto" w:sz="4" w:space="0"/>
              <w:right w:val="nil"/>
            </w:tcBorders>
            <w:tcMar>
              <w:top w:w="-1" w:type="dxa"/>
              <w:left w:w="-1" w:type="dxa"/>
              <w:bottom w:w="-1" w:type="dxa"/>
              <w:right w:w="-1" w:type="dxa"/>
            </w:tcMar>
            <w:vAlign w:val="center"/>
          </w:tcPr>
          <w:p w14:paraId="349C9E24">
            <w:pPr>
              <w:snapToGrid w:val="0"/>
              <w:jc w:val="center"/>
              <w:rPr>
                <w:rFonts w:hint="default" w:ascii="Times New Roman" w:hAnsi="Times New Roman" w:eastAsia="宋体" w:cs="Times New Roman"/>
                <w:szCs w:val="21"/>
              </w:rPr>
            </w:pPr>
          </w:p>
        </w:tc>
        <w:tc>
          <w:tcPr>
            <w:tcW w:w="1255" w:type="dxa"/>
            <w:tcBorders>
              <w:top w:val="single" w:color="auto" w:sz="4" w:space="0"/>
              <w:left w:val="single" w:color="auto" w:sz="4" w:space="0"/>
              <w:bottom w:val="nil"/>
              <w:right w:val="nil"/>
            </w:tcBorders>
            <w:tcMar>
              <w:top w:w="-1" w:type="dxa"/>
              <w:left w:w="-1" w:type="dxa"/>
              <w:bottom w:w="-1" w:type="dxa"/>
              <w:right w:w="-1" w:type="dxa"/>
            </w:tcMar>
            <w:vAlign w:val="center"/>
          </w:tcPr>
          <w:p w14:paraId="5E23283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Logit AME</w:t>
            </w:r>
          </w:p>
        </w:tc>
        <w:tc>
          <w:tcPr>
            <w:tcW w:w="1080" w:type="dxa"/>
            <w:vMerge w:val="continue"/>
            <w:tcBorders>
              <w:left w:val="single" w:color="auto" w:sz="4" w:space="0"/>
              <w:right w:val="nil"/>
            </w:tcBorders>
            <w:tcMar>
              <w:top w:w="-1" w:type="dxa"/>
              <w:left w:w="-1" w:type="dxa"/>
              <w:bottom w:w="-1" w:type="dxa"/>
              <w:right w:w="-1" w:type="dxa"/>
            </w:tcMar>
            <w:vAlign w:val="center"/>
          </w:tcPr>
          <w:p w14:paraId="55B23D9E">
            <w:pPr>
              <w:widowControl/>
              <w:snapToGrid w:val="0"/>
              <w:jc w:val="center"/>
              <w:textAlignment w:val="center"/>
              <w:rPr>
                <w:rFonts w:hint="default" w:ascii="Times New Roman" w:hAnsi="Times New Roman" w:eastAsia="宋体" w:cs="Times New Roman"/>
                <w:szCs w:val="21"/>
              </w:rPr>
            </w:pPr>
          </w:p>
        </w:tc>
        <w:tc>
          <w:tcPr>
            <w:tcW w:w="1302" w:type="dxa"/>
            <w:tcBorders>
              <w:top w:val="single" w:color="auto" w:sz="4" w:space="0"/>
              <w:left w:val="single" w:color="auto" w:sz="4" w:space="0"/>
              <w:bottom w:val="nil"/>
              <w:right w:val="nil"/>
            </w:tcBorders>
            <w:tcMar>
              <w:top w:w="-1" w:type="dxa"/>
              <w:left w:w="-1" w:type="dxa"/>
              <w:bottom w:w="-1" w:type="dxa"/>
              <w:right w:w="-1" w:type="dxa"/>
            </w:tcMar>
            <w:vAlign w:val="center"/>
          </w:tcPr>
          <w:p w14:paraId="79ED5B1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49.97</w:t>
            </w:r>
          </w:p>
        </w:tc>
        <w:tc>
          <w:tcPr>
            <w:tcW w:w="1320" w:type="dxa"/>
            <w:tcBorders>
              <w:top w:val="single" w:color="auto" w:sz="4" w:space="0"/>
              <w:left w:val="single" w:color="auto" w:sz="4" w:space="0"/>
              <w:bottom w:val="nil"/>
              <w:right w:val="nil"/>
            </w:tcBorders>
            <w:tcMar>
              <w:top w:w="-1" w:type="dxa"/>
              <w:left w:w="-1" w:type="dxa"/>
              <w:bottom w:w="-1" w:type="dxa"/>
              <w:right w:w="-1" w:type="dxa"/>
            </w:tcMar>
            <w:vAlign w:val="center"/>
          </w:tcPr>
          <w:p w14:paraId="3B36042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16.72</w:t>
            </w:r>
          </w:p>
        </w:tc>
        <w:tc>
          <w:tcPr>
            <w:tcW w:w="1154" w:type="dxa"/>
            <w:tcBorders>
              <w:top w:val="single" w:color="auto" w:sz="4" w:space="0"/>
              <w:left w:val="single" w:color="auto" w:sz="4" w:space="0"/>
              <w:bottom w:val="nil"/>
              <w:right w:val="nil"/>
            </w:tcBorders>
            <w:tcMar>
              <w:top w:w="-1" w:type="dxa"/>
              <w:left w:w="-1" w:type="dxa"/>
              <w:bottom w:w="-1" w:type="dxa"/>
              <w:right w:w="-1" w:type="dxa"/>
            </w:tcMar>
            <w:vAlign w:val="center"/>
          </w:tcPr>
          <w:p w14:paraId="1348894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33.25</w:t>
            </w:r>
          </w:p>
        </w:tc>
        <w:tc>
          <w:tcPr>
            <w:tcW w:w="729" w:type="dxa"/>
            <w:tcBorders>
              <w:top w:val="single" w:color="auto" w:sz="4" w:space="0"/>
              <w:left w:val="single" w:color="auto" w:sz="4" w:space="0"/>
              <w:bottom w:val="nil"/>
              <w:right w:val="nil"/>
            </w:tcBorders>
            <w:tcMar>
              <w:top w:w="-1" w:type="dxa"/>
              <w:left w:w="-1" w:type="dxa"/>
              <w:bottom w:w="-1" w:type="dxa"/>
              <w:right w:w="-1" w:type="dxa"/>
            </w:tcMar>
            <w:vAlign w:val="center"/>
          </w:tcPr>
          <w:p w14:paraId="35EBF75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0.106</w:t>
            </w:r>
          </w:p>
        </w:tc>
        <w:tc>
          <w:tcPr>
            <w:tcW w:w="1477" w:type="dxa"/>
            <w:tcBorders>
              <w:top w:val="single" w:color="auto" w:sz="4" w:space="0"/>
              <w:left w:val="single" w:color="auto" w:sz="4" w:space="0"/>
              <w:bottom w:val="nil"/>
              <w:right w:val="nil"/>
            </w:tcBorders>
            <w:tcMar>
              <w:top w:w="-1" w:type="dxa"/>
              <w:left w:w="-1" w:type="dxa"/>
              <w:bottom w:w="-1" w:type="dxa"/>
              <w:right w:w="-1" w:type="dxa"/>
            </w:tcMar>
            <w:vAlign w:val="center"/>
          </w:tcPr>
          <w:p w14:paraId="127B651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[33.05, 33.46]</w:t>
            </w:r>
          </w:p>
        </w:tc>
        <w:tc>
          <w:tcPr>
            <w:tcW w:w="895"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C5E6E1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r w14:paraId="50F03298">
        <w:tblPrEx>
          <w:tblCellMar>
            <w:top w:w="0" w:type="dxa"/>
            <w:left w:w="108" w:type="dxa"/>
            <w:bottom w:w="0" w:type="dxa"/>
            <w:right w:w="108" w:type="dxa"/>
          </w:tblCellMar>
        </w:tblPrEx>
        <w:trPr>
          <w:cantSplit/>
          <w:trHeight w:val="283" w:hRule="atLeast"/>
          <w:jc w:val="center"/>
        </w:trPr>
        <w:tc>
          <w:tcPr>
            <w:tcW w:w="879" w:type="dxa"/>
            <w:vMerge w:val="continue"/>
            <w:tcBorders>
              <w:left w:val="single" w:color="auto" w:sz="4" w:space="0"/>
              <w:bottom w:val="single" w:color="auto" w:sz="4" w:space="0"/>
              <w:right w:val="nil"/>
            </w:tcBorders>
            <w:tcMar>
              <w:top w:w="-1" w:type="dxa"/>
              <w:left w:w="-1" w:type="dxa"/>
              <w:bottom w:w="-1" w:type="dxa"/>
              <w:right w:w="-1" w:type="dxa"/>
            </w:tcMar>
            <w:vAlign w:val="center"/>
          </w:tcPr>
          <w:p w14:paraId="21E7DCCF">
            <w:pPr>
              <w:snapToGrid w:val="0"/>
              <w:jc w:val="center"/>
              <w:rPr>
                <w:rFonts w:hint="default" w:ascii="Times New Roman" w:hAnsi="Times New Roman" w:eastAsia="宋体" w:cs="Times New Roman"/>
                <w:szCs w:val="21"/>
              </w:rPr>
            </w:pPr>
          </w:p>
        </w:tc>
        <w:tc>
          <w:tcPr>
            <w:tcW w:w="125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3BAF95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IPW ATET</w:t>
            </w:r>
          </w:p>
        </w:tc>
        <w:tc>
          <w:tcPr>
            <w:tcW w:w="1080" w:type="dxa"/>
            <w:vMerge w:val="continue"/>
            <w:tcBorders>
              <w:left w:val="single" w:color="auto" w:sz="4" w:space="0"/>
              <w:bottom w:val="single" w:color="auto" w:sz="4" w:space="0"/>
              <w:right w:val="nil"/>
            </w:tcBorders>
            <w:tcMar>
              <w:top w:w="-1" w:type="dxa"/>
              <w:left w:w="-1" w:type="dxa"/>
              <w:bottom w:w="-1" w:type="dxa"/>
              <w:right w:w="-1" w:type="dxa"/>
            </w:tcMar>
            <w:vAlign w:val="center"/>
          </w:tcPr>
          <w:p w14:paraId="1D336556">
            <w:pPr>
              <w:widowControl/>
              <w:snapToGrid w:val="0"/>
              <w:jc w:val="center"/>
              <w:textAlignment w:val="center"/>
              <w:rPr>
                <w:rFonts w:hint="default" w:ascii="Times New Roman" w:hAnsi="Times New Roman" w:eastAsia="宋体" w:cs="Times New Roman"/>
                <w:szCs w:val="21"/>
              </w:rPr>
            </w:pPr>
          </w:p>
        </w:tc>
        <w:tc>
          <w:tcPr>
            <w:tcW w:w="130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A89322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50.64</w:t>
            </w:r>
          </w:p>
        </w:tc>
        <w:tc>
          <w:tcPr>
            <w:tcW w:w="132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C04163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17.34</w:t>
            </w:r>
          </w:p>
        </w:tc>
        <w:tc>
          <w:tcPr>
            <w:tcW w:w="115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200D84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33.29</w:t>
            </w:r>
          </w:p>
        </w:tc>
        <w:tc>
          <w:tcPr>
            <w:tcW w:w="72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02D20D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0.107</w:t>
            </w:r>
          </w:p>
        </w:tc>
        <w:tc>
          <w:tcPr>
            <w:tcW w:w="147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B2D991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[33.08, 33.50]</w:t>
            </w:r>
          </w:p>
        </w:tc>
        <w:tc>
          <w:tcPr>
            <w:tcW w:w="895"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490C06C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&lt;0.001</w:t>
            </w:r>
          </w:p>
        </w:tc>
      </w:tr>
    </w:tbl>
    <w:p w14:paraId="37F66613">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Logit, IPWRA, and IPW models adjust for gender, discipline, and doctoral-completion period and use robust standard errors. The unadjusted probabilities are observed group means; logit probabilities are standardized predictions; and in IPWRA/IPW, the elite-doctorate probability is the observed mean among elite-doctorate holders whereas the non-elite probability is the counterfactual mean for the same target group under non-elite doctorate status. ATET is the average treatment effect among elite-doctorate holders. Differences, ATETs, standard errors, and confidence intervals are reported in percentage points. The logit models are re-estimated on samples and covariates aligned with the corresponding weighting models and therefore need not equal the larger baseline logit models</w:t>
      </w:r>
      <w:r>
        <w:rPr>
          <w:rFonts w:hint="default" w:ascii="Times New Roman" w:hAnsi="Times New Roman" w:cs="Times New Roman"/>
          <w:b w:val="0"/>
          <w:i w:val="0"/>
          <w:sz w:val="20"/>
          <w:szCs w:val="28"/>
          <w:lang w:val="en-US" w:eastAsia="zh-CN"/>
        </w:rPr>
        <w:t>.</w:t>
      </w:r>
    </w:p>
    <w:p w14:paraId="25926323">
      <w:pPr>
        <w:pStyle w:val="17"/>
        <w:keepNext/>
        <w:spacing w:before="156" w:beforeLines="50" w:after="156" w:afterLines="50"/>
        <w:rPr>
          <w:rFonts w:hint="default" w:ascii="Times New Roman" w:hAnsi="Times New Roman" w:cs="Times New Roman"/>
          <w:b/>
          <w:bCs w:val="0"/>
          <w:i w:val="0"/>
          <w:sz w:val="22"/>
          <w:szCs w:val="36"/>
          <w:lang w:val="en-US" w:eastAsia="zh-CN"/>
        </w:rPr>
      </w:pPr>
      <w:r>
        <w:rPr>
          <w:rFonts w:hint="default" w:ascii="Times New Roman" w:hAnsi="Times New Roman" w:cs="Times New Roman"/>
          <w:i w:val="0"/>
          <w:sz w:val="22"/>
          <w:szCs w:val="36"/>
          <w:lang w:val="en-US" w:eastAsia="zh-CN"/>
        </w:rPr>
        <w:t>Panel B. Common support, covariate balance, and weight diagnostics</w:t>
      </w:r>
    </w:p>
    <w:tbl>
      <w:tblPr>
        <w:tblStyle w:val="5"/>
        <w:tblW w:w="0" w:type="auto"/>
        <w:jc w:val="center"/>
        <w:tblLayout w:type="fixed"/>
        <w:tblCellMar>
          <w:top w:w="0" w:type="dxa"/>
          <w:left w:w="108" w:type="dxa"/>
          <w:bottom w:w="0" w:type="dxa"/>
          <w:right w:w="108" w:type="dxa"/>
        </w:tblCellMar>
      </w:tblPr>
      <w:tblGrid>
        <w:gridCol w:w="2703"/>
        <w:gridCol w:w="1715"/>
        <w:gridCol w:w="1715"/>
        <w:gridCol w:w="2386"/>
      </w:tblGrid>
      <w:tr w14:paraId="10E50332">
        <w:tblPrEx>
          <w:tblCellMar>
            <w:top w:w="0" w:type="dxa"/>
            <w:left w:w="108" w:type="dxa"/>
            <w:bottom w:w="0" w:type="dxa"/>
            <w:right w:w="108" w:type="dxa"/>
          </w:tblCellMar>
        </w:tblPrEx>
        <w:trPr>
          <w:trHeight w:val="283" w:hRule="atLeast"/>
          <w:jc w:val="center"/>
        </w:trPr>
        <w:tc>
          <w:tcPr>
            <w:tcW w:w="2703" w:type="dxa"/>
            <w:tcBorders>
              <w:top w:val="single" w:color="auto" w:sz="4" w:space="0"/>
              <w:left w:val="single" w:color="auto" w:sz="4" w:space="0"/>
              <w:bottom w:val="nil"/>
              <w:right w:val="nil"/>
            </w:tcBorders>
            <w:tcMar>
              <w:top w:w="-1" w:type="dxa"/>
              <w:left w:w="-1" w:type="dxa"/>
              <w:bottom w:w="-1" w:type="dxa"/>
              <w:right w:w="-1" w:type="dxa"/>
            </w:tcMar>
            <w:vAlign w:val="center"/>
          </w:tcPr>
          <w:p w14:paraId="6A9E13CD">
            <w:pPr>
              <w:widowControl/>
              <w:snapToGrid w:val="0"/>
              <w:spacing w:before="0" w:after="0" w:line="240" w:lineRule="auto"/>
              <w:jc w:val="center"/>
              <w:textAlignment w:val="center"/>
              <w:rPr>
                <w:rFonts w:hint="default" w:ascii="Times New Roman" w:hAnsi="Times New Roman" w:eastAsia="宋体" w:cs="Times New Roman"/>
                <w:b/>
                <w:bCs w:val="0"/>
                <w:szCs w:val="21"/>
              </w:rPr>
            </w:pPr>
            <w:r>
              <w:rPr>
                <w:rFonts w:hint="default" w:ascii="Times New Roman" w:hAnsi="Times New Roman" w:cs="Times New Roman"/>
                <w:b/>
                <w:bCs w:val="0"/>
              </w:rPr>
              <w:t>Diagnostic</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7E7AC9BA">
            <w:pPr>
              <w:widowControl/>
              <w:snapToGrid w:val="0"/>
              <w:spacing w:before="0" w:after="0" w:line="240" w:lineRule="auto"/>
              <w:jc w:val="center"/>
              <w:textAlignment w:val="center"/>
              <w:rPr>
                <w:rFonts w:hint="default" w:ascii="Times New Roman" w:hAnsi="Times New Roman" w:eastAsia="宋体" w:cs="Times New Roman"/>
                <w:b/>
                <w:bCs w:val="0"/>
                <w:szCs w:val="21"/>
              </w:rPr>
            </w:pPr>
            <w:r>
              <w:rPr>
                <w:rFonts w:hint="default" w:ascii="Times New Roman" w:hAnsi="Times New Roman" w:eastAsia="宋体" w:cs="Times New Roman"/>
                <w:b/>
                <w:bCs w:val="0"/>
                <w:kern w:val="0"/>
                <w:szCs w:val="21"/>
                <w:lang w:bidi="ar"/>
              </w:rPr>
              <w:t>ORCID</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0B4EDAA3">
            <w:pPr>
              <w:widowControl/>
              <w:snapToGrid w:val="0"/>
              <w:spacing w:before="0" w:after="0" w:line="240" w:lineRule="auto"/>
              <w:jc w:val="center"/>
              <w:textAlignment w:val="center"/>
              <w:rPr>
                <w:rFonts w:hint="default" w:ascii="Times New Roman" w:hAnsi="Times New Roman" w:eastAsia="宋体" w:cs="Times New Roman"/>
                <w:b/>
                <w:bCs w:val="0"/>
                <w:szCs w:val="21"/>
              </w:rPr>
            </w:pPr>
            <w:r>
              <w:rPr>
                <w:rFonts w:hint="default" w:ascii="Times New Roman" w:hAnsi="Times New Roman" w:eastAsia="宋体" w:cs="Times New Roman"/>
                <w:b/>
                <w:bCs w:val="0"/>
                <w:kern w:val="0"/>
                <w:szCs w:val="21"/>
                <w:lang w:bidi="ar"/>
              </w:rPr>
              <w:t>OpenAlex</w:t>
            </w:r>
          </w:p>
        </w:tc>
        <w:tc>
          <w:tcPr>
            <w:tcW w:w="238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09E6338">
            <w:pPr>
              <w:widowControl/>
              <w:snapToGrid w:val="0"/>
              <w:spacing w:before="0" w:after="0" w:line="240" w:lineRule="auto"/>
              <w:jc w:val="center"/>
              <w:textAlignment w:val="center"/>
              <w:rPr>
                <w:rFonts w:hint="default" w:ascii="Times New Roman" w:hAnsi="Times New Roman" w:eastAsia="宋体" w:cs="Times New Roman"/>
                <w:b/>
                <w:bCs w:val="0"/>
                <w:szCs w:val="21"/>
              </w:rPr>
            </w:pPr>
            <w:r>
              <w:rPr>
                <w:rFonts w:hint="default" w:ascii="Times New Roman" w:hAnsi="Times New Roman" w:cs="Times New Roman"/>
                <w:b/>
                <w:bCs w:val="0"/>
              </w:rPr>
              <w:t>Global faculty CV</w:t>
            </w:r>
          </w:p>
        </w:tc>
      </w:tr>
      <w:tr w14:paraId="49C3A2AF">
        <w:tblPrEx>
          <w:tblCellMar>
            <w:top w:w="0" w:type="dxa"/>
            <w:left w:w="108" w:type="dxa"/>
            <w:bottom w:w="0" w:type="dxa"/>
            <w:right w:w="108" w:type="dxa"/>
          </w:tblCellMar>
        </w:tblPrEx>
        <w:trPr>
          <w:trHeight w:val="283" w:hRule="atLeast"/>
          <w:jc w:val="center"/>
        </w:trPr>
        <w:tc>
          <w:tcPr>
            <w:tcW w:w="2703" w:type="dxa"/>
            <w:tcBorders>
              <w:top w:val="single" w:color="auto" w:sz="4" w:space="0"/>
              <w:left w:val="single" w:color="auto" w:sz="4" w:space="0"/>
              <w:bottom w:val="nil"/>
              <w:right w:val="nil"/>
            </w:tcBorders>
            <w:tcMar>
              <w:top w:w="-1" w:type="dxa"/>
              <w:left w:w="-1" w:type="dxa"/>
              <w:bottom w:w="-1" w:type="dxa"/>
              <w:right w:w="-1" w:type="dxa"/>
            </w:tcMar>
            <w:vAlign w:val="center"/>
          </w:tcPr>
          <w:p w14:paraId="0CCA8AF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Estimator</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38317CC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IPWRA</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0CD56CF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IPWRA</w:t>
            </w:r>
          </w:p>
        </w:tc>
        <w:tc>
          <w:tcPr>
            <w:tcW w:w="238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B4452F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IPW</w:t>
            </w:r>
          </w:p>
        </w:tc>
      </w:tr>
      <w:tr w14:paraId="6F3585ED">
        <w:tblPrEx>
          <w:tblCellMar>
            <w:top w:w="0" w:type="dxa"/>
            <w:left w:w="108" w:type="dxa"/>
            <w:bottom w:w="0" w:type="dxa"/>
            <w:right w:w="108" w:type="dxa"/>
          </w:tblCellMar>
        </w:tblPrEx>
        <w:trPr>
          <w:trHeight w:val="283" w:hRule="atLeast"/>
          <w:jc w:val="center"/>
        </w:trPr>
        <w:tc>
          <w:tcPr>
            <w:tcW w:w="2703" w:type="dxa"/>
            <w:tcBorders>
              <w:top w:val="single" w:color="auto" w:sz="4" w:space="0"/>
              <w:left w:val="single" w:color="auto" w:sz="4" w:space="0"/>
              <w:bottom w:val="nil"/>
              <w:right w:val="nil"/>
            </w:tcBorders>
            <w:tcMar>
              <w:top w:w="-1" w:type="dxa"/>
              <w:left w:w="-1" w:type="dxa"/>
              <w:bottom w:w="-1" w:type="dxa"/>
              <w:right w:w="-1" w:type="dxa"/>
            </w:tcMar>
            <w:vAlign w:val="center"/>
          </w:tcPr>
          <w:p w14:paraId="212C258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Treated N</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6630D0F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247,302</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1E1EBF6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1,154,791</w:t>
            </w:r>
          </w:p>
        </w:tc>
        <w:tc>
          <w:tcPr>
            <w:tcW w:w="238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7E5B7F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307,789</w:t>
            </w:r>
          </w:p>
        </w:tc>
      </w:tr>
      <w:tr w14:paraId="09A5C0CD">
        <w:tblPrEx>
          <w:tblCellMar>
            <w:top w:w="0" w:type="dxa"/>
            <w:left w:w="108" w:type="dxa"/>
            <w:bottom w:w="0" w:type="dxa"/>
            <w:right w:w="108" w:type="dxa"/>
          </w:tblCellMar>
        </w:tblPrEx>
        <w:trPr>
          <w:trHeight w:val="283" w:hRule="atLeast"/>
          <w:jc w:val="center"/>
        </w:trPr>
        <w:tc>
          <w:tcPr>
            <w:tcW w:w="2703" w:type="dxa"/>
            <w:tcBorders>
              <w:top w:val="single" w:color="auto" w:sz="4" w:space="0"/>
              <w:left w:val="single" w:color="auto" w:sz="4" w:space="0"/>
              <w:bottom w:val="nil"/>
              <w:right w:val="nil"/>
            </w:tcBorders>
            <w:tcMar>
              <w:top w:w="-1" w:type="dxa"/>
              <w:left w:w="-1" w:type="dxa"/>
              <w:bottom w:w="-1" w:type="dxa"/>
              <w:right w:w="-1" w:type="dxa"/>
            </w:tcMar>
            <w:vAlign w:val="center"/>
          </w:tcPr>
          <w:p w14:paraId="5DB2905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Control N</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2894F22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298,086</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188642E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658,913</w:t>
            </w:r>
          </w:p>
        </w:tc>
        <w:tc>
          <w:tcPr>
            <w:tcW w:w="238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BD4B1C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496,028</w:t>
            </w:r>
          </w:p>
        </w:tc>
      </w:tr>
      <w:tr w14:paraId="7C412361">
        <w:tblPrEx>
          <w:tblCellMar>
            <w:top w:w="0" w:type="dxa"/>
            <w:left w:w="108" w:type="dxa"/>
            <w:bottom w:w="0" w:type="dxa"/>
            <w:right w:w="108" w:type="dxa"/>
          </w:tblCellMar>
        </w:tblPrEx>
        <w:trPr>
          <w:trHeight w:val="283" w:hRule="atLeast"/>
          <w:jc w:val="center"/>
        </w:trPr>
        <w:tc>
          <w:tcPr>
            <w:tcW w:w="2703" w:type="dxa"/>
            <w:tcBorders>
              <w:top w:val="single" w:color="auto" w:sz="4" w:space="0"/>
              <w:left w:val="single" w:color="auto" w:sz="4" w:space="0"/>
              <w:bottom w:val="nil"/>
              <w:right w:val="nil"/>
            </w:tcBorders>
            <w:tcMar>
              <w:top w:w="-1" w:type="dxa"/>
              <w:left w:w="-1" w:type="dxa"/>
              <w:bottom w:w="-1" w:type="dxa"/>
              <w:right w:w="-1" w:type="dxa"/>
            </w:tcMar>
            <w:vAlign w:val="center"/>
          </w:tcPr>
          <w:p w14:paraId="6BA2BC9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Propensity-score range</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286D22C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0.392—0.585</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441EECD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0.575—0.750</w:t>
            </w:r>
          </w:p>
        </w:tc>
        <w:tc>
          <w:tcPr>
            <w:tcW w:w="238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F3B4C3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0.229—0.569</w:t>
            </w:r>
          </w:p>
        </w:tc>
      </w:tr>
      <w:tr w14:paraId="59878282">
        <w:tblPrEx>
          <w:tblCellMar>
            <w:top w:w="0" w:type="dxa"/>
            <w:left w:w="108" w:type="dxa"/>
            <w:bottom w:w="0" w:type="dxa"/>
            <w:right w:w="108" w:type="dxa"/>
          </w:tblCellMar>
        </w:tblPrEx>
        <w:trPr>
          <w:trHeight w:val="283" w:hRule="atLeast"/>
          <w:jc w:val="center"/>
        </w:trPr>
        <w:tc>
          <w:tcPr>
            <w:tcW w:w="2703" w:type="dxa"/>
            <w:tcBorders>
              <w:top w:val="single" w:color="auto" w:sz="4" w:space="0"/>
              <w:left w:val="single" w:color="auto" w:sz="4" w:space="0"/>
              <w:bottom w:val="nil"/>
              <w:right w:val="nil"/>
            </w:tcBorders>
            <w:tcMar>
              <w:top w:w="-1" w:type="dxa"/>
              <w:left w:w="-1" w:type="dxa"/>
              <w:bottom w:w="-1" w:type="dxa"/>
              <w:right w:w="-1" w:type="dxa"/>
            </w:tcMar>
            <w:vAlign w:val="center"/>
          </w:tcPr>
          <w:p w14:paraId="50B6929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Maximum absolute SMD before adjustment</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1B528C8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0.106</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2D70C1B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0.103</w:t>
            </w:r>
          </w:p>
        </w:tc>
        <w:tc>
          <w:tcPr>
            <w:tcW w:w="238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A8D4F5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0.206</w:t>
            </w:r>
          </w:p>
        </w:tc>
      </w:tr>
      <w:tr w14:paraId="6B74D2FE">
        <w:tblPrEx>
          <w:tblCellMar>
            <w:top w:w="0" w:type="dxa"/>
            <w:left w:w="108" w:type="dxa"/>
            <w:bottom w:w="0" w:type="dxa"/>
            <w:right w:w="108" w:type="dxa"/>
          </w:tblCellMar>
        </w:tblPrEx>
        <w:trPr>
          <w:trHeight w:val="283" w:hRule="atLeast"/>
          <w:jc w:val="center"/>
        </w:trPr>
        <w:tc>
          <w:tcPr>
            <w:tcW w:w="2703" w:type="dxa"/>
            <w:tcBorders>
              <w:top w:val="single" w:color="auto" w:sz="4" w:space="0"/>
              <w:left w:val="single" w:color="auto" w:sz="4" w:space="0"/>
              <w:bottom w:val="nil"/>
              <w:right w:val="nil"/>
            </w:tcBorders>
            <w:tcMar>
              <w:top w:w="-1" w:type="dxa"/>
              <w:left w:w="-1" w:type="dxa"/>
              <w:bottom w:w="-1" w:type="dxa"/>
              <w:right w:w="-1" w:type="dxa"/>
            </w:tcMar>
            <w:vAlign w:val="center"/>
          </w:tcPr>
          <w:p w14:paraId="20C1A5F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Maximum absolute SMD after adjustment</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656E600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0.004</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1451348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0.0035</w:t>
            </w:r>
          </w:p>
        </w:tc>
        <w:tc>
          <w:tcPr>
            <w:tcW w:w="238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236754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0.0037</w:t>
            </w:r>
          </w:p>
        </w:tc>
      </w:tr>
      <w:tr w14:paraId="2BCF84A1">
        <w:tblPrEx>
          <w:tblCellMar>
            <w:top w:w="0" w:type="dxa"/>
            <w:left w:w="108" w:type="dxa"/>
            <w:bottom w:w="0" w:type="dxa"/>
            <w:right w:w="108" w:type="dxa"/>
          </w:tblCellMar>
        </w:tblPrEx>
        <w:trPr>
          <w:trHeight w:val="283" w:hRule="atLeast"/>
          <w:jc w:val="center"/>
        </w:trPr>
        <w:tc>
          <w:tcPr>
            <w:tcW w:w="2703" w:type="dxa"/>
            <w:tcBorders>
              <w:top w:val="single" w:color="auto" w:sz="4" w:space="0"/>
              <w:left w:val="single" w:color="auto" w:sz="4" w:space="0"/>
              <w:bottom w:val="nil"/>
              <w:right w:val="nil"/>
            </w:tcBorders>
            <w:tcMar>
              <w:top w:w="-1" w:type="dxa"/>
              <w:left w:w="-1" w:type="dxa"/>
              <w:bottom w:w="-1" w:type="dxa"/>
              <w:right w:w="-1" w:type="dxa"/>
            </w:tcMar>
            <w:vAlign w:val="center"/>
          </w:tcPr>
          <w:p w14:paraId="7CE34FE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99th percentile of ATT weights</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48E64D1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1.326</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71BC307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2.492</w:t>
            </w:r>
          </w:p>
        </w:tc>
        <w:tc>
          <w:tcPr>
            <w:tcW w:w="238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9A432C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1.192</w:t>
            </w:r>
          </w:p>
        </w:tc>
      </w:tr>
      <w:tr w14:paraId="6C2573CD">
        <w:tblPrEx>
          <w:tblCellMar>
            <w:top w:w="0" w:type="dxa"/>
            <w:left w:w="108" w:type="dxa"/>
            <w:bottom w:w="0" w:type="dxa"/>
            <w:right w:w="108" w:type="dxa"/>
          </w:tblCellMar>
        </w:tblPrEx>
        <w:trPr>
          <w:trHeight w:val="283" w:hRule="atLeast"/>
          <w:jc w:val="center"/>
        </w:trPr>
        <w:tc>
          <w:tcPr>
            <w:tcW w:w="2703" w:type="dxa"/>
            <w:tcBorders>
              <w:top w:val="single" w:color="auto" w:sz="4" w:space="0"/>
              <w:left w:val="single" w:color="auto" w:sz="4" w:space="0"/>
              <w:bottom w:val="nil"/>
              <w:right w:val="nil"/>
            </w:tcBorders>
            <w:tcMar>
              <w:top w:w="-1" w:type="dxa"/>
              <w:left w:w="-1" w:type="dxa"/>
              <w:bottom w:w="-1" w:type="dxa"/>
              <w:right w:w="-1" w:type="dxa"/>
            </w:tcMar>
            <w:vAlign w:val="center"/>
          </w:tcPr>
          <w:p w14:paraId="53D4EF1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Maximum ATT weight</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4AA4C21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1.409</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4E620D6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3</w:t>
            </w:r>
          </w:p>
        </w:tc>
        <w:tc>
          <w:tcPr>
            <w:tcW w:w="238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3737D4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1.319</w:t>
            </w:r>
          </w:p>
        </w:tc>
      </w:tr>
      <w:tr w14:paraId="31C89A6E">
        <w:tblPrEx>
          <w:tblCellMar>
            <w:top w:w="0" w:type="dxa"/>
            <w:left w:w="108" w:type="dxa"/>
            <w:bottom w:w="0" w:type="dxa"/>
            <w:right w:w="108" w:type="dxa"/>
          </w:tblCellMar>
        </w:tblPrEx>
        <w:trPr>
          <w:trHeight w:val="283" w:hRule="atLeast"/>
          <w:jc w:val="center"/>
        </w:trPr>
        <w:tc>
          <w:tcPr>
            <w:tcW w:w="2703" w:type="dxa"/>
            <w:tcBorders>
              <w:top w:val="single" w:color="auto" w:sz="4" w:space="0"/>
              <w:left w:val="single" w:color="auto" w:sz="4" w:space="0"/>
              <w:bottom w:val="nil"/>
              <w:right w:val="nil"/>
            </w:tcBorders>
            <w:tcMar>
              <w:top w:w="-1" w:type="dxa"/>
              <w:left w:w="-1" w:type="dxa"/>
              <w:bottom w:w="-1" w:type="dxa"/>
              <w:right w:w="-1" w:type="dxa"/>
            </w:tcMar>
            <w:vAlign w:val="center"/>
          </w:tcPr>
          <w:p w14:paraId="309DAF7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Overall ESS</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169AF28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532,209</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3D37028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1,644,240</w:t>
            </w:r>
          </w:p>
        </w:tc>
        <w:tc>
          <w:tcPr>
            <w:tcW w:w="238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DA3D6A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727,591</w:t>
            </w:r>
          </w:p>
        </w:tc>
      </w:tr>
      <w:tr w14:paraId="7531EE7A">
        <w:tblPrEx>
          <w:tblCellMar>
            <w:top w:w="0" w:type="dxa"/>
            <w:left w:w="108" w:type="dxa"/>
            <w:bottom w:w="0" w:type="dxa"/>
            <w:right w:w="108" w:type="dxa"/>
          </w:tblCellMar>
        </w:tblPrEx>
        <w:trPr>
          <w:trHeight w:val="283" w:hRule="atLeast"/>
          <w:jc w:val="center"/>
        </w:trPr>
        <w:tc>
          <w:tcPr>
            <w:tcW w:w="2703" w:type="dxa"/>
            <w:tcBorders>
              <w:top w:val="single" w:color="auto" w:sz="4" w:space="0"/>
              <w:left w:val="single" w:color="auto" w:sz="4" w:space="0"/>
              <w:bottom w:val="nil"/>
              <w:right w:val="nil"/>
            </w:tcBorders>
            <w:tcMar>
              <w:top w:w="-1" w:type="dxa"/>
              <w:left w:w="-1" w:type="dxa"/>
              <w:bottom w:w="-1" w:type="dxa"/>
              <w:right w:w="-1" w:type="dxa"/>
            </w:tcMar>
            <w:vAlign w:val="center"/>
          </w:tcPr>
          <w:p w14:paraId="70DBF26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Control-group ESS</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43E9023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287,992</w:t>
            </w:r>
          </w:p>
        </w:tc>
        <w:tc>
          <w:tcPr>
            <w:tcW w:w="1715" w:type="dxa"/>
            <w:tcBorders>
              <w:top w:val="single" w:color="auto" w:sz="4" w:space="0"/>
              <w:left w:val="single" w:color="auto" w:sz="4" w:space="0"/>
              <w:bottom w:val="nil"/>
              <w:right w:val="nil"/>
            </w:tcBorders>
            <w:tcMar>
              <w:top w:w="-1" w:type="dxa"/>
              <w:left w:w="-1" w:type="dxa"/>
              <w:bottom w:w="-1" w:type="dxa"/>
              <w:right w:w="-1" w:type="dxa"/>
            </w:tcMar>
            <w:vAlign w:val="center"/>
          </w:tcPr>
          <w:p w14:paraId="0A94ECF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638,244</w:t>
            </w:r>
          </w:p>
        </w:tc>
        <w:tc>
          <w:tcPr>
            <w:tcW w:w="2386"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748B12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444,658</w:t>
            </w:r>
          </w:p>
        </w:tc>
      </w:tr>
      <w:tr w14:paraId="24BA690F">
        <w:tblPrEx>
          <w:tblCellMar>
            <w:top w:w="0" w:type="dxa"/>
            <w:left w:w="108" w:type="dxa"/>
            <w:bottom w:w="0" w:type="dxa"/>
            <w:right w:w="108" w:type="dxa"/>
          </w:tblCellMar>
        </w:tblPrEx>
        <w:trPr>
          <w:trHeight w:val="283" w:hRule="atLeast"/>
          <w:jc w:val="center"/>
        </w:trPr>
        <w:tc>
          <w:tcPr>
            <w:tcW w:w="270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BC145D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Excluded for lack of common support</w:t>
            </w:r>
          </w:p>
        </w:tc>
        <w:tc>
          <w:tcPr>
            <w:tcW w:w="171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861437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w:t>
            </w:r>
          </w:p>
        </w:tc>
        <w:tc>
          <w:tcPr>
            <w:tcW w:w="171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7C7310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w:t>
            </w:r>
          </w:p>
        </w:tc>
        <w:tc>
          <w:tcPr>
            <w:tcW w:w="2386"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7C79BB4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w:t>
            </w:r>
          </w:p>
        </w:tc>
      </w:tr>
    </w:tbl>
    <w:p w14:paraId="1E2A6515">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SMD denotes standardized mean difference and the table reports the maximum absolute SMD across all covariate indicators in the treatment model. ATT weights equal one for elite-doctorate holders and p/(1−p) for non-elite-doctorate holders, where p is the estimated propensity score. ESS is calculated as (Σw)²/Σw². Common support is defined as propensity scores between 0.01 and 0.99; no observations in the three datasets fall outside this range</w:t>
      </w:r>
      <w:r>
        <w:rPr>
          <w:rFonts w:hint="default" w:ascii="Times New Roman" w:hAnsi="Times New Roman" w:cs="Times New Roman"/>
          <w:b w:val="0"/>
          <w:i w:val="0"/>
          <w:sz w:val="20"/>
          <w:szCs w:val="28"/>
          <w:lang w:val="en-US" w:eastAsia="zh-CN"/>
        </w:rPr>
        <w:t>.</w:t>
      </w:r>
    </w:p>
    <w:p w14:paraId="0444C1B8">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C. Covariate balance before and after selection adjustment</w:t>
      </w:r>
    </w:p>
    <w:tbl>
      <w:tblPr>
        <w:tblStyle w:val="5"/>
        <w:tblW w:w="0" w:type="auto"/>
        <w:jc w:val="center"/>
        <w:tblLayout w:type="fixed"/>
        <w:tblCellMar>
          <w:top w:w="0" w:type="dxa"/>
          <w:left w:w="108" w:type="dxa"/>
          <w:bottom w:w="0" w:type="dxa"/>
          <w:right w:w="108" w:type="dxa"/>
        </w:tblCellMar>
      </w:tblPr>
      <w:tblGrid>
        <w:gridCol w:w="1437"/>
        <w:gridCol w:w="3471"/>
        <w:gridCol w:w="1634"/>
        <w:gridCol w:w="1538"/>
      </w:tblGrid>
      <w:tr w14:paraId="75014AC6">
        <w:tblPrEx>
          <w:tblCellMar>
            <w:top w:w="0" w:type="dxa"/>
            <w:left w:w="108" w:type="dxa"/>
            <w:bottom w:w="0" w:type="dxa"/>
            <w:right w:w="108" w:type="dxa"/>
          </w:tblCellMar>
        </w:tblPrEx>
        <w:trPr>
          <w:cantSplit/>
          <w:trHeight w:val="283" w:hRule="atLeast"/>
          <w:tblHeader/>
          <w:jc w:val="center"/>
        </w:trPr>
        <w:tc>
          <w:tcPr>
            <w:tcW w:w="1437" w:type="dxa"/>
            <w:tcBorders>
              <w:top w:val="single" w:color="auto" w:sz="4" w:space="0"/>
              <w:left w:val="single" w:color="auto" w:sz="4" w:space="0"/>
              <w:bottom w:val="nil"/>
              <w:right w:val="nil"/>
            </w:tcBorders>
            <w:tcMar>
              <w:top w:w="-1" w:type="dxa"/>
              <w:left w:w="-1" w:type="dxa"/>
              <w:bottom w:w="-1" w:type="dxa"/>
              <w:right w:w="-1" w:type="dxa"/>
            </w:tcMar>
            <w:vAlign w:val="center"/>
          </w:tcPr>
          <w:p w14:paraId="6F738B30">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Data source</w:t>
            </w: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19C9465B">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Covariate</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34DD2280">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SMD before weighting</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89B3950">
            <w:pPr>
              <w:widowControl/>
              <w:snapToGrid w:val="0"/>
              <w:spacing w:before="0" w:after="0" w:line="240" w:lineRule="auto"/>
              <w:jc w:val="center"/>
              <w:textAlignment w:val="center"/>
              <w:rPr>
                <w:rFonts w:hint="default" w:ascii="Times New Roman" w:hAnsi="Times New Roman" w:eastAsia="宋体" w:cs="Times New Roman"/>
                <w:b/>
                <w:bCs/>
                <w:szCs w:val="21"/>
              </w:rPr>
            </w:pPr>
            <w:r>
              <w:rPr>
                <w:rFonts w:hint="default" w:ascii="Times New Roman" w:hAnsi="Times New Roman" w:cs="Times New Roman"/>
                <w:b/>
                <w:bCs/>
              </w:rPr>
              <w:t>SMD after weighting</w:t>
            </w:r>
          </w:p>
        </w:tc>
      </w:tr>
      <w:tr w14:paraId="68221C70">
        <w:tblPrEx>
          <w:tblCellMar>
            <w:top w:w="0" w:type="dxa"/>
            <w:left w:w="108" w:type="dxa"/>
            <w:bottom w:w="0" w:type="dxa"/>
            <w:right w:w="108" w:type="dxa"/>
          </w:tblCellMar>
        </w:tblPrEx>
        <w:trPr>
          <w:cantSplit/>
          <w:trHeight w:val="283" w:hRule="atLeast"/>
          <w:jc w:val="center"/>
        </w:trPr>
        <w:tc>
          <w:tcPr>
            <w:tcW w:w="1437" w:type="dxa"/>
            <w:vMerge w:val="restart"/>
            <w:tcBorders>
              <w:top w:val="single" w:color="auto" w:sz="4" w:space="0"/>
              <w:left w:val="single" w:color="auto" w:sz="4" w:space="0"/>
              <w:right w:val="nil"/>
            </w:tcBorders>
            <w:tcMar>
              <w:top w:w="-1" w:type="dxa"/>
              <w:left w:w="-1" w:type="dxa"/>
              <w:bottom w:w="-1" w:type="dxa"/>
              <w:right w:w="-1" w:type="dxa"/>
            </w:tcMar>
            <w:vAlign w:val="center"/>
          </w:tcPr>
          <w:p w14:paraId="0545044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ORCID</w:t>
            </w: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7C79484D">
            <w:pPr>
              <w:spacing w:before="0" w:after="0" w:line="240" w:lineRule="auto"/>
              <w:jc w:val="center"/>
              <w:rPr>
                <w:rFonts w:hint="default" w:ascii="Times New Roman" w:hAnsi="Times New Roman" w:cs="Times New Roman"/>
              </w:rPr>
            </w:pPr>
            <w:r>
              <w:rPr>
                <w:rFonts w:hint="default" w:ascii="Times New Roman" w:hAnsi="Times New Roman" w:cs="Times New Roman"/>
              </w:rPr>
              <w:t>Female</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1D0046E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−0.009</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489877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−0.0021</w:t>
            </w:r>
          </w:p>
        </w:tc>
      </w:tr>
      <w:tr w14:paraId="43F4E7BA">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7C949057">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1C0957C0">
            <w:pPr>
              <w:spacing w:before="0" w:after="0" w:line="240" w:lineRule="auto"/>
              <w:jc w:val="center"/>
              <w:rPr>
                <w:rFonts w:hint="default" w:ascii="Times New Roman" w:hAnsi="Times New Roman" w:cs="Times New Roman"/>
              </w:rPr>
            </w:pPr>
            <w:r>
              <w:rPr>
                <w:rFonts w:hint="default" w:ascii="Times New Roman" w:hAnsi="Times New Roman" w:cs="Times New Roman"/>
              </w:rPr>
              <w:t>Engineering</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7C003730">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w:t>
            </w:r>
            <w:r>
              <w:rPr>
                <w:rFonts w:hint="default" w:ascii="Times New Roman" w:hAnsi="Times New Roman" w:eastAsia="宋体" w:cs="Times New Roman"/>
                <w:kern w:val="0"/>
                <w:szCs w:val="21"/>
                <w:lang w:val="en-US" w:eastAsia="zh-CN" w:bidi="ar"/>
              </w:rPr>
              <w:t>30</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754689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−0.0040</w:t>
            </w:r>
          </w:p>
        </w:tc>
      </w:tr>
      <w:tr w14:paraId="7FF4DEB2">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6540C89F">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6EC836D9">
            <w:pPr>
              <w:spacing w:before="0" w:after="0" w:line="240" w:lineRule="auto"/>
              <w:jc w:val="center"/>
              <w:rPr>
                <w:rFonts w:hint="default" w:ascii="Times New Roman" w:hAnsi="Times New Roman" w:cs="Times New Roman"/>
              </w:rPr>
            </w:pPr>
            <w:r>
              <w:rPr>
                <w:rFonts w:hint="default" w:ascii="Times New Roman" w:hAnsi="Times New Roman" w:cs="Times New Roman"/>
              </w:rPr>
              <w:t>Medicine and Health</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041D533A">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−0.06</w:t>
            </w:r>
            <w:r>
              <w:rPr>
                <w:rFonts w:hint="default" w:ascii="Times New Roman" w:hAnsi="Times New Roman" w:eastAsia="宋体" w:cs="Times New Roman"/>
                <w:kern w:val="0"/>
                <w:szCs w:val="21"/>
                <w:lang w:val="en-US" w:eastAsia="zh-CN" w:bidi="ar"/>
              </w:rPr>
              <w:t>1</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B758A9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0.0022</w:t>
            </w:r>
          </w:p>
        </w:tc>
      </w:tr>
      <w:tr w14:paraId="19E2E5E5">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5CFCE5A9">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2F167A2F">
            <w:pPr>
              <w:spacing w:before="0" w:after="0" w:line="240" w:lineRule="auto"/>
              <w:jc w:val="center"/>
              <w:rPr>
                <w:rFonts w:hint="default" w:ascii="Times New Roman" w:hAnsi="Times New Roman" w:cs="Times New Roman"/>
              </w:rPr>
            </w:pPr>
            <w:r>
              <w:rPr>
                <w:rFonts w:hint="default" w:ascii="Times New Roman" w:hAnsi="Times New Roman" w:cs="Times New Roman"/>
              </w:rPr>
              <w:t>Social Sciences</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785952C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−0.039</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B0A4FF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0.0013</w:t>
            </w:r>
          </w:p>
        </w:tc>
      </w:tr>
      <w:tr w14:paraId="02667DFF">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1A0ABBD6">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004409F4">
            <w:pPr>
              <w:spacing w:before="0" w:after="0" w:line="240" w:lineRule="auto"/>
              <w:jc w:val="center"/>
              <w:rPr>
                <w:rFonts w:hint="default" w:ascii="Times New Roman" w:hAnsi="Times New Roman" w:cs="Times New Roman"/>
              </w:rPr>
            </w:pPr>
            <w:r>
              <w:rPr>
                <w:rFonts w:hint="default" w:ascii="Times New Roman" w:hAnsi="Times New Roman" w:cs="Times New Roman"/>
              </w:rPr>
              <w:t>Applied Sciences</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11ED7808">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w:t>
            </w:r>
            <w:r>
              <w:rPr>
                <w:rFonts w:hint="default" w:ascii="Times New Roman" w:hAnsi="Times New Roman" w:eastAsia="宋体" w:cs="Times New Roman"/>
                <w:kern w:val="0"/>
                <w:szCs w:val="21"/>
                <w:lang w:val="en-US" w:eastAsia="zh-CN" w:bidi="ar"/>
              </w:rPr>
              <w:t>20</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BF9876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0.0005</w:t>
            </w:r>
          </w:p>
        </w:tc>
      </w:tr>
      <w:tr w14:paraId="136AA291">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64D28000">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761D4612">
            <w:pPr>
              <w:spacing w:before="0" w:after="0" w:line="240" w:lineRule="auto"/>
              <w:jc w:val="center"/>
              <w:rPr>
                <w:rFonts w:hint="default" w:ascii="Times New Roman" w:hAnsi="Times New Roman" w:cs="Times New Roman"/>
              </w:rPr>
            </w:pPr>
            <w:r>
              <w:rPr>
                <w:rFonts w:hint="default" w:ascii="Times New Roman" w:hAnsi="Times New Roman" w:cs="Times New Roman"/>
              </w:rPr>
              <w:t>Humanities</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08CE385A">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−0.02</w:t>
            </w:r>
            <w:r>
              <w:rPr>
                <w:rFonts w:hint="default" w:ascii="Times New Roman" w:hAnsi="Times New Roman" w:eastAsia="宋体" w:cs="Times New Roman"/>
                <w:kern w:val="0"/>
                <w:szCs w:val="21"/>
                <w:lang w:val="en-US" w:eastAsia="zh-CN" w:bidi="ar"/>
              </w:rPr>
              <w:t>1</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F4F288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0.0007</w:t>
            </w:r>
          </w:p>
        </w:tc>
      </w:tr>
      <w:tr w14:paraId="64FA77AB">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7BD0D01E">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0C30A352">
            <w:pPr>
              <w:spacing w:before="0" w:after="0" w:line="240" w:lineRule="auto"/>
              <w:jc w:val="center"/>
              <w:rPr>
                <w:rFonts w:hint="default" w:ascii="Times New Roman" w:hAnsi="Times New Roman" w:cs="Times New Roman"/>
              </w:rPr>
            </w:pPr>
            <w:r>
              <w:rPr>
                <w:rFonts w:hint="default" w:ascii="Times New Roman" w:hAnsi="Times New Roman" w:cs="Times New Roman"/>
              </w:rPr>
              <w:t>Mathematics and Computing</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5F11B1C6">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−0.01</w:t>
            </w:r>
            <w:r>
              <w:rPr>
                <w:rFonts w:hint="default" w:ascii="Times New Roman" w:hAnsi="Times New Roman" w:eastAsia="宋体" w:cs="Times New Roman"/>
                <w:kern w:val="0"/>
                <w:szCs w:val="21"/>
                <w:lang w:val="en-US" w:eastAsia="zh-CN" w:bidi="ar"/>
              </w:rPr>
              <w:t>2</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AE91F1E">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−0.0002</w:t>
            </w:r>
          </w:p>
        </w:tc>
      </w:tr>
      <w:tr w14:paraId="11CA4ABE">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0A81F23C">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562D17C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Doctoral completion in 1995–2004</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6B063CB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0.078</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28B7D85">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−0.0009</w:t>
            </w:r>
          </w:p>
        </w:tc>
      </w:tr>
      <w:tr w14:paraId="07F8B586">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46F044DC">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14B85DE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Doctoral completion in 2005–2014</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110C144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−0.005</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9A3456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−0.0005</w:t>
            </w:r>
          </w:p>
        </w:tc>
      </w:tr>
      <w:tr w14:paraId="786F995F">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bottom w:val="nil"/>
              <w:right w:val="nil"/>
            </w:tcBorders>
            <w:tcMar>
              <w:top w:w="-1" w:type="dxa"/>
              <w:left w:w="-1" w:type="dxa"/>
              <w:bottom w:w="-1" w:type="dxa"/>
              <w:right w:w="-1" w:type="dxa"/>
            </w:tcMar>
            <w:vAlign w:val="center"/>
          </w:tcPr>
          <w:p w14:paraId="7FAC0B19">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2434B8B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Doctoral completion in 2015–2023</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23CE92CA">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−0.10</w:t>
            </w:r>
            <w:r>
              <w:rPr>
                <w:rFonts w:hint="default" w:ascii="Times New Roman" w:hAnsi="Times New Roman" w:eastAsia="宋体" w:cs="Times New Roman"/>
                <w:kern w:val="0"/>
                <w:szCs w:val="21"/>
                <w:lang w:val="en-US" w:eastAsia="zh-CN" w:bidi="ar"/>
              </w:rPr>
              <w:t>6</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BE6D76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0.0015</w:t>
            </w:r>
          </w:p>
        </w:tc>
      </w:tr>
      <w:tr w14:paraId="5EE83729">
        <w:tblPrEx>
          <w:tblCellMar>
            <w:top w:w="0" w:type="dxa"/>
            <w:left w:w="108" w:type="dxa"/>
            <w:bottom w:w="0" w:type="dxa"/>
            <w:right w:w="108" w:type="dxa"/>
          </w:tblCellMar>
        </w:tblPrEx>
        <w:trPr>
          <w:cantSplit/>
          <w:trHeight w:val="283" w:hRule="atLeast"/>
          <w:jc w:val="center"/>
        </w:trPr>
        <w:tc>
          <w:tcPr>
            <w:tcW w:w="1437" w:type="dxa"/>
            <w:vMerge w:val="restart"/>
            <w:tcBorders>
              <w:top w:val="single" w:color="auto" w:sz="4" w:space="0"/>
              <w:left w:val="single" w:color="auto" w:sz="4" w:space="0"/>
              <w:right w:val="nil"/>
            </w:tcBorders>
            <w:tcMar>
              <w:top w:w="-1" w:type="dxa"/>
              <w:left w:w="-1" w:type="dxa"/>
              <w:bottom w:w="-1" w:type="dxa"/>
              <w:right w:w="-1" w:type="dxa"/>
            </w:tcMar>
            <w:vAlign w:val="center"/>
          </w:tcPr>
          <w:p w14:paraId="74B1078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OpenAlex</w:t>
            </w: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6800709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Female</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117BA44E">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−0.02</w:t>
            </w:r>
            <w:r>
              <w:rPr>
                <w:rFonts w:hint="default" w:ascii="Times New Roman" w:hAnsi="Times New Roman" w:eastAsia="宋体" w:cs="Times New Roman"/>
                <w:kern w:val="0"/>
                <w:szCs w:val="21"/>
                <w:lang w:val="en-US" w:eastAsia="zh-CN" w:bidi="ar"/>
              </w:rPr>
              <w:t>9</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1E1C74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−0.0035</w:t>
            </w:r>
          </w:p>
        </w:tc>
      </w:tr>
      <w:tr w14:paraId="6582E3AE">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0DE82C02">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3ED5192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Engineering</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50AF1F55">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w:t>
            </w:r>
            <w:r>
              <w:rPr>
                <w:rFonts w:hint="default" w:ascii="Times New Roman" w:hAnsi="Times New Roman" w:eastAsia="宋体" w:cs="Times New Roman"/>
                <w:kern w:val="0"/>
                <w:szCs w:val="21"/>
                <w:lang w:val="en-US" w:eastAsia="zh-CN" w:bidi="ar"/>
              </w:rPr>
              <w:t>60</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44ACD4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−0.0000</w:t>
            </w:r>
          </w:p>
        </w:tc>
      </w:tr>
      <w:tr w14:paraId="5F821073">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7A52DD7B">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4DED975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Medicine and Health</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404B152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0.069</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00A49C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−0.0005</w:t>
            </w:r>
          </w:p>
        </w:tc>
      </w:tr>
      <w:tr w14:paraId="4AFEB145">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2F7EF41C">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2E4E8AF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Social Sciences</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43E9F718">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w:t>
            </w:r>
            <w:r>
              <w:rPr>
                <w:rFonts w:hint="default" w:ascii="Times New Roman" w:hAnsi="Times New Roman" w:eastAsia="宋体" w:cs="Times New Roman"/>
                <w:kern w:val="0"/>
                <w:szCs w:val="21"/>
                <w:lang w:val="en-US" w:eastAsia="zh-CN" w:bidi="ar"/>
              </w:rPr>
              <w:t>40</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4C94A4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−0.0001</w:t>
            </w:r>
          </w:p>
        </w:tc>
      </w:tr>
      <w:tr w14:paraId="55617270">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28C13497">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29E668F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Applied Sciences</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316FF31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−0.011</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FD0E1A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0.0002</w:t>
            </w:r>
          </w:p>
        </w:tc>
      </w:tr>
      <w:tr w14:paraId="77ED8161">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7B2A52E9">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0913835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Humanities</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5893A940">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−0.01</w:t>
            </w:r>
            <w:r>
              <w:rPr>
                <w:rFonts w:hint="default" w:ascii="Times New Roman" w:hAnsi="Times New Roman" w:eastAsia="宋体" w:cs="Times New Roman"/>
                <w:kern w:val="0"/>
                <w:szCs w:val="21"/>
                <w:lang w:val="en-US" w:eastAsia="zh-CN" w:bidi="ar"/>
              </w:rPr>
              <w:t>1</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FD20993">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w:t>
            </w:r>
            <w:r>
              <w:rPr>
                <w:rFonts w:hint="default" w:ascii="Times New Roman" w:hAnsi="Times New Roman" w:eastAsia="宋体" w:cs="Times New Roman"/>
                <w:kern w:val="0"/>
                <w:szCs w:val="21"/>
                <w:lang w:val="en-US" w:eastAsia="zh-CN" w:bidi="ar"/>
              </w:rPr>
              <w:t>.0000</w:t>
            </w:r>
          </w:p>
        </w:tc>
      </w:tr>
      <w:tr w14:paraId="37229DB2">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12C53215">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2A1CB53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Mathematics and Computing</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390C4374">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w:t>
            </w:r>
            <w:r>
              <w:rPr>
                <w:rFonts w:hint="default" w:ascii="Times New Roman" w:hAnsi="Times New Roman" w:eastAsia="宋体" w:cs="Times New Roman"/>
                <w:kern w:val="0"/>
                <w:szCs w:val="21"/>
                <w:lang w:val="en-US" w:eastAsia="zh-CN" w:bidi="ar"/>
              </w:rPr>
              <w:t>40</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00925A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0.0004</w:t>
            </w:r>
          </w:p>
        </w:tc>
      </w:tr>
      <w:tr w14:paraId="2DFE671A">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412A662A">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50F3564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Doctoral completion in 1995–2004</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20166D55">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0.09</w:t>
            </w:r>
            <w:r>
              <w:rPr>
                <w:rFonts w:hint="default" w:ascii="Times New Roman" w:hAnsi="Times New Roman" w:eastAsia="宋体" w:cs="Times New Roman"/>
                <w:kern w:val="0"/>
                <w:szCs w:val="21"/>
                <w:lang w:val="en-US" w:eastAsia="zh-CN" w:bidi="ar"/>
              </w:rPr>
              <w:t>1</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7C0951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0.0002</w:t>
            </w:r>
          </w:p>
        </w:tc>
      </w:tr>
      <w:tr w14:paraId="4B81F988">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61F970E9">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00F0975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Doctoral completion in 2005–2014</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2AE5257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0.007</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F903B0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0.0008</w:t>
            </w:r>
          </w:p>
        </w:tc>
      </w:tr>
      <w:tr w14:paraId="123880A7">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bottom w:val="nil"/>
              <w:right w:val="nil"/>
            </w:tcBorders>
            <w:tcMar>
              <w:top w:w="-1" w:type="dxa"/>
              <w:left w:w="-1" w:type="dxa"/>
              <w:bottom w:w="-1" w:type="dxa"/>
              <w:right w:w="-1" w:type="dxa"/>
            </w:tcMar>
            <w:vAlign w:val="center"/>
          </w:tcPr>
          <w:p w14:paraId="088AD3CC">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5B92D15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Doctoral completion in 2015–2023</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6AA7F7E1">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−0.10</w:t>
            </w:r>
            <w:r>
              <w:rPr>
                <w:rFonts w:hint="default" w:ascii="Times New Roman" w:hAnsi="Times New Roman" w:eastAsia="宋体" w:cs="Times New Roman"/>
                <w:kern w:val="0"/>
                <w:szCs w:val="21"/>
                <w:lang w:val="en-US" w:eastAsia="zh-CN" w:bidi="ar"/>
              </w:rPr>
              <w:t>3</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1F5B2E8">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−0.0007</w:t>
            </w:r>
          </w:p>
        </w:tc>
      </w:tr>
      <w:tr w14:paraId="1301A87A">
        <w:tblPrEx>
          <w:tblCellMar>
            <w:top w:w="0" w:type="dxa"/>
            <w:left w:w="108" w:type="dxa"/>
            <w:bottom w:w="0" w:type="dxa"/>
            <w:right w:w="108" w:type="dxa"/>
          </w:tblCellMar>
        </w:tblPrEx>
        <w:trPr>
          <w:cantSplit/>
          <w:trHeight w:val="283" w:hRule="atLeast"/>
          <w:jc w:val="center"/>
        </w:trPr>
        <w:tc>
          <w:tcPr>
            <w:tcW w:w="1437" w:type="dxa"/>
            <w:vMerge w:val="restart"/>
            <w:tcBorders>
              <w:top w:val="single" w:color="auto" w:sz="4" w:space="0"/>
              <w:left w:val="single" w:color="auto" w:sz="4" w:space="0"/>
              <w:right w:val="nil"/>
            </w:tcBorders>
            <w:tcMar>
              <w:top w:w="-1" w:type="dxa"/>
              <w:left w:w="-1" w:type="dxa"/>
              <w:bottom w:w="-1" w:type="dxa"/>
              <w:right w:w="-1" w:type="dxa"/>
            </w:tcMar>
            <w:vAlign w:val="center"/>
          </w:tcPr>
          <w:p w14:paraId="3EDAAC60">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Global faculty CV</w:t>
            </w: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07B76A9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Male</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174D4785">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0.20</w:t>
            </w:r>
            <w:r>
              <w:rPr>
                <w:rFonts w:hint="default" w:ascii="Times New Roman" w:hAnsi="Times New Roman" w:eastAsia="宋体" w:cs="Times New Roman"/>
                <w:kern w:val="0"/>
                <w:szCs w:val="21"/>
                <w:lang w:val="en-US" w:eastAsia="zh-CN" w:bidi="ar"/>
              </w:rPr>
              <w:t>6</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C82D87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−0.0002</w:t>
            </w:r>
          </w:p>
        </w:tc>
      </w:tr>
      <w:tr w14:paraId="0DA6744D">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5FF08509">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638602E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Engineering</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1030C155">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0.14</w:t>
            </w:r>
            <w:r>
              <w:rPr>
                <w:rFonts w:hint="default" w:ascii="Times New Roman" w:hAnsi="Times New Roman" w:eastAsia="宋体" w:cs="Times New Roman"/>
                <w:kern w:val="0"/>
                <w:szCs w:val="21"/>
                <w:lang w:val="en-US" w:eastAsia="zh-CN" w:bidi="ar"/>
              </w:rPr>
              <w:t>1</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C7C503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−0.0005</w:t>
            </w:r>
          </w:p>
        </w:tc>
      </w:tr>
      <w:tr w14:paraId="7D0B1345">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24E080E3">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01061D79">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Humanities</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0159618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−0.026</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CB9698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−0.0004</w:t>
            </w:r>
          </w:p>
        </w:tc>
      </w:tr>
      <w:tr w14:paraId="45A7BDC7">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5E02CBB9">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3DF3C7E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Mathematics and Computing</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7CE4A3C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0.040</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23EE8D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−0.0006</w:t>
            </w:r>
          </w:p>
        </w:tc>
      </w:tr>
      <w:tr w14:paraId="3A57BA7B">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0745985E">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09D5D2FF">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Medicine and Health</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3352CE7C">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−0.11</w:t>
            </w:r>
            <w:r>
              <w:rPr>
                <w:rFonts w:hint="default" w:ascii="Times New Roman" w:hAnsi="Times New Roman" w:eastAsia="宋体" w:cs="Times New Roman"/>
                <w:kern w:val="0"/>
                <w:szCs w:val="21"/>
                <w:lang w:val="en-US" w:eastAsia="zh-CN" w:bidi="ar"/>
              </w:rPr>
              <w:t>3</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887640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0.0001</w:t>
            </w:r>
          </w:p>
        </w:tc>
      </w:tr>
      <w:tr w14:paraId="0A3F149C">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4ABDD56A">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53A0E94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Natural Sciences</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359960C0">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0.11</w:t>
            </w:r>
            <w:r>
              <w:rPr>
                <w:rFonts w:hint="default" w:ascii="Times New Roman" w:hAnsi="Times New Roman" w:eastAsia="宋体" w:cs="Times New Roman"/>
                <w:kern w:val="0"/>
                <w:szCs w:val="21"/>
                <w:lang w:val="en-US" w:eastAsia="zh-CN" w:bidi="ar"/>
              </w:rPr>
              <w:t>8</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ED9CB6C">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0.0007</w:t>
            </w:r>
          </w:p>
        </w:tc>
      </w:tr>
      <w:tr w14:paraId="0F92E34B">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18D4DF54">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092F544B">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Social Sciences</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46C1568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−0.114</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3012B64">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0.0004</w:t>
            </w:r>
          </w:p>
        </w:tc>
      </w:tr>
      <w:tr w14:paraId="492FCB70">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7A46D509">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7E901B42">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Doctoral completion in 1995–2004</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467BB68D">
            <w:pPr>
              <w:widowControl/>
              <w:snapToGrid w:val="0"/>
              <w:spacing w:before="0" w:after="0" w:line="240" w:lineRule="auto"/>
              <w:jc w:val="center"/>
              <w:textAlignment w:val="center"/>
              <w:rPr>
                <w:rFonts w:hint="default" w:ascii="Times New Roman" w:hAnsi="Times New Roman" w:eastAsia="宋体" w:cs="Times New Roman"/>
                <w:szCs w:val="21"/>
                <w:lang w:val="en-US" w:eastAsia="zh-CN"/>
              </w:rPr>
            </w:pPr>
            <w:r>
              <w:rPr>
                <w:rFonts w:hint="default" w:ascii="Times New Roman" w:hAnsi="Times New Roman" w:eastAsia="宋体" w:cs="Times New Roman"/>
                <w:kern w:val="0"/>
                <w:szCs w:val="21"/>
                <w:lang w:bidi="ar"/>
              </w:rPr>
              <w:t>0.08</w:t>
            </w:r>
            <w:r>
              <w:rPr>
                <w:rFonts w:hint="default" w:ascii="Times New Roman" w:hAnsi="Times New Roman" w:eastAsia="宋体" w:cs="Times New Roman"/>
                <w:kern w:val="0"/>
                <w:szCs w:val="21"/>
                <w:lang w:val="en-US" w:eastAsia="zh-CN" w:bidi="ar"/>
              </w:rPr>
              <w:t>9</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CFFEAEA">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−0.0021</w:t>
            </w:r>
          </w:p>
        </w:tc>
      </w:tr>
      <w:tr w14:paraId="4FF5777F">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right w:val="nil"/>
            </w:tcBorders>
            <w:tcMar>
              <w:top w:w="-1" w:type="dxa"/>
              <w:left w:w="-1" w:type="dxa"/>
              <w:bottom w:w="-1" w:type="dxa"/>
              <w:right w:w="-1" w:type="dxa"/>
            </w:tcMar>
            <w:vAlign w:val="center"/>
          </w:tcPr>
          <w:p w14:paraId="357CD24B">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nil"/>
              <w:right w:val="nil"/>
            </w:tcBorders>
            <w:tcMar>
              <w:top w:w="-1" w:type="dxa"/>
              <w:left w:w="-1" w:type="dxa"/>
              <w:bottom w:w="-1" w:type="dxa"/>
              <w:right w:w="-1" w:type="dxa"/>
            </w:tcMar>
            <w:vAlign w:val="center"/>
          </w:tcPr>
          <w:p w14:paraId="2017AC06">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Doctoral completion in 2005–2014</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43EC561D">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0.020</w:t>
            </w:r>
          </w:p>
        </w:tc>
        <w:tc>
          <w:tcPr>
            <w:tcW w:w="153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AC1DC1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−0.0015</w:t>
            </w:r>
          </w:p>
        </w:tc>
      </w:tr>
      <w:tr w14:paraId="35815041">
        <w:tblPrEx>
          <w:tblCellMar>
            <w:top w:w="0" w:type="dxa"/>
            <w:left w:w="108" w:type="dxa"/>
            <w:bottom w:w="0" w:type="dxa"/>
            <w:right w:w="108" w:type="dxa"/>
          </w:tblCellMar>
        </w:tblPrEx>
        <w:trPr>
          <w:cantSplit/>
          <w:trHeight w:val="283" w:hRule="atLeast"/>
          <w:jc w:val="center"/>
        </w:trPr>
        <w:tc>
          <w:tcPr>
            <w:tcW w:w="1437" w:type="dxa"/>
            <w:vMerge w:val="continue"/>
            <w:tcBorders>
              <w:left w:val="single" w:color="auto" w:sz="4" w:space="0"/>
              <w:bottom w:val="single" w:color="auto" w:sz="4" w:space="0"/>
              <w:right w:val="nil"/>
            </w:tcBorders>
            <w:tcMar>
              <w:top w:w="-1" w:type="dxa"/>
              <w:left w:w="-1" w:type="dxa"/>
              <w:bottom w:w="-1" w:type="dxa"/>
              <w:right w:w="-1" w:type="dxa"/>
            </w:tcMar>
            <w:vAlign w:val="center"/>
          </w:tcPr>
          <w:p w14:paraId="0E78618B">
            <w:pPr>
              <w:snapToGrid w:val="0"/>
              <w:jc w:val="center"/>
              <w:rPr>
                <w:rFonts w:hint="default" w:ascii="Times New Roman" w:hAnsi="Times New Roman" w:eastAsia="宋体" w:cs="Times New Roman"/>
                <w:szCs w:val="21"/>
              </w:rPr>
            </w:pPr>
          </w:p>
        </w:tc>
        <w:tc>
          <w:tcPr>
            <w:tcW w:w="347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B6143B3">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cs="Times New Roman"/>
              </w:rPr>
              <w:t>Doctoral completion in 2015–2023</w:t>
            </w:r>
          </w:p>
        </w:tc>
        <w:tc>
          <w:tcPr>
            <w:tcW w:w="163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3438511">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−0.149</w:t>
            </w:r>
          </w:p>
        </w:tc>
        <w:tc>
          <w:tcPr>
            <w:tcW w:w="153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3A756217">
            <w:pPr>
              <w:widowControl/>
              <w:snapToGrid w:val="0"/>
              <w:spacing w:before="0" w:after="0" w:line="240" w:lineRule="auto"/>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0.0037</w:t>
            </w:r>
          </w:p>
        </w:tc>
      </w:tr>
    </w:tbl>
    <w:p w14:paraId="7760E017">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Natural Sciences and doctoral completion in 1985–1994 are the reference categories in the ORCID and OpenAlex models; Applied Sciences and 1985–1994 are the references in the global faculty CV model. Absolute SMD values closer to zero indicate better weighted covariate balance</w:t>
      </w:r>
      <w:r>
        <w:rPr>
          <w:rFonts w:hint="default" w:ascii="Times New Roman" w:hAnsi="Times New Roman" w:cs="Times New Roman"/>
          <w:b w:val="0"/>
          <w:i w:val="0"/>
          <w:sz w:val="20"/>
          <w:szCs w:val="28"/>
          <w:lang w:val="en-US" w:eastAsia="zh-CN"/>
        </w:rPr>
        <w:t>.</w:t>
      </w:r>
    </w:p>
    <w:p w14:paraId="3276D402">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D. Robustness checks using alternative definitions of elite doctoral institutions</w:t>
      </w:r>
    </w:p>
    <w:tbl>
      <w:tblPr>
        <w:tblStyle w:val="5"/>
        <w:tblW w:w="0" w:type="auto"/>
        <w:jc w:val="center"/>
        <w:tblLayout w:type="fixed"/>
        <w:tblCellMar>
          <w:top w:w="0" w:type="dxa"/>
          <w:left w:w="108" w:type="dxa"/>
          <w:bottom w:w="0" w:type="dxa"/>
          <w:right w:w="108" w:type="dxa"/>
        </w:tblCellMar>
      </w:tblPr>
      <w:tblGrid>
        <w:gridCol w:w="1072"/>
        <w:gridCol w:w="1819"/>
        <w:gridCol w:w="1277"/>
        <w:gridCol w:w="2105"/>
        <w:gridCol w:w="853"/>
        <w:gridCol w:w="964"/>
      </w:tblGrid>
      <w:tr w14:paraId="39353BB1">
        <w:tblPrEx>
          <w:tblCellMar>
            <w:top w:w="0" w:type="dxa"/>
            <w:left w:w="108" w:type="dxa"/>
            <w:bottom w:w="0" w:type="dxa"/>
            <w:right w:w="108" w:type="dxa"/>
          </w:tblCellMar>
        </w:tblPrEx>
        <w:trPr>
          <w:cantSplit/>
          <w:trHeight w:val="283" w:hRule="atLeast"/>
          <w:tblHeader/>
          <w:jc w:val="center"/>
        </w:trPr>
        <w:tc>
          <w:tcPr>
            <w:tcW w:w="1072" w:type="dxa"/>
            <w:tcBorders>
              <w:top w:val="single" w:color="auto" w:sz="4" w:space="0"/>
              <w:left w:val="single" w:color="auto" w:sz="4" w:space="0"/>
              <w:bottom w:val="nil"/>
              <w:right w:val="nil"/>
            </w:tcBorders>
            <w:tcMar>
              <w:top w:w="-1" w:type="dxa"/>
              <w:left w:w="-1" w:type="dxa"/>
              <w:bottom w:w="-1" w:type="dxa"/>
              <w:right w:w="-1" w:type="dxa"/>
            </w:tcMar>
            <w:vAlign w:val="center"/>
          </w:tcPr>
          <w:p w14:paraId="33736AFB">
            <w:pPr>
              <w:widowControl/>
              <w:snapToGrid w:val="0"/>
              <w:spacing w:before="0" w:after="0" w:line="240" w:lineRule="auto"/>
              <w:jc w:val="center"/>
              <w:textAlignment w:val="center"/>
              <w:rPr>
                <w:rFonts w:hint="default" w:ascii="Times New Roman" w:hAnsi="Times New Roman" w:eastAsia="Times New Roman Regular" w:cs="Times New Roman"/>
                <w:b/>
                <w:bCs/>
                <w:szCs w:val="21"/>
              </w:rPr>
            </w:pPr>
            <w:r>
              <w:rPr>
                <w:rFonts w:hint="default" w:ascii="Times New Roman" w:hAnsi="Times New Roman" w:eastAsia="宋体" w:cs="Times New Roman"/>
                <w:b/>
                <w:bCs/>
                <w:kern w:val="0"/>
                <w:szCs w:val="21"/>
                <w:lang w:bidi="ar"/>
              </w:rPr>
              <w:t>Dataset</w:t>
            </w:r>
          </w:p>
        </w:tc>
        <w:tc>
          <w:tcPr>
            <w:tcW w:w="1819" w:type="dxa"/>
            <w:tcBorders>
              <w:top w:val="single" w:color="auto" w:sz="4" w:space="0"/>
              <w:left w:val="single" w:color="auto" w:sz="4" w:space="0"/>
              <w:bottom w:val="nil"/>
              <w:right w:val="nil"/>
            </w:tcBorders>
            <w:tcMar>
              <w:top w:w="-1" w:type="dxa"/>
              <w:left w:w="-1" w:type="dxa"/>
              <w:bottom w:w="-1" w:type="dxa"/>
              <w:right w:w="-1" w:type="dxa"/>
            </w:tcMar>
            <w:vAlign w:val="center"/>
          </w:tcPr>
          <w:p w14:paraId="5126CE04">
            <w:pPr>
              <w:widowControl/>
              <w:snapToGrid w:val="0"/>
              <w:spacing w:before="0" w:after="0" w:line="240" w:lineRule="auto"/>
              <w:jc w:val="center"/>
              <w:textAlignment w:val="center"/>
              <w:rPr>
                <w:rFonts w:hint="default" w:ascii="Times New Roman" w:hAnsi="Times New Roman" w:eastAsia="Times New Roman Regular" w:cs="Times New Roman"/>
                <w:b/>
                <w:bCs/>
                <w:szCs w:val="21"/>
              </w:rPr>
            </w:pPr>
            <w:r>
              <w:rPr>
                <w:rFonts w:hint="default" w:ascii="Times New Roman" w:hAnsi="Times New Roman" w:eastAsia="宋体" w:cs="Times New Roman"/>
                <w:b/>
                <w:bCs/>
                <w:kern w:val="0"/>
                <w:szCs w:val="21"/>
                <w:lang w:bidi="ar"/>
              </w:rPr>
              <w:t>Elite doctoral institution definition</w:t>
            </w:r>
          </w:p>
        </w:tc>
        <w:tc>
          <w:tcPr>
            <w:tcW w:w="1277" w:type="dxa"/>
            <w:tcBorders>
              <w:top w:val="single" w:color="auto" w:sz="4" w:space="0"/>
              <w:left w:val="single" w:color="auto" w:sz="4" w:space="0"/>
              <w:bottom w:val="nil"/>
              <w:right w:val="nil"/>
            </w:tcBorders>
            <w:tcMar>
              <w:top w:w="-1" w:type="dxa"/>
              <w:left w:w="-1" w:type="dxa"/>
              <w:bottom w:w="-1" w:type="dxa"/>
              <w:right w:w="-1" w:type="dxa"/>
            </w:tcMar>
            <w:vAlign w:val="center"/>
          </w:tcPr>
          <w:p w14:paraId="5FFC1295">
            <w:pPr>
              <w:widowControl/>
              <w:snapToGrid w:val="0"/>
              <w:spacing w:before="0" w:after="0" w:line="240" w:lineRule="auto"/>
              <w:jc w:val="center"/>
              <w:textAlignment w:val="center"/>
              <w:rPr>
                <w:rFonts w:hint="default" w:ascii="Times New Roman" w:hAnsi="Times New Roman" w:eastAsia="Times New Roman Regular" w:cs="Times New Roman"/>
                <w:b/>
                <w:bCs/>
                <w:szCs w:val="21"/>
              </w:rPr>
            </w:pPr>
            <w:r>
              <w:rPr>
                <w:rFonts w:hint="default" w:ascii="Times New Roman" w:hAnsi="Times New Roman" w:eastAsia="宋体" w:cs="Times New Roman"/>
                <w:b/>
                <w:bCs/>
                <w:kern w:val="0"/>
                <w:szCs w:val="21"/>
                <w:lang w:bidi="ar"/>
              </w:rPr>
              <w:t>N</w:t>
            </w:r>
          </w:p>
        </w:tc>
        <w:tc>
          <w:tcPr>
            <w:tcW w:w="2105" w:type="dxa"/>
            <w:tcBorders>
              <w:top w:val="single" w:color="auto" w:sz="4" w:space="0"/>
              <w:left w:val="single" w:color="auto" w:sz="4" w:space="0"/>
              <w:bottom w:val="nil"/>
              <w:right w:val="nil"/>
            </w:tcBorders>
            <w:tcMar>
              <w:top w:w="-1" w:type="dxa"/>
              <w:left w:w="-1" w:type="dxa"/>
              <w:bottom w:w="-1" w:type="dxa"/>
              <w:right w:w="-1" w:type="dxa"/>
            </w:tcMar>
            <w:vAlign w:val="center"/>
          </w:tcPr>
          <w:p w14:paraId="6022477D">
            <w:pPr>
              <w:widowControl/>
              <w:snapToGrid w:val="0"/>
              <w:spacing w:before="0" w:after="0" w:line="240" w:lineRule="auto"/>
              <w:jc w:val="center"/>
              <w:textAlignment w:val="center"/>
              <w:rPr>
                <w:rFonts w:hint="default" w:ascii="Times New Roman" w:hAnsi="Times New Roman" w:eastAsia="Times New Roman Regular" w:cs="Times New Roman"/>
                <w:b/>
                <w:bCs/>
                <w:szCs w:val="21"/>
              </w:rPr>
            </w:pPr>
            <w:r>
              <w:rPr>
                <w:rFonts w:hint="default" w:ascii="Times New Roman" w:hAnsi="Times New Roman" w:eastAsia="宋体" w:cs="Times New Roman"/>
                <w:b/>
                <w:bCs/>
                <w:kern w:val="0"/>
                <w:szCs w:val="21"/>
                <w:lang w:bidi="ar"/>
              </w:rPr>
              <w:t>AME of elite doctoral background (pp)</w:t>
            </w:r>
          </w:p>
        </w:tc>
        <w:tc>
          <w:tcPr>
            <w:tcW w:w="853" w:type="dxa"/>
            <w:tcBorders>
              <w:top w:val="single" w:color="auto" w:sz="4" w:space="0"/>
              <w:left w:val="single" w:color="auto" w:sz="4" w:space="0"/>
              <w:bottom w:val="nil"/>
              <w:right w:val="nil"/>
            </w:tcBorders>
            <w:tcMar>
              <w:top w:w="-1" w:type="dxa"/>
              <w:left w:w="-1" w:type="dxa"/>
              <w:bottom w:w="-1" w:type="dxa"/>
              <w:right w:w="-1" w:type="dxa"/>
            </w:tcMar>
            <w:vAlign w:val="center"/>
          </w:tcPr>
          <w:p w14:paraId="281DFF52">
            <w:pPr>
              <w:widowControl/>
              <w:snapToGrid w:val="0"/>
              <w:spacing w:before="0" w:after="0" w:line="240" w:lineRule="auto"/>
              <w:jc w:val="center"/>
              <w:textAlignment w:val="center"/>
              <w:rPr>
                <w:rFonts w:hint="default" w:ascii="Times New Roman" w:hAnsi="Times New Roman" w:eastAsia="Times New Roman Regular" w:cs="Times New Roman"/>
                <w:b/>
                <w:bCs/>
                <w:szCs w:val="21"/>
              </w:rPr>
            </w:pPr>
            <w:r>
              <w:rPr>
                <w:rFonts w:hint="default" w:ascii="Times New Roman" w:hAnsi="Times New Roman" w:eastAsia="宋体" w:cs="Times New Roman"/>
                <w:b/>
                <w:bCs/>
                <w:kern w:val="0"/>
                <w:szCs w:val="21"/>
                <w:lang w:bidi="ar"/>
              </w:rPr>
              <w:t>SE</w:t>
            </w:r>
          </w:p>
        </w:tc>
        <w:tc>
          <w:tcPr>
            <w:tcW w:w="964"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8A9161F">
            <w:pPr>
              <w:widowControl/>
              <w:snapToGrid w:val="0"/>
              <w:spacing w:before="0" w:after="0" w:line="240" w:lineRule="auto"/>
              <w:jc w:val="center"/>
              <w:textAlignment w:val="center"/>
              <w:rPr>
                <w:rFonts w:hint="default" w:ascii="Times New Roman" w:hAnsi="Times New Roman" w:eastAsia="Times New Roman Regular" w:cs="Times New Roman"/>
                <w:b/>
                <w:bCs/>
                <w:szCs w:val="21"/>
              </w:rPr>
            </w:pPr>
            <w:r>
              <w:rPr>
                <w:rFonts w:hint="default" w:ascii="Times New Roman" w:hAnsi="Times New Roman" w:eastAsia="宋体" w:cs="Times New Roman"/>
                <w:b/>
                <w:bCs/>
                <w:kern w:val="0"/>
                <w:szCs w:val="21"/>
                <w:lang w:bidi="ar"/>
              </w:rPr>
              <w:t>p-value</w:t>
            </w:r>
          </w:p>
        </w:tc>
      </w:tr>
      <w:tr w14:paraId="7CB79276">
        <w:tblPrEx>
          <w:tblCellMar>
            <w:top w:w="0" w:type="dxa"/>
            <w:left w:w="108" w:type="dxa"/>
            <w:bottom w:w="0" w:type="dxa"/>
            <w:right w:w="108" w:type="dxa"/>
          </w:tblCellMar>
        </w:tblPrEx>
        <w:trPr>
          <w:cantSplit/>
          <w:trHeight w:val="283" w:hRule="atLeast"/>
          <w:jc w:val="center"/>
        </w:trPr>
        <w:tc>
          <w:tcPr>
            <w:tcW w:w="1072" w:type="dxa"/>
            <w:vMerge w:val="restart"/>
            <w:tcBorders>
              <w:top w:val="single" w:color="auto" w:sz="4" w:space="0"/>
              <w:left w:val="single" w:color="auto" w:sz="4" w:space="0"/>
              <w:right w:val="nil"/>
            </w:tcBorders>
            <w:tcMar>
              <w:top w:w="-1" w:type="dxa"/>
              <w:left w:w="-1" w:type="dxa"/>
              <w:bottom w:w="-1" w:type="dxa"/>
              <w:right w:w="-1" w:type="dxa"/>
            </w:tcMar>
            <w:vAlign w:val="center"/>
          </w:tcPr>
          <w:p w14:paraId="18BFA08B">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ORCID</w:t>
            </w:r>
          </w:p>
        </w:tc>
        <w:tc>
          <w:tcPr>
            <w:tcW w:w="1819" w:type="dxa"/>
            <w:tcBorders>
              <w:top w:val="single" w:color="auto" w:sz="4" w:space="0"/>
              <w:left w:val="single" w:color="auto" w:sz="4" w:space="0"/>
              <w:bottom w:val="nil"/>
              <w:right w:val="nil"/>
            </w:tcBorders>
            <w:tcMar>
              <w:top w:w="-1" w:type="dxa"/>
              <w:left w:w="-1" w:type="dxa"/>
              <w:bottom w:w="-1" w:type="dxa"/>
              <w:right w:w="-1" w:type="dxa"/>
            </w:tcMar>
            <w:vAlign w:val="center"/>
          </w:tcPr>
          <w:p w14:paraId="13D5C24E">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Top 100</w:t>
            </w:r>
          </w:p>
        </w:tc>
        <w:tc>
          <w:tcPr>
            <w:tcW w:w="1277" w:type="dxa"/>
            <w:tcBorders>
              <w:top w:val="single" w:color="auto" w:sz="4" w:space="0"/>
              <w:left w:val="single" w:color="auto" w:sz="4" w:space="0"/>
              <w:bottom w:val="nil"/>
              <w:right w:val="nil"/>
            </w:tcBorders>
            <w:tcMar>
              <w:top w:w="-1" w:type="dxa"/>
              <w:left w:w="-1" w:type="dxa"/>
              <w:bottom w:w="-1" w:type="dxa"/>
              <w:right w:w="-1" w:type="dxa"/>
            </w:tcMar>
            <w:vAlign w:val="center"/>
          </w:tcPr>
          <w:p w14:paraId="1D708727">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344,321</w:t>
            </w:r>
          </w:p>
        </w:tc>
        <w:tc>
          <w:tcPr>
            <w:tcW w:w="2105" w:type="dxa"/>
            <w:tcBorders>
              <w:top w:val="single" w:color="auto" w:sz="4" w:space="0"/>
              <w:left w:val="single" w:color="auto" w:sz="4" w:space="0"/>
              <w:bottom w:val="nil"/>
              <w:right w:val="nil"/>
            </w:tcBorders>
            <w:tcMar>
              <w:top w:w="-1" w:type="dxa"/>
              <w:left w:w="-1" w:type="dxa"/>
              <w:bottom w:w="-1" w:type="dxa"/>
              <w:right w:w="-1" w:type="dxa"/>
            </w:tcMar>
            <w:vAlign w:val="center"/>
          </w:tcPr>
          <w:p w14:paraId="78C543EA">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11.18</w:t>
            </w:r>
          </w:p>
        </w:tc>
        <w:tc>
          <w:tcPr>
            <w:tcW w:w="853" w:type="dxa"/>
            <w:tcBorders>
              <w:top w:val="single" w:color="auto" w:sz="4" w:space="0"/>
              <w:left w:val="single" w:color="auto" w:sz="4" w:space="0"/>
              <w:bottom w:val="nil"/>
              <w:right w:val="nil"/>
            </w:tcBorders>
            <w:tcMar>
              <w:top w:w="-1" w:type="dxa"/>
              <w:left w:w="-1" w:type="dxa"/>
              <w:bottom w:w="-1" w:type="dxa"/>
              <w:right w:w="-1" w:type="dxa"/>
            </w:tcMar>
            <w:vAlign w:val="center"/>
          </w:tcPr>
          <w:p w14:paraId="738EC1AB">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3.01</w:t>
            </w:r>
          </w:p>
        </w:tc>
        <w:tc>
          <w:tcPr>
            <w:tcW w:w="964"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4BC8F7A">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r>
      <w:tr w14:paraId="12635374">
        <w:tblPrEx>
          <w:tblCellMar>
            <w:top w:w="0" w:type="dxa"/>
            <w:left w:w="108" w:type="dxa"/>
            <w:bottom w:w="0" w:type="dxa"/>
            <w:right w:w="108" w:type="dxa"/>
          </w:tblCellMar>
        </w:tblPrEx>
        <w:trPr>
          <w:cantSplit/>
          <w:trHeight w:val="283" w:hRule="atLeast"/>
          <w:jc w:val="center"/>
        </w:trPr>
        <w:tc>
          <w:tcPr>
            <w:tcW w:w="1072" w:type="dxa"/>
            <w:vMerge w:val="continue"/>
            <w:tcBorders>
              <w:left w:val="single" w:color="auto" w:sz="4" w:space="0"/>
              <w:bottom w:val="nil"/>
              <w:right w:val="nil"/>
            </w:tcBorders>
            <w:tcMar>
              <w:top w:w="-1" w:type="dxa"/>
              <w:left w:w="-1" w:type="dxa"/>
              <w:bottom w:w="-1" w:type="dxa"/>
              <w:right w:w="-1" w:type="dxa"/>
            </w:tcMar>
            <w:vAlign w:val="center"/>
          </w:tcPr>
          <w:p w14:paraId="72AD5B6E">
            <w:pPr>
              <w:widowControl/>
              <w:snapToGrid w:val="0"/>
              <w:jc w:val="center"/>
              <w:textAlignment w:val="center"/>
              <w:rPr>
                <w:rFonts w:hint="default" w:ascii="Times New Roman" w:hAnsi="Times New Roman" w:eastAsia="Times New Roman Regular" w:cs="Times New Roman"/>
                <w:szCs w:val="21"/>
              </w:rPr>
            </w:pPr>
          </w:p>
        </w:tc>
        <w:tc>
          <w:tcPr>
            <w:tcW w:w="1819" w:type="dxa"/>
            <w:tcBorders>
              <w:top w:val="single" w:color="auto" w:sz="4" w:space="0"/>
              <w:left w:val="single" w:color="auto" w:sz="4" w:space="0"/>
              <w:bottom w:val="nil"/>
              <w:right w:val="nil"/>
            </w:tcBorders>
            <w:tcMar>
              <w:top w:w="-1" w:type="dxa"/>
              <w:left w:w="-1" w:type="dxa"/>
              <w:bottom w:w="-1" w:type="dxa"/>
              <w:right w:w="-1" w:type="dxa"/>
            </w:tcMar>
            <w:vAlign w:val="center"/>
          </w:tcPr>
          <w:p w14:paraId="7C7896AC">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Top 1000</w:t>
            </w:r>
          </w:p>
        </w:tc>
        <w:tc>
          <w:tcPr>
            <w:tcW w:w="1277" w:type="dxa"/>
            <w:tcBorders>
              <w:top w:val="single" w:color="auto" w:sz="4" w:space="0"/>
              <w:left w:val="single" w:color="auto" w:sz="4" w:space="0"/>
              <w:bottom w:val="nil"/>
              <w:right w:val="nil"/>
            </w:tcBorders>
            <w:tcMar>
              <w:top w:w="-1" w:type="dxa"/>
              <w:left w:w="-1" w:type="dxa"/>
              <w:bottom w:w="-1" w:type="dxa"/>
              <w:right w:w="-1" w:type="dxa"/>
            </w:tcMar>
            <w:vAlign w:val="center"/>
          </w:tcPr>
          <w:p w14:paraId="02120B18">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344,321</w:t>
            </w:r>
          </w:p>
        </w:tc>
        <w:tc>
          <w:tcPr>
            <w:tcW w:w="2105" w:type="dxa"/>
            <w:tcBorders>
              <w:top w:val="single" w:color="auto" w:sz="4" w:space="0"/>
              <w:left w:val="single" w:color="auto" w:sz="4" w:space="0"/>
              <w:bottom w:val="nil"/>
              <w:right w:val="nil"/>
            </w:tcBorders>
            <w:tcMar>
              <w:top w:w="-1" w:type="dxa"/>
              <w:left w:w="-1" w:type="dxa"/>
              <w:bottom w:w="-1" w:type="dxa"/>
              <w:right w:w="-1" w:type="dxa"/>
            </w:tcMar>
            <w:vAlign w:val="center"/>
          </w:tcPr>
          <w:p w14:paraId="52256131">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16.88</w:t>
            </w:r>
          </w:p>
        </w:tc>
        <w:tc>
          <w:tcPr>
            <w:tcW w:w="853" w:type="dxa"/>
            <w:tcBorders>
              <w:top w:val="single" w:color="auto" w:sz="4" w:space="0"/>
              <w:left w:val="single" w:color="auto" w:sz="4" w:space="0"/>
              <w:bottom w:val="nil"/>
              <w:right w:val="nil"/>
            </w:tcBorders>
            <w:tcMar>
              <w:top w:w="-1" w:type="dxa"/>
              <w:left w:w="-1" w:type="dxa"/>
              <w:bottom w:w="-1" w:type="dxa"/>
              <w:right w:w="-1" w:type="dxa"/>
            </w:tcMar>
            <w:vAlign w:val="center"/>
          </w:tcPr>
          <w:p w14:paraId="6B56FC99">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1.41</w:t>
            </w:r>
          </w:p>
        </w:tc>
        <w:tc>
          <w:tcPr>
            <w:tcW w:w="964"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36878AF">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r>
      <w:tr w14:paraId="2DC27BC2">
        <w:tblPrEx>
          <w:tblCellMar>
            <w:top w:w="0" w:type="dxa"/>
            <w:left w:w="108" w:type="dxa"/>
            <w:bottom w:w="0" w:type="dxa"/>
            <w:right w:w="108" w:type="dxa"/>
          </w:tblCellMar>
        </w:tblPrEx>
        <w:trPr>
          <w:cantSplit/>
          <w:trHeight w:val="283" w:hRule="atLeast"/>
          <w:jc w:val="center"/>
        </w:trPr>
        <w:tc>
          <w:tcPr>
            <w:tcW w:w="1072" w:type="dxa"/>
            <w:vMerge w:val="restart"/>
            <w:tcBorders>
              <w:top w:val="single" w:color="auto" w:sz="4" w:space="0"/>
              <w:left w:val="single" w:color="auto" w:sz="4" w:space="0"/>
              <w:right w:val="nil"/>
            </w:tcBorders>
            <w:tcMar>
              <w:top w:w="-1" w:type="dxa"/>
              <w:left w:w="-1" w:type="dxa"/>
              <w:bottom w:w="-1" w:type="dxa"/>
              <w:right w:w="-1" w:type="dxa"/>
            </w:tcMar>
            <w:vAlign w:val="center"/>
          </w:tcPr>
          <w:p w14:paraId="010472EB">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OA</w:t>
            </w:r>
          </w:p>
        </w:tc>
        <w:tc>
          <w:tcPr>
            <w:tcW w:w="1819" w:type="dxa"/>
            <w:tcBorders>
              <w:top w:val="single" w:color="auto" w:sz="4" w:space="0"/>
              <w:left w:val="single" w:color="auto" w:sz="4" w:space="0"/>
              <w:bottom w:val="nil"/>
              <w:right w:val="nil"/>
            </w:tcBorders>
            <w:tcMar>
              <w:top w:w="-1" w:type="dxa"/>
              <w:left w:w="-1" w:type="dxa"/>
              <w:bottom w:w="-1" w:type="dxa"/>
              <w:right w:w="-1" w:type="dxa"/>
            </w:tcMar>
            <w:vAlign w:val="center"/>
          </w:tcPr>
          <w:p w14:paraId="23D1F569">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Top 100</w:t>
            </w:r>
          </w:p>
        </w:tc>
        <w:tc>
          <w:tcPr>
            <w:tcW w:w="1277" w:type="dxa"/>
            <w:tcBorders>
              <w:top w:val="single" w:color="auto" w:sz="4" w:space="0"/>
              <w:left w:val="single" w:color="auto" w:sz="4" w:space="0"/>
              <w:bottom w:val="nil"/>
              <w:right w:val="nil"/>
            </w:tcBorders>
            <w:tcMar>
              <w:top w:w="-1" w:type="dxa"/>
              <w:left w:w="-1" w:type="dxa"/>
              <w:bottom w:w="-1" w:type="dxa"/>
              <w:right w:w="-1" w:type="dxa"/>
            </w:tcMar>
            <w:vAlign w:val="center"/>
          </w:tcPr>
          <w:p w14:paraId="7AFEDCF8">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1,813,704</w:t>
            </w:r>
          </w:p>
        </w:tc>
        <w:tc>
          <w:tcPr>
            <w:tcW w:w="2105" w:type="dxa"/>
            <w:tcBorders>
              <w:top w:val="single" w:color="auto" w:sz="4" w:space="0"/>
              <w:left w:val="single" w:color="auto" w:sz="4" w:space="0"/>
              <w:bottom w:val="nil"/>
              <w:right w:val="nil"/>
            </w:tcBorders>
            <w:tcMar>
              <w:top w:w="-1" w:type="dxa"/>
              <w:left w:w="-1" w:type="dxa"/>
              <w:bottom w:w="-1" w:type="dxa"/>
              <w:right w:w="-1" w:type="dxa"/>
            </w:tcMar>
            <w:vAlign w:val="center"/>
          </w:tcPr>
          <w:p w14:paraId="570ECAEC">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4.81</w:t>
            </w:r>
          </w:p>
        </w:tc>
        <w:tc>
          <w:tcPr>
            <w:tcW w:w="853" w:type="dxa"/>
            <w:tcBorders>
              <w:top w:val="single" w:color="auto" w:sz="4" w:space="0"/>
              <w:left w:val="single" w:color="auto" w:sz="4" w:space="0"/>
              <w:bottom w:val="nil"/>
              <w:right w:val="nil"/>
            </w:tcBorders>
            <w:tcMar>
              <w:top w:w="-1" w:type="dxa"/>
              <w:left w:w="-1" w:type="dxa"/>
              <w:bottom w:w="-1" w:type="dxa"/>
              <w:right w:w="-1" w:type="dxa"/>
            </w:tcMar>
            <w:vAlign w:val="center"/>
          </w:tcPr>
          <w:p w14:paraId="0D095388">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0.89</w:t>
            </w:r>
          </w:p>
        </w:tc>
        <w:tc>
          <w:tcPr>
            <w:tcW w:w="964"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76B47EE">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r>
      <w:tr w14:paraId="038CE133">
        <w:tblPrEx>
          <w:tblCellMar>
            <w:top w:w="0" w:type="dxa"/>
            <w:left w:w="108" w:type="dxa"/>
            <w:bottom w:w="0" w:type="dxa"/>
            <w:right w:w="108" w:type="dxa"/>
          </w:tblCellMar>
        </w:tblPrEx>
        <w:trPr>
          <w:cantSplit/>
          <w:trHeight w:val="283" w:hRule="atLeast"/>
          <w:jc w:val="center"/>
        </w:trPr>
        <w:tc>
          <w:tcPr>
            <w:tcW w:w="1072" w:type="dxa"/>
            <w:vMerge w:val="continue"/>
            <w:tcBorders>
              <w:left w:val="single" w:color="auto" w:sz="4" w:space="0"/>
              <w:bottom w:val="nil"/>
              <w:right w:val="nil"/>
            </w:tcBorders>
            <w:tcMar>
              <w:top w:w="-1" w:type="dxa"/>
              <w:left w:w="-1" w:type="dxa"/>
              <w:bottom w:w="-1" w:type="dxa"/>
              <w:right w:w="-1" w:type="dxa"/>
            </w:tcMar>
            <w:vAlign w:val="center"/>
          </w:tcPr>
          <w:p w14:paraId="16463640">
            <w:pPr>
              <w:widowControl/>
              <w:snapToGrid w:val="0"/>
              <w:jc w:val="center"/>
              <w:textAlignment w:val="center"/>
              <w:rPr>
                <w:rFonts w:hint="default" w:ascii="Times New Roman" w:hAnsi="Times New Roman" w:eastAsia="Times New Roman Regular" w:cs="Times New Roman"/>
                <w:szCs w:val="21"/>
              </w:rPr>
            </w:pPr>
          </w:p>
        </w:tc>
        <w:tc>
          <w:tcPr>
            <w:tcW w:w="1819" w:type="dxa"/>
            <w:tcBorders>
              <w:top w:val="single" w:color="auto" w:sz="4" w:space="0"/>
              <w:left w:val="single" w:color="auto" w:sz="4" w:space="0"/>
              <w:bottom w:val="nil"/>
              <w:right w:val="nil"/>
            </w:tcBorders>
            <w:tcMar>
              <w:top w:w="-1" w:type="dxa"/>
              <w:left w:w="-1" w:type="dxa"/>
              <w:bottom w:w="-1" w:type="dxa"/>
              <w:right w:w="-1" w:type="dxa"/>
            </w:tcMar>
            <w:vAlign w:val="center"/>
          </w:tcPr>
          <w:p w14:paraId="2FAF7043">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Top 1000</w:t>
            </w:r>
          </w:p>
        </w:tc>
        <w:tc>
          <w:tcPr>
            <w:tcW w:w="1277" w:type="dxa"/>
            <w:tcBorders>
              <w:top w:val="single" w:color="auto" w:sz="4" w:space="0"/>
              <w:left w:val="single" w:color="auto" w:sz="4" w:space="0"/>
              <w:bottom w:val="nil"/>
              <w:right w:val="nil"/>
            </w:tcBorders>
            <w:tcMar>
              <w:top w:w="-1" w:type="dxa"/>
              <w:left w:w="-1" w:type="dxa"/>
              <w:bottom w:w="-1" w:type="dxa"/>
              <w:right w:w="-1" w:type="dxa"/>
            </w:tcMar>
            <w:vAlign w:val="center"/>
          </w:tcPr>
          <w:p w14:paraId="44F50206">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2,564,133</w:t>
            </w:r>
          </w:p>
        </w:tc>
        <w:tc>
          <w:tcPr>
            <w:tcW w:w="2105" w:type="dxa"/>
            <w:tcBorders>
              <w:top w:val="single" w:color="auto" w:sz="4" w:space="0"/>
              <w:left w:val="single" w:color="auto" w:sz="4" w:space="0"/>
              <w:bottom w:val="nil"/>
              <w:right w:val="nil"/>
            </w:tcBorders>
            <w:tcMar>
              <w:top w:w="-1" w:type="dxa"/>
              <w:left w:w="-1" w:type="dxa"/>
              <w:bottom w:w="-1" w:type="dxa"/>
              <w:right w:w="-1" w:type="dxa"/>
            </w:tcMar>
            <w:vAlign w:val="center"/>
          </w:tcPr>
          <w:p w14:paraId="04A08495">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1.27</w:t>
            </w:r>
          </w:p>
        </w:tc>
        <w:tc>
          <w:tcPr>
            <w:tcW w:w="853" w:type="dxa"/>
            <w:tcBorders>
              <w:top w:val="single" w:color="auto" w:sz="4" w:space="0"/>
              <w:left w:val="single" w:color="auto" w:sz="4" w:space="0"/>
              <w:bottom w:val="nil"/>
              <w:right w:val="nil"/>
            </w:tcBorders>
            <w:tcMar>
              <w:top w:w="-1" w:type="dxa"/>
              <w:left w:w="-1" w:type="dxa"/>
              <w:bottom w:w="-1" w:type="dxa"/>
              <w:right w:w="-1" w:type="dxa"/>
            </w:tcMar>
            <w:vAlign w:val="center"/>
          </w:tcPr>
          <w:p w14:paraId="04363A82">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0.58</w:t>
            </w:r>
          </w:p>
        </w:tc>
        <w:tc>
          <w:tcPr>
            <w:tcW w:w="964"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E42DFA8">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0.028</w:t>
            </w:r>
          </w:p>
        </w:tc>
      </w:tr>
      <w:tr w14:paraId="47BD4668">
        <w:tblPrEx>
          <w:tblCellMar>
            <w:top w:w="0" w:type="dxa"/>
            <w:left w:w="108" w:type="dxa"/>
            <w:bottom w:w="0" w:type="dxa"/>
            <w:right w:w="108" w:type="dxa"/>
          </w:tblCellMar>
        </w:tblPrEx>
        <w:trPr>
          <w:cantSplit/>
          <w:trHeight w:val="283" w:hRule="atLeast"/>
          <w:jc w:val="center"/>
        </w:trPr>
        <w:tc>
          <w:tcPr>
            <w:tcW w:w="1072" w:type="dxa"/>
            <w:vMerge w:val="restart"/>
            <w:tcBorders>
              <w:top w:val="single" w:color="auto" w:sz="4" w:space="0"/>
              <w:left w:val="single" w:color="auto" w:sz="4" w:space="0"/>
              <w:right w:val="nil"/>
            </w:tcBorders>
            <w:tcMar>
              <w:top w:w="-1" w:type="dxa"/>
              <w:left w:w="-1" w:type="dxa"/>
              <w:bottom w:w="-1" w:type="dxa"/>
              <w:right w:w="-1" w:type="dxa"/>
            </w:tcMar>
            <w:vAlign w:val="center"/>
          </w:tcPr>
          <w:p w14:paraId="6C23CF77">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Global CV</w:t>
            </w:r>
          </w:p>
        </w:tc>
        <w:tc>
          <w:tcPr>
            <w:tcW w:w="1819" w:type="dxa"/>
            <w:tcBorders>
              <w:top w:val="single" w:color="auto" w:sz="4" w:space="0"/>
              <w:left w:val="single" w:color="auto" w:sz="4" w:space="0"/>
              <w:bottom w:val="nil"/>
              <w:right w:val="nil"/>
            </w:tcBorders>
            <w:tcMar>
              <w:top w:w="-1" w:type="dxa"/>
              <w:left w:w="-1" w:type="dxa"/>
              <w:bottom w:w="-1" w:type="dxa"/>
              <w:right w:w="-1" w:type="dxa"/>
            </w:tcMar>
            <w:vAlign w:val="center"/>
          </w:tcPr>
          <w:p w14:paraId="501A07B7">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Top 100</w:t>
            </w:r>
          </w:p>
        </w:tc>
        <w:tc>
          <w:tcPr>
            <w:tcW w:w="1277" w:type="dxa"/>
            <w:tcBorders>
              <w:top w:val="single" w:color="auto" w:sz="4" w:space="0"/>
              <w:left w:val="single" w:color="auto" w:sz="4" w:space="0"/>
              <w:bottom w:val="nil"/>
              <w:right w:val="nil"/>
            </w:tcBorders>
            <w:tcMar>
              <w:top w:w="-1" w:type="dxa"/>
              <w:left w:w="-1" w:type="dxa"/>
              <w:bottom w:w="-1" w:type="dxa"/>
              <w:right w:w="-1" w:type="dxa"/>
            </w:tcMar>
            <w:vAlign w:val="center"/>
          </w:tcPr>
          <w:p w14:paraId="49E72C10">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2,532,205</w:t>
            </w:r>
          </w:p>
        </w:tc>
        <w:tc>
          <w:tcPr>
            <w:tcW w:w="2105" w:type="dxa"/>
            <w:tcBorders>
              <w:top w:val="single" w:color="auto" w:sz="4" w:space="0"/>
              <w:left w:val="single" w:color="auto" w:sz="4" w:space="0"/>
              <w:bottom w:val="nil"/>
              <w:right w:val="nil"/>
            </w:tcBorders>
            <w:tcMar>
              <w:top w:w="-1" w:type="dxa"/>
              <w:left w:w="-1" w:type="dxa"/>
              <w:bottom w:w="-1" w:type="dxa"/>
              <w:right w:w="-1" w:type="dxa"/>
            </w:tcMar>
            <w:vAlign w:val="center"/>
          </w:tcPr>
          <w:p w14:paraId="2D609443">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22.15</w:t>
            </w:r>
          </w:p>
        </w:tc>
        <w:tc>
          <w:tcPr>
            <w:tcW w:w="853" w:type="dxa"/>
            <w:tcBorders>
              <w:top w:val="single" w:color="auto" w:sz="4" w:space="0"/>
              <w:left w:val="single" w:color="auto" w:sz="4" w:space="0"/>
              <w:bottom w:val="nil"/>
              <w:right w:val="nil"/>
            </w:tcBorders>
            <w:tcMar>
              <w:top w:w="-1" w:type="dxa"/>
              <w:left w:w="-1" w:type="dxa"/>
              <w:bottom w:w="-1" w:type="dxa"/>
              <w:right w:w="-1" w:type="dxa"/>
            </w:tcMar>
            <w:vAlign w:val="center"/>
          </w:tcPr>
          <w:p w14:paraId="4DD4CF44">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0.81</w:t>
            </w:r>
          </w:p>
        </w:tc>
        <w:tc>
          <w:tcPr>
            <w:tcW w:w="964"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E346AF1">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r>
      <w:tr w14:paraId="0A9F4B88">
        <w:tblPrEx>
          <w:tblCellMar>
            <w:top w:w="0" w:type="dxa"/>
            <w:left w:w="108" w:type="dxa"/>
            <w:bottom w:w="0" w:type="dxa"/>
            <w:right w:w="108" w:type="dxa"/>
          </w:tblCellMar>
        </w:tblPrEx>
        <w:trPr>
          <w:cantSplit/>
          <w:trHeight w:val="283" w:hRule="atLeast"/>
          <w:jc w:val="center"/>
        </w:trPr>
        <w:tc>
          <w:tcPr>
            <w:tcW w:w="1072" w:type="dxa"/>
            <w:vMerge w:val="continue"/>
            <w:tcBorders>
              <w:left w:val="single" w:color="auto" w:sz="4" w:space="0"/>
              <w:bottom w:val="single" w:color="auto" w:sz="4" w:space="0"/>
              <w:right w:val="nil"/>
            </w:tcBorders>
            <w:tcMar>
              <w:top w:w="-1" w:type="dxa"/>
              <w:left w:w="-1" w:type="dxa"/>
              <w:bottom w:w="-1" w:type="dxa"/>
              <w:right w:w="-1" w:type="dxa"/>
            </w:tcMar>
            <w:vAlign w:val="center"/>
          </w:tcPr>
          <w:p w14:paraId="4277ED05">
            <w:pPr>
              <w:widowControl/>
              <w:snapToGrid w:val="0"/>
              <w:jc w:val="center"/>
              <w:textAlignment w:val="center"/>
              <w:rPr>
                <w:rFonts w:hint="default" w:ascii="Times New Roman" w:hAnsi="Times New Roman" w:eastAsia="Times New Roman Regular" w:cs="Times New Roman"/>
                <w:szCs w:val="21"/>
              </w:rPr>
            </w:pPr>
          </w:p>
        </w:tc>
        <w:tc>
          <w:tcPr>
            <w:tcW w:w="181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0ABBF66">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Top 1000</w:t>
            </w:r>
          </w:p>
        </w:tc>
        <w:tc>
          <w:tcPr>
            <w:tcW w:w="127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BB5520A">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2,532,205</w:t>
            </w:r>
          </w:p>
        </w:tc>
        <w:tc>
          <w:tcPr>
            <w:tcW w:w="210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D3B0B06">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20.77</w:t>
            </w:r>
          </w:p>
        </w:tc>
        <w:tc>
          <w:tcPr>
            <w:tcW w:w="85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CA96D07">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1.21</w:t>
            </w:r>
          </w:p>
        </w:tc>
        <w:tc>
          <w:tcPr>
            <w:tcW w:w="964"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CE9B96A">
            <w:pPr>
              <w:widowControl/>
              <w:snapToGrid w:val="0"/>
              <w:spacing w:before="0" w:after="0" w:line="240" w:lineRule="auto"/>
              <w:jc w:val="center"/>
              <w:textAlignment w:val="center"/>
              <w:rPr>
                <w:rFonts w:hint="default" w:ascii="Times New Roman" w:hAnsi="Times New Roman" w:eastAsia="Times New Roman Regular" w:cs="Times New Roman"/>
                <w:szCs w:val="21"/>
              </w:rPr>
            </w:pPr>
            <w:r>
              <w:rPr>
                <w:rFonts w:hint="default" w:ascii="Times New Roman" w:hAnsi="Times New Roman" w:eastAsia="宋体" w:cs="Times New Roman"/>
                <w:kern w:val="0"/>
                <w:szCs w:val="21"/>
                <w:lang w:bidi="ar"/>
              </w:rPr>
              <w:t>&lt;0.001</w:t>
            </w:r>
          </w:p>
        </w:tc>
      </w:tr>
    </w:tbl>
    <w:p w14:paraId="4ADF3261">
      <w:pPr>
        <w:widowControl/>
        <w:rPr>
          <w:rFonts w:hint="default" w:ascii="Times New Roman" w:hAnsi="Times New Roman" w:cs="Times New Roman"/>
        </w:rPr>
      </w:pPr>
    </w:p>
    <w:p w14:paraId="435A4AE7">
      <w:pPr>
        <w:widowControl/>
        <w:rPr>
          <w:rFonts w:hint="default" w:ascii="Times New Roman" w:hAnsi="Times New Roman" w:cs="Times New Roman"/>
        </w:rPr>
      </w:pPr>
    </w:p>
    <w:p w14:paraId="51A69447">
      <w:pPr>
        <w:widowControl/>
        <w:rPr>
          <w:rFonts w:hint="default" w:ascii="Times New Roman" w:hAnsi="Times New Roman" w:cs="Times New Roman"/>
        </w:rPr>
      </w:pPr>
    </w:p>
    <w:p w14:paraId="296D2B80">
      <w:pPr>
        <w:rPr>
          <w:rFonts w:hint="default" w:ascii="Times New Roman" w:hAnsi="Times New Roman" w:eastAsia="宋体" w:cs="Times New Roman"/>
          <w:b/>
          <w:bCs/>
          <w:kern w:val="0"/>
          <w:sz w:val="24"/>
          <w:lang w:bidi="ar"/>
        </w:rPr>
      </w:pPr>
      <w:r>
        <w:rPr>
          <w:rFonts w:hint="default" w:ascii="Times New Roman" w:hAnsi="Times New Roman" w:eastAsia="宋体" w:cs="Times New Roman"/>
          <w:b/>
          <w:bCs/>
          <w:kern w:val="0"/>
          <w:sz w:val="24"/>
          <w:lang w:bidi="ar"/>
        </w:rPr>
        <w:br w:type="page"/>
      </w:r>
    </w:p>
    <w:p w14:paraId="39F14071">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21. Exact-matching estimates of elite corporate position attainment in the LinkedIn corporate sample</w:t>
      </w:r>
    </w:p>
    <w:p w14:paraId="525D878B">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A. Full-sample estimate</w:t>
      </w:r>
    </w:p>
    <w:tbl>
      <w:tblPr>
        <w:tblStyle w:val="5"/>
        <w:tblW w:w="0" w:type="auto"/>
        <w:jc w:val="center"/>
        <w:tblLayout w:type="fixed"/>
        <w:tblCellMar>
          <w:top w:w="0" w:type="dxa"/>
          <w:left w:w="108" w:type="dxa"/>
          <w:bottom w:w="0" w:type="dxa"/>
          <w:right w:w="108" w:type="dxa"/>
        </w:tblCellMar>
      </w:tblPr>
      <w:tblGrid>
        <w:gridCol w:w="861"/>
        <w:gridCol w:w="837"/>
        <w:gridCol w:w="837"/>
        <w:gridCol w:w="1087"/>
        <w:gridCol w:w="986"/>
        <w:gridCol w:w="986"/>
        <w:gridCol w:w="632"/>
        <w:gridCol w:w="576"/>
        <w:gridCol w:w="861"/>
        <w:gridCol w:w="1133"/>
      </w:tblGrid>
      <w:tr w14:paraId="60F081BD">
        <w:tblPrEx>
          <w:tblCellMar>
            <w:top w:w="0" w:type="dxa"/>
            <w:left w:w="108" w:type="dxa"/>
            <w:bottom w:w="0" w:type="dxa"/>
            <w:right w:w="108" w:type="dxa"/>
          </w:tblCellMar>
        </w:tblPrEx>
        <w:trPr>
          <w:cantSplit/>
          <w:trHeight w:val="283" w:hRule="atLeast"/>
          <w:tblHeader/>
          <w:jc w:val="center"/>
        </w:trPr>
        <w:tc>
          <w:tcPr>
            <w:tcW w:w="861" w:type="dxa"/>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43932836">
            <w:pPr>
              <w:snapToGrid w:val="0"/>
              <w:spacing w:before="0" w:after="0" w:line="240" w:lineRule="auto"/>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lang w:bidi="ar"/>
              </w:rPr>
              <w:t>Sample</w:t>
            </w:r>
          </w:p>
        </w:tc>
        <w:tc>
          <w:tcPr>
            <w:tcW w:w="837" w:type="dxa"/>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0DCF0CCE">
            <w:pPr>
              <w:snapToGrid w:val="0"/>
              <w:spacing w:before="0" w:after="0" w:line="240" w:lineRule="auto"/>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lang w:bidi="ar"/>
              </w:rPr>
              <w:t>Raw treated (%)</w:t>
            </w:r>
          </w:p>
        </w:tc>
        <w:tc>
          <w:tcPr>
            <w:tcW w:w="837" w:type="dxa"/>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4786D3D8">
            <w:pPr>
              <w:snapToGrid w:val="0"/>
              <w:spacing w:before="0" w:after="0" w:line="240" w:lineRule="auto"/>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lang w:bidi="ar"/>
              </w:rPr>
              <w:t>Raw control (%)</w:t>
            </w:r>
          </w:p>
        </w:tc>
        <w:tc>
          <w:tcPr>
            <w:tcW w:w="1087" w:type="dxa"/>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42A7C3C5">
            <w:pPr>
              <w:snapToGrid w:val="0"/>
              <w:spacing w:before="0" w:after="0" w:line="240" w:lineRule="auto"/>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lang w:bidi="ar"/>
              </w:rPr>
              <w:t>Raw difference (pp)</w:t>
            </w:r>
          </w:p>
        </w:tc>
        <w:tc>
          <w:tcPr>
            <w:tcW w:w="986" w:type="dxa"/>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43637992">
            <w:pPr>
              <w:snapToGrid w:val="0"/>
              <w:spacing w:before="0" w:after="0" w:line="240" w:lineRule="auto"/>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lang w:bidi="ar"/>
              </w:rPr>
              <w:t>Matched treated (%)</w:t>
            </w:r>
          </w:p>
        </w:tc>
        <w:tc>
          <w:tcPr>
            <w:tcW w:w="986" w:type="dxa"/>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5D60E0AA">
            <w:pPr>
              <w:snapToGrid w:val="0"/>
              <w:spacing w:before="0" w:after="0" w:line="240" w:lineRule="auto"/>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lang w:bidi="ar"/>
              </w:rPr>
              <w:t>Matched control (%)</w:t>
            </w:r>
          </w:p>
        </w:tc>
        <w:tc>
          <w:tcPr>
            <w:tcW w:w="632" w:type="dxa"/>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017CF16E">
            <w:pPr>
              <w:snapToGrid w:val="0"/>
              <w:spacing w:before="0" w:after="0" w:line="240" w:lineRule="auto"/>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lang w:bidi="ar"/>
              </w:rPr>
              <w:t>ATT (pp)</w:t>
            </w:r>
          </w:p>
        </w:tc>
        <w:tc>
          <w:tcPr>
            <w:tcW w:w="576" w:type="dxa"/>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139B71B8">
            <w:pPr>
              <w:snapToGrid w:val="0"/>
              <w:spacing w:before="0" w:after="0" w:line="240" w:lineRule="auto"/>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lang w:bidi="ar"/>
              </w:rPr>
              <w:t>SE (pp)</w:t>
            </w:r>
          </w:p>
        </w:tc>
        <w:tc>
          <w:tcPr>
            <w:tcW w:w="861" w:type="dxa"/>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11ACD0E1">
            <w:pPr>
              <w:snapToGrid w:val="0"/>
              <w:spacing w:before="0" w:after="0" w:line="240" w:lineRule="auto"/>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lang w:bidi="ar"/>
              </w:rPr>
              <w:t>p-value</w:t>
            </w:r>
          </w:p>
        </w:tc>
        <w:tc>
          <w:tcPr>
            <w:tcW w:w="1133" w:type="dxa"/>
            <w:tcBorders>
              <w:top w:val="single" w:color="000000" w:sz="4" w:space="0"/>
              <w:left w:val="single" w:color="000000" w:sz="4" w:space="0"/>
              <w:bottom w:val="nil"/>
              <w:right w:val="single" w:color="000000" w:sz="4" w:space="0"/>
            </w:tcBorders>
            <w:shd w:val="clear" w:color="auto" w:fill="FFFFFF"/>
            <w:tcMar>
              <w:top w:w="-1" w:type="dxa"/>
              <w:left w:w="-1" w:type="dxa"/>
              <w:bottom w:w="-1" w:type="dxa"/>
              <w:right w:w="-1" w:type="dxa"/>
            </w:tcMar>
            <w:vAlign w:val="center"/>
          </w:tcPr>
          <w:p w14:paraId="3DDB7F75">
            <w:pPr>
              <w:snapToGrid w:val="0"/>
              <w:spacing w:before="0" w:after="0" w:line="240" w:lineRule="auto"/>
              <w:jc w:val="center"/>
              <w:textAlignment w:val="center"/>
              <w:rPr>
                <w:rFonts w:hint="default" w:ascii="Times New Roman" w:hAnsi="Times New Roman" w:eastAsia="宋体" w:cs="Times New Roman"/>
                <w:b/>
                <w:bCs/>
                <w:sz w:val="20"/>
                <w:szCs w:val="20"/>
              </w:rPr>
            </w:pPr>
            <w:r>
              <w:rPr>
                <w:rFonts w:hint="default" w:ascii="Times New Roman" w:hAnsi="Times New Roman" w:eastAsia="宋体" w:cs="Times New Roman"/>
                <w:b/>
                <w:bCs/>
                <w:sz w:val="20"/>
                <w:szCs w:val="20"/>
                <w:lang w:bidi="ar"/>
              </w:rPr>
              <w:t>Total N</w:t>
            </w:r>
          </w:p>
        </w:tc>
      </w:tr>
      <w:tr w14:paraId="1C05935E">
        <w:tblPrEx>
          <w:tblCellMar>
            <w:top w:w="0" w:type="dxa"/>
            <w:left w:w="108" w:type="dxa"/>
            <w:bottom w:w="0" w:type="dxa"/>
            <w:right w:w="108" w:type="dxa"/>
          </w:tblCellMar>
        </w:tblPrEx>
        <w:trPr>
          <w:cantSplit/>
          <w:trHeight w:val="283" w:hRule="atLeast"/>
          <w:jc w:val="center"/>
        </w:trPr>
        <w:tc>
          <w:tcPr>
            <w:tcW w:w="861" w:type="dxa"/>
            <w:tcBorders>
              <w:top w:val="single" w:color="000000" w:sz="4" w:space="0"/>
              <w:left w:val="single" w:color="000000" w:sz="4" w:space="0"/>
              <w:bottom w:val="single" w:color="000000" w:sz="4" w:space="0"/>
              <w:right w:val="nil"/>
            </w:tcBorders>
            <w:shd w:val="clear" w:color="auto" w:fill="FFFFFF"/>
            <w:tcMar>
              <w:top w:w="-1" w:type="dxa"/>
              <w:left w:w="-1" w:type="dxa"/>
              <w:bottom w:w="-1" w:type="dxa"/>
              <w:right w:w="-1" w:type="dxa"/>
            </w:tcMar>
            <w:vAlign w:val="center"/>
          </w:tcPr>
          <w:p w14:paraId="7B5A597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All sample</w:t>
            </w:r>
          </w:p>
        </w:tc>
        <w:tc>
          <w:tcPr>
            <w:tcW w:w="837" w:type="dxa"/>
            <w:tcBorders>
              <w:top w:val="single" w:color="000000" w:sz="4" w:space="0"/>
              <w:left w:val="single" w:color="000000" w:sz="4" w:space="0"/>
              <w:bottom w:val="single" w:color="000000" w:sz="4" w:space="0"/>
              <w:right w:val="nil"/>
            </w:tcBorders>
            <w:shd w:val="clear" w:color="auto" w:fill="FFFFFF"/>
            <w:tcMar>
              <w:top w:w="-1" w:type="dxa"/>
              <w:left w:w="-1" w:type="dxa"/>
              <w:bottom w:w="-1" w:type="dxa"/>
              <w:right w:w="-1" w:type="dxa"/>
            </w:tcMar>
            <w:vAlign w:val="center"/>
          </w:tcPr>
          <w:p w14:paraId="3B82656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5.77</w:t>
            </w:r>
          </w:p>
        </w:tc>
        <w:tc>
          <w:tcPr>
            <w:tcW w:w="837" w:type="dxa"/>
            <w:tcBorders>
              <w:top w:val="single" w:color="000000" w:sz="4" w:space="0"/>
              <w:left w:val="single" w:color="000000" w:sz="4" w:space="0"/>
              <w:bottom w:val="single" w:color="000000" w:sz="4" w:space="0"/>
              <w:right w:val="nil"/>
            </w:tcBorders>
            <w:shd w:val="clear" w:color="auto" w:fill="FFFFFF"/>
            <w:tcMar>
              <w:top w:w="-1" w:type="dxa"/>
              <w:left w:w="-1" w:type="dxa"/>
              <w:bottom w:w="-1" w:type="dxa"/>
              <w:right w:w="-1" w:type="dxa"/>
            </w:tcMar>
            <w:vAlign w:val="center"/>
          </w:tcPr>
          <w:p w14:paraId="33525A3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4.52</w:t>
            </w:r>
          </w:p>
        </w:tc>
        <w:tc>
          <w:tcPr>
            <w:tcW w:w="1087" w:type="dxa"/>
            <w:tcBorders>
              <w:top w:val="single" w:color="000000" w:sz="4" w:space="0"/>
              <w:left w:val="single" w:color="000000" w:sz="4" w:space="0"/>
              <w:bottom w:val="single" w:color="000000" w:sz="4" w:space="0"/>
              <w:right w:val="nil"/>
            </w:tcBorders>
            <w:shd w:val="clear" w:color="auto" w:fill="FFFFFF"/>
            <w:tcMar>
              <w:top w:w="-1" w:type="dxa"/>
              <w:left w:w="-1" w:type="dxa"/>
              <w:bottom w:w="-1" w:type="dxa"/>
              <w:right w:w="-1" w:type="dxa"/>
            </w:tcMar>
            <w:vAlign w:val="center"/>
          </w:tcPr>
          <w:p w14:paraId="38FB416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1.25</w:t>
            </w:r>
          </w:p>
        </w:tc>
        <w:tc>
          <w:tcPr>
            <w:tcW w:w="986" w:type="dxa"/>
            <w:tcBorders>
              <w:top w:val="single" w:color="000000" w:sz="4" w:space="0"/>
              <w:left w:val="single" w:color="000000" w:sz="4" w:space="0"/>
              <w:bottom w:val="single" w:color="000000" w:sz="4" w:space="0"/>
              <w:right w:val="nil"/>
            </w:tcBorders>
            <w:shd w:val="clear" w:color="auto" w:fill="FFFFFF"/>
            <w:tcMar>
              <w:top w:w="-1" w:type="dxa"/>
              <w:left w:w="-1" w:type="dxa"/>
              <w:bottom w:w="-1" w:type="dxa"/>
              <w:right w:w="-1" w:type="dxa"/>
            </w:tcMar>
            <w:vAlign w:val="center"/>
          </w:tcPr>
          <w:p w14:paraId="3C24F77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5.77</w:t>
            </w:r>
          </w:p>
        </w:tc>
        <w:tc>
          <w:tcPr>
            <w:tcW w:w="986" w:type="dxa"/>
            <w:tcBorders>
              <w:top w:val="single" w:color="000000" w:sz="4" w:space="0"/>
              <w:left w:val="single" w:color="000000" w:sz="4" w:space="0"/>
              <w:bottom w:val="single" w:color="000000" w:sz="4" w:space="0"/>
              <w:right w:val="nil"/>
            </w:tcBorders>
            <w:shd w:val="clear" w:color="auto" w:fill="FFFFFF"/>
            <w:tcMar>
              <w:top w:w="-1" w:type="dxa"/>
              <w:left w:w="-1" w:type="dxa"/>
              <w:bottom w:w="-1" w:type="dxa"/>
              <w:right w:w="-1" w:type="dxa"/>
            </w:tcMar>
            <w:vAlign w:val="center"/>
          </w:tcPr>
          <w:p w14:paraId="3332D3E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4.97</w:t>
            </w:r>
          </w:p>
        </w:tc>
        <w:tc>
          <w:tcPr>
            <w:tcW w:w="632" w:type="dxa"/>
            <w:tcBorders>
              <w:top w:val="single" w:color="000000" w:sz="4" w:space="0"/>
              <w:left w:val="single" w:color="000000" w:sz="4" w:space="0"/>
              <w:bottom w:val="single" w:color="000000" w:sz="4" w:space="0"/>
              <w:right w:val="nil"/>
            </w:tcBorders>
            <w:shd w:val="clear" w:color="auto" w:fill="FFFFFF"/>
            <w:tcMar>
              <w:top w:w="-1" w:type="dxa"/>
              <w:left w:w="-1" w:type="dxa"/>
              <w:bottom w:w="-1" w:type="dxa"/>
              <w:right w:w="-1" w:type="dxa"/>
            </w:tcMar>
            <w:vAlign w:val="center"/>
          </w:tcPr>
          <w:p w14:paraId="62E467B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0.80</w:t>
            </w:r>
          </w:p>
        </w:tc>
        <w:tc>
          <w:tcPr>
            <w:tcW w:w="576" w:type="dxa"/>
            <w:tcBorders>
              <w:top w:val="single" w:color="000000" w:sz="4" w:space="0"/>
              <w:left w:val="single" w:color="000000" w:sz="4" w:space="0"/>
              <w:bottom w:val="single" w:color="000000" w:sz="4" w:space="0"/>
              <w:right w:val="nil"/>
            </w:tcBorders>
            <w:shd w:val="clear" w:color="auto" w:fill="FFFFFF"/>
            <w:tcMar>
              <w:top w:w="-1" w:type="dxa"/>
              <w:left w:w="-1" w:type="dxa"/>
              <w:bottom w:w="-1" w:type="dxa"/>
              <w:right w:w="-1" w:type="dxa"/>
            </w:tcMar>
            <w:vAlign w:val="center"/>
          </w:tcPr>
          <w:p w14:paraId="4672A7B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0.01</w:t>
            </w:r>
          </w:p>
        </w:tc>
        <w:tc>
          <w:tcPr>
            <w:tcW w:w="861" w:type="dxa"/>
            <w:tcBorders>
              <w:top w:val="single" w:color="000000" w:sz="4" w:space="0"/>
              <w:left w:val="single" w:color="000000" w:sz="4" w:space="0"/>
              <w:bottom w:val="single" w:color="000000" w:sz="4" w:space="0"/>
              <w:right w:val="nil"/>
            </w:tcBorders>
            <w:shd w:val="clear" w:color="auto" w:fill="FFFFFF"/>
            <w:tcMar>
              <w:top w:w="-1" w:type="dxa"/>
              <w:left w:w="-1" w:type="dxa"/>
              <w:bottom w:w="-1" w:type="dxa"/>
              <w:right w:w="-1" w:type="dxa"/>
            </w:tcMar>
            <w:vAlign w:val="center"/>
          </w:tcPr>
          <w:p w14:paraId="3CD9F8B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133" w:type="dxa"/>
            <w:tcBorders>
              <w:top w:val="single" w:color="000000" w:sz="4" w:space="0"/>
              <w:left w:val="single" w:color="000000" w:sz="4" w:space="0"/>
              <w:bottom w:val="single" w:color="000000" w:sz="4" w:space="0"/>
              <w:right w:val="single" w:color="000000" w:sz="4" w:space="0"/>
            </w:tcBorders>
            <w:shd w:val="clear" w:color="auto" w:fill="FFFFFF"/>
            <w:tcMar>
              <w:top w:w="-1" w:type="dxa"/>
              <w:left w:w="-1" w:type="dxa"/>
              <w:bottom w:w="-1" w:type="dxa"/>
              <w:right w:w="-1" w:type="dxa"/>
            </w:tcMar>
            <w:vAlign w:val="center"/>
          </w:tcPr>
          <w:p w14:paraId="01C8915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12,660,372</w:t>
            </w:r>
          </w:p>
        </w:tc>
      </w:tr>
    </w:tbl>
    <w:p w14:paraId="56669A52">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B. Estimates by gender</w:t>
      </w:r>
    </w:p>
    <w:tbl>
      <w:tblPr>
        <w:tblStyle w:val="5"/>
        <w:tblW w:w="9094" w:type="dxa"/>
        <w:jc w:val="center"/>
        <w:tblLayout w:type="fixed"/>
        <w:tblCellMar>
          <w:top w:w="0" w:type="dxa"/>
          <w:left w:w="108" w:type="dxa"/>
          <w:bottom w:w="0" w:type="dxa"/>
          <w:right w:w="108" w:type="dxa"/>
        </w:tblCellMar>
      </w:tblPr>
      <w:tblGrid>
        <w:gridCol w:w="894"/>
        <w:gridCol w:w="840"/>
        <w:gridCol w:w="840"/>
        <w:gridCol w:w="1090"/>
        <w:gridCol w:w="988"/>
        <w:gridCol w:w="988"/>
        <w:gridCol w:w="740"/>
        <w:gridCol w:w="650"/>
        <w:gridCol w:w="972"/>
        <w:gridCol w:w="1092"/>
      </w:tblGrid>
      <w:tr w14:paraId="7B40B1C9">
        <w:tblPrEx>
          <w:tblCellMar>
            <w:top w:w="0" w:type="dxa"/>
            <w:left w:w="108" w:type="dxa"/>
            <w:bottom w:w="0" w:type="dxa"/>
            <w:right w:w="108" w:type="dxa"/>
          </w:tblCellMar>
        </w:tblPrEx>
        <w:trPr>
          <w:cantSplit/>
          <w:trHeight w:val="828" w:hRule="atLeast"/>
          <w:tblHeader/>
          <w:jc w:val="center"/>
        </w:trPr>
        <w:tc>
          <w:tcPr>
            <w:tcW w:w="894" w:type="dxa"/>
            <w:tcBorders>
              <w:top w:val="single" w:color="auto" w:sz="4" w:space="0"/>
              <w:left w:val="single" w:color="auto" w:sz="4" w:space="0"/>
              <w:bottom w:val="nil"/>
              <w:right w:val="nil"/>
            </w:tcBorders>
            <w:tcMar>
              <w:top w:w="-1" w:type="dxa"/>
              <w:left w:w="-1" w:type="dxa"/>
              <w:bottom w:w="-1" w:type="dxa"/>
              <w:right w:w="-1" w:type="dxa"/>
            </w:tcMar>
            <w:vAlign w:val="center"/>
          </w:tcPr>
          <w:p w14:paraId="4F13967D">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Group</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3691A76F">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treated </w:t>
            </w:r>
          </w:p>
          <w:p w14:paraId="75E05F5A">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6533E1AD">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control </w:t>
            </w:r>
          </w:p>
          <w:p w14:paraId="1D956E28">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1090" w:type="dxa"/>
            <w:tcBorders>
              <w:top w:val="single" w:color="auto" w:sz="4" w:space="0"/>
              <w:left w:val="single" w:color="auto" w:sz="4" w:space="0"/>
              <w:bottom w:val="nil"/>
              <w:right w:val="nil"/>
            </w:tcBorders>
            <w:tcMar>
              <w:top w:w="-1" w:type="dxa"/>
              <w:left w:w="-1" w:type="dxa"/>
              <w:bottom w:w="-1" w:type="dxa"/>
              <w:right w:w="-1" w:type="dxa"/>
            </w:tcMar>
            <w:vAlign w:val="center"/>
          </w:tcPr>
          <w:p w14:paraId="32875499">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difference </w:t>
            </w:r>
          </w:p>
          <w:p w14:paraId="17285053">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3087658A">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Matched treated </w:t>
            </w:r>
          </w:p>
          <w:p w14:paraId="6DBF2463">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6CC64AE2">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Matched control </w:t>
            </w:r>
          </w:p>
          <w:p w14:paraId="6BB7FF3E">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740" w:type="dxa"/>
            <w:tcBorders>
              <w:top w:val="single" w:color="auto" w:sz="4" w:space="0"/>
              <w:left w:val="single" w:color="auto" w:sz="4" w:space="0"/>
              <w:bottom w:val="nil"/>
              <w:right w:val="nil"/>
            </w:tcBorders>
            <w:tcMar>
              <w:top w:w="-1" w:type="dxa"/>
              <w:left w:w="-1" w:type="dxa"/>
              <w:bottom w:w="-1" w:type="dxa"/>
              <w:right w:w="-1" w:type="dxa"/>
            </w:tcMar>
            <w:vAlign w:val="center"/>
          </w:tcPr>
          <w:p w14:paraId="6E42B4D9">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ATT </w:t>
            </w:r>
          </w:p>
          <w:p w14:paraId="266BC362">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650" w:type="dxa"/>
            <w:tcBorders>
              <w:top w:val="single" w:color="auto" w:sz="4" w:space="0"/>
              <w:left w:val="single" w:color="auto" w:sz="4" w:space="0"/>
              <w:bottom w:val="nil"/>
              <w:right w:val="nil"/>
            </w:tcBorders>
            <w:tcMar>
              <w:top w:w="-1" w:type="dxa"/>
              <w:left w:w="-1" w:type="dxa"/>
              <w:bottom w:w="-1" w:type="dxa"/>
              <w:right w:w="-1" w:type="dxa"/>
            </w:tcMar>
            <w:vAlign w:val="center"/>
          </w:tcPr>
          <w:p w14:paraId="3F8079D6">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SE </w:t>
            </w:r>
          </w:p>
          <w:p w14:paraId="7389C170">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972" w:type="dxa"/>
            <w:tcBorders>
              <w:top w:val="single" w:color="auto" w:sz="4" w:space="0"/>
              <w:left w:val="single" w:color="auto" w:sz="4" w:space="0"/>
              <w:bottom w:val="nil"/>
              <w:right w:val="nil"/>
            </w:tcBorders>
            <w:tcMar>
              <w:top w:w="-1" w:type="dxa"/>
              <w:left w:w="-1" w:type="dxa"/>
              <w:bottom w:w="-1" w:type="dxa"/>
              <w:right w:w="-1" w:type="dxa"/>
            </w:tcMar>
            <w:vAlign w:val="center"/>
          </w:tcPr>
          <w:p w14:paraId="4A1BF6E1">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p-value</w:t>
            </w:r>
          </w:p>
        </w:tc>
        <w:tc>
          <w:tcPr>
            <w:tcW w:w="109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22C9A15">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Total N</w:t>
            </w:r>
          </w:p>
        </w:tc>
      </w:tr>
      <w:tr w14:paraId="2F785AD7">
        <w:tblPrEx>
          <w:tblCellMar>
            <w:top w:w="0" w:type="dxa"/>
            <w:left w:w="108" w:type="dxa"/>
            <w:bottom w:w="0" w:type="dxa"/>
            <w:right w:w="108" w:type="dxa"/>
          </w:tblCellMar>
        </w:tblPrEx>
        <w:trPr>
          <w:cantSplit/>
          <w:trHeight w:val="262" w:hRule="atLeast"/>
          <w:jc w:val="center"/>
        </w:trPr>
        <w:tc>
          <w:tcPr>
            <w:tcW w:w="894" w:type="dxa"/>
            <w:tcBorders>
              <w:top w:val="single" w:color="auto" w:sz="4" w:space="0"/>
              <w:left w:val="single" w:color="auto" w:sz="4" w:space="0"/>
              <w:bottom w:val="nil"/>
              <w:right w:val="nil"/>
            </w:tcBorders>
            <w:tcMar>
              <w:top w:w="-1" w:type="dxa"/>
              <w:left w:w="-1" w:type="dxa"/>
              <w:bottom w:w="-1" w:type="dxa"/>
              <w:right w:w="-1" w:type="dxa"/>
            </w:tcMar>
            <w:vAlign w:val="center"/>
          </w:tcPr>
          <w:p w14:paraId="044F859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Male</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2986342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7.36</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79763CA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5.52</w:t>
            </w:r>
          </w:p>
        </w:tc>
        <w:tc>
          <w:tcPr>
            <w:tcW w:w="1090" w:type="dxa"/>
            <w:tcBorders>
              <w:top w:val="single" w:color="auto" w:sz="4" w:space="0"/>
              <w:left w:val="single" w:color="auto" w:sz="4" w:space="0"/>
              <w:bottom w:val="nil"/>
              <w:right w:val="nil"/>
            </w:tcBorders>
            <w:tcMar>
              <w:top w:w="-1" w:type="dxa"/>
              <w:left w:w="-1" w:type="dxa"/>
              <w:bottom w:w="-1" w:type="dxa"/>
              <w:right w:w="-1" w:type="dxa"/>
            </w:tcMar>
            <w:vAlign w:val="center"/>
          </w:tcPr>
          <w:p w14:paraId="6056694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1.84</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2FDDF3F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7.36</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2C67C69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6.47</w:t>
            </w:r>
          </w:p>
        </w:tc>
        <w:tc>
          <w:tcPr>
            <w:tcW w:w="740" w:type="dxa"/>
            <w:tcBorders>
              <w:top w:val="single" w:color="auto" w:sz="4" w:space="0"/>
              <w:left w:val="single" w:color="auto" w:sz="4" w:space="0"/>
              <w:bottom w:val="nil"/>
              <w:right w:val="nil"/>
            </w:tcBorders>
            <w:tcMar>
              <w:top w:w="-1" w:type="dxa"/>
              <w:left w:w="-1" w:type="dxa"/>
              <w:bottom w:w="-1" w:type="dxa"/>
              <w:right w:w="-1" w:type="dxa"/>
            </w:tcMar>
            <w:vAlign w:val="center"/>
          </w:tcPr>
          <w:p w14:paraId="199894C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0.89</w:t>
            </w:r>
          </w:p>
        </w:tc>
        <w:tc>
          <w:tcPr>
            <w:tcW w:w="650" w:type="dxa"/>
            <w:tcBorders>
              <w:top w:val="single" w:color="auto" w:sz="4" w:space="0"/>
              <w:left w:val="single" w:color="auto" w:sz="4" w:space="0"/>
              <w:bottom w:val="nil"/>
              <w:right w:val="nil"/>
            </w:tcBorders>
            <w:tcMar>
              <w:top w:w="-1" w:type="dxa"/>
              <w:left w:w="-1" w:type="dxa"/>
              <w:bottom w:w="-1" w:type="dxa"/>
              <w:right w:w="-1" w:type="dxa"/>
            </w:tcMar>
            <w:vAlign w:val="center"/>
          </w:tcPr>
          <w:p w14:paraId="6BEE8DF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0.03</w:t>
            </w:r>
          </w:p>
        </w:tc>
        <w:tc>
          <w:tcPr>
            <w:tcW w:w="972" w:type="dxa"/>
            <w:tcBorders>
              <w:top w:val="single" w:color="auto" w:sz="4" w:space="0"/>
              <w:left w:val="single" w:color="auto" w:sz="4" w:space="0"/>
              <w:bottom w:val="nil"/>
              <w:right w:val="nil"/>
            </w:tcBorders>
            <w:tcMar>
              <w:top w:w="-1" w:type="dxa"/>
              <w:left w:w="-1" w:type="dxa"/>
              <w:bottom w:w="-1" w:type="dxa"/>
              <w:right w:w="-1" w:type="dxa"/>
            </w:tcMar>
            <w:vAlign w:val="center"/>
          </w:tcPr>
          <w:p w14:paraId="1AF34C9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92"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0F5519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6,156,251</w:t>
            </w:r>
          </w:p>
        </w:tc>
      </w:tr>
      <w:tr w14:paraId="55B42F3F">
        <w:tblPrEx>
          <w:tblCellMar>
            <w:top w:w="0" w:type="dxa"/>
            <w:left w:w="108" w:type="dxa"/>
            <w:bottom w:w="0" w:type="dxa"/>
            <w:right w:w="108" w:type="dxa"/>
          </w:tblCellMar>
        </w:tblPrEx>
        <w:trPr>
          <w:cantSplit/>
          <w:trHeight w:val="271" w:hRule="atLeast"/>
          <w:jc w:val="center"/>
        </w:trPr>
        <w:tc>
          <w:tcPr>
            <w:tcW w:w="89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44AEEA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Female</w:t>
            </w:r>
          </w:p>
        </w:tc>
        <w:tc>
          <w:tcPr>
            <w:tcW w:w="84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FAF804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4.45</w:t>
            </w:r>
          </w:p>
        </w:tc>
        <w:tc>
          <w:tcPr>
            <w:tcW w:w="84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A17FE6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3.54</w:t>
            </w:r>
          </w:p>
        </w:tc>
        <w:tc>
          <w:tcPr>
            <w:tcW w:w="109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66FBBE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0.91</w:t>
            </w:r>
          </w:p>
        </w:tc>
        <w:tc>
          <w:tcPr>
            <w:tcW w:w="98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178538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4.45</w:t>
            </w:r>
          </w:p>
        </w:tc>
        <w:tc>
          <w:tcPr>
            <w:tcW w:w="98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B54ACA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3.72</w:t>
            </w:r>
          </w:p>
        </w:tc>
        <w:tc>
          <w:tcPr>
            <w:tcW w:w="74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8020AC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0.73</w:t>
            </w:r>
          </w:p>
        </w:tc>
        <w:tc>
          <w:tcPr>
            <w:tcW w:w="65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A7D75F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0.02</w:t>
            </w:r>
          </w:p>
        </w:tc>
        <w:tc>
          <w:tcPr>
            <w:tcW w:w="97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52FB72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92"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3E168E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6,504,121</w:t>
            </w:r>
          </w:p>
        </w:tc>
      </w:tr>
    </w:tbl>
    <w:p w14:paraId="5DDCAD56">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C. Estimates by industry</w:t>
      </w:r>
    </w:p>
    <w:tbl>
      <w:tblPr>
        <w:tblStyle w:val="5"/>
        <w:tblW w:w="9699" w:type="dxa"/>
        <w:jc w:val="center"/>
        <w:tblLayout w:type="fixed"/>
        <w:tblCellMar>
          <w:top w:w="0" w:type="dxa"/>
          <w:left w:w="108" w:type="dxa"/>
          <w:bottom w:w="0" w:type="dxa"/>
          <w:right w:w="108" w:type="dxa"/>
        </w:tblCellMar>
      </w:tblPr>
      <w:tblGrid>
        <w:gridCol w:w="1654"/>
        <w:gridCol w:w="877"/>
        <w:gridCol w:w="840"/>
        <w:gridCol w:w="1089"/>
        <w:gridCol w:w="1043"/>
        <w:gridCol w:w="988"/>
        <w:gridCol w:w="646"/>
        <w:gridCol w:w="582"/>
        <w:gridCol w:w="913"/>
        <w:gridCol w:w="1067"/>
      </w:tblGrid>
      <w:tr w14:paraId="795DF910">
        <w:tblPrEx>
          <w:tblCellMar>
            <w:top w:w="0" w:type="dxa"/>
            <w:left w:w="108" w:type="dxa"/>
            <w:bottom w:w="0" w:type="dxa"/>
            <w:right w:w="108" w:type="dxa"/>
          </w:tblCellMar>
        </w:tblPrEx>
        <w:trPr>
          <w:cantSplit/>
          <w:trHeight w:val="918" w:hRule="atLeast"/>
          <w:tblHeader/>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1EC02720">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Industry</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16A87094">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Raw treated</w:t>
            </w:r>
          </w:p>
          <w:p w14:paraId="7672831E">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7F0A8D5A">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Raw control</w:t>
            </w:r>
          </w:p>
          <w:p w14:paraId="293729D7">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2488C549">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Raw difference</w:t>
            </w:r>
          </w:p>
          <w:p w14:paraId="1D3D2F2E">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7ADB5506">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Matched treated</w:t>
            </w:r>
          </w:p>
          <w:p w14:paraId="117C7EF8">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56CC62B5">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Matched control</w:t>
            </w:r>
          </w:p>
          <w:p w14:paraId="5731366E">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72AB9989">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ATT</w:t>
            </w:r>
          </w:p>
          <w:p w14:paraId="4407C908">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054F0C8A">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SE</w:t>
            </w:r>
          </w:p>
          <w:p w14:paraId="6542CBF1">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3EDF26DA">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p-value</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DAE2F21">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Total N</w:t>
            </w:r>
          </w:p>
        </w:tc>
      </w:tr>
      <w:tr w14:paraId="6D7DE7C7">
        <w:tblPrEx>
          <w:tblCellMar>
            <w:top w:w="0" w:type="dxa"/>
            <w:left w:w="108" w:type="dxa"/>
            <w:bottom w:w="0" w:type="dxa"/>
            <w:right w:w="108" w:type="dxa"/>
          </w:tblCellMar>
        </w:tblPrEx>
        <w:trPr>
          <w:cantSplit/>
          <w:trHeight w:val="290"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01F19F8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Education</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638D790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3.17</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0EE7C8F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2.72</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4FCD15A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0.45</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2B1BA7B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3.17</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51083A4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2.79</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3E1DCDC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0.37</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19541B4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0.02</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7FD4EC7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9400B0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3,378,799</w:t>
            </w:r>
          </w:p>
        </w:tc>
      </w:tr>
      <w:tr w14:paraId="7924BB7B">
        <w:tblPrEx>
          <w:tblCellMar>
            <w:top w:w="0" w:type="dxa"/>
            <w:left w:w="108" w:type="dxa"/>
            <w:bottom w:w="0" w:type="dxa"/>
            <w:right w:w="108" w:type="dxa"/>
          </w:tblCellMar>
        </w:tblPrEx>
        <w:trPr>
          <w:cantSplit/>
          <w:trHeight w:val="464"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5D4CC39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Professional services</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35ACDA7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8.82</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17BA79C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5.72</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7C49C20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3.10</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44CD219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8.82</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5CCE4FD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7.52</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089B8A6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1.30</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3AF166A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0.05</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7F7D783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94A26A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1,789,668</w:t>
            </w:r>
          </w:p>
        </w:tc>
      </w:tr>
      <w:tr w14:paraId="44C42380">
        <w:tblPrEx>
          <w:tblCellMar>
            <w:top w:w="0" w:type="dxa"/>
            <w:left w:w="108" w:type="dxa"/>
            <w:bottom w:w="0" w:type="dxa"/>
            <w:right w:w="108" w:type="dxa"/>
          </w:tblCellMar>
        </w:tblPrEx>
        <w:trPr>
          <w:cantSplit/>
          <w:trHeight w:val="290"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2B0359D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Manufacturing</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49971F2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8.12</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2410209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5.81</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6E721CB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2.31</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1B347F8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8.12</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0B43379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7.18</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68F2ACB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0.95</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5F7F79B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0.05</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511AF38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186DB9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1,615,085</w:t>
            </w:r>
          </w:p>
        </w:tc>
      </w:tr>
      <w:tr w14:paraId="61A3FD9E">
        <w:tblPrEx>
          <w:tblCellMar>
            <w:top w:w="0" w:type="dxa"/>
            <w:left w:w="108" w:type="dxa"/>
            <w:bottom w:w="0" w:type="dxa"/>
            <w:right w:w="108" w:type="dxa"/>
          </w:tblCellMar>
        </w:tblPrEx>
        <w:trPr>
          <w:cantSplit/>
          <w:trHeight w:val="290"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0E0BCCB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Information</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50691F8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7.41</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60815C6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5.21</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7200D41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2.20</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1F4BC58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7.41</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267ECC2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6.47</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7CA06B1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0.94</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4985B3C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0.06</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06DB53E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9B56D6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1,144,994</w:t>
            </w:r>
          </w:p>
        </w:tc>
      </w:tr>
      <w:tr w14:paraId="4C24D4EF">
        <w:tblPrEx>
          <w:tblCellMar>
            <w:top w:w="0" w:type="dxa"/>
            <w:left w:w="108" w:type="dxa"/>
            <w:bottom w:w="0" w:type="dxa"/>
            <w:right w:w="108" w:type="dxa"/>
          </w:tblCellMar>
        </w:tblPrEx>
        <w:trPr>
          <w:cantSplit/>
          <w:trHeight w:val="290"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4CBFF23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Finance</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2C64CC0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9.55</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5362A3A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6.95</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46A67CB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2.59</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1AFDB41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9.55</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78DBFD0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7.85</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54440BD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1.70</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3EC1DA6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0.07</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1F8205B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6B1932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962,444</w:t>
            </w:r>
          </w:p>
        </w:tc>
      </w:tr>
      <w:tr w14:paraId="1E04E000">
        <w:tblPrEx>
          <w:tblCellMar>
            <w:top w:w="0" w:type="dxa"/>
            <w:left w:w="108" w:type="dxa"/>
            <w:bottom w:w="0" w:type="dxa"/>
            <w:right w:w="108" w:type="dxa"/>
          </w:tblCellMar>
        </w:tblPrEx>
        <w:trPr>
          <w:cantSplit/>
          <w:trHeight w:val="290"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6955634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Health care</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23DCA14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4.95</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336C666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4.78</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7581220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0.17</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5CD6A06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4.95</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7CC4EFA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4.53</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6EED192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0.43</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3F631B8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0.05</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645E1C1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166130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1,039,082</w:t>
            </w:r>
          </w:p>
        </w:tc>
      </w:tr>
      <w:tr w14:paraId="79876FF7">
        <w:tblPrEx>
          <w:tblCellMar>
            <w:top w:w="0" w:type="dxa"/>
            <w:left w:w="108" w:type="dxa"/>
            <w:bottom w:w="0" w:type="dxa"/>
            <w:right w:w="108" w:type="dxa"/>
          </w:tblCellMar>
        </w:tblPrEx>
        <w:trPr>
          <w:cantSplit/>
          <w:trHeight w:val="290"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008FA6C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Other services</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59F6C30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5.83</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63CFD40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4.87</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2947102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0.95</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41DDE4F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5.83</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4F67533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4.79</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391F252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1.04</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3A5D516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0.07</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340BC04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975E27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534,665</w:t>
            </w:r>
          </w:p>
        </w:tc>
      </w:tr>
      <w:tr w14:paraId="36D90CD9">
        <w:tblPrEx>
          <w:tblCellMar>
            <w:top w:w="0" w:type="dxa"/>
            <w:left w:w="108" w:type="dxa"/>
            <w:bottom w:w="0" w:type="dxa"/>
            <w:right w:w="108" w:type="dxa"/>
          </w:tblCellMar>
        </w:tblPrEx>
        <w:trPr>
          <w:cantSplit/>
          <w:trHeight w:val="290"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357A21A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Retail</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457C8BD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3.03</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2F0C621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2.65</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6B6C2F5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0.38</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57EDD9C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3.03</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39B86A0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2.51</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14CD482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0.52</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3A64862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0.05</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2E6539E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F433A0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589,403</w:t>
            </w:r>
          </w:p>
        </w:tc>
      </w:tr>
      <w:tr w14:paraId="278FDF06">
        <w:tblPrEx>
          <w:tblCellMar>
            <w:top w:w="0" w:type="dxa"/>
            <w:left w:w="108" w:type="dxa"/>
            <w:bottom w:w="0" w:type="dxa"/>
            <w:right w:w="108" w:type="dxa"/>
          </w:tblCellMar>
        </w:tblPrEx>
        <w:trPr>
          <w:cantSplit/>
          <w:trHeight w:val="464"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3574031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Administrative support</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56395A6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5.32</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405EC4F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3.83</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4DD3335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1.50</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0B939D5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5.32</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19473A2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4.30</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50E3F70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1.02</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21FD3BE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0.10</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00DC8E2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A7D689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312,138</w:t>
            </w:r>
          </w:p>
        </w:tc>
      </w:tr>
      <w:tr w14:paraId="5BBDCC5C">
        <w:tblPrEx>
          <w:tblCellMar>
            <w:top w:w="0" w:type="dxa"/>
            <w:left w:w="108" w:type="dxa"/>
            <w:bottom w:w="0" w:type="dxa"/>
            <w:right w:w="108" w:type="dxa"/>
          </w:tblCellMar>
        </w:tblPrEx>
        <w:trPr>
          <w:cantSplit/>
          <w:trHeight w:val="464"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426B88C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Arts and entertainment</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010339B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3.68</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3FB08E8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2.96</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7CAC947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0.72</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6AF9140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3.67</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103516A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3.06</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6763132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0.62</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33CF440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0.09</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45F2B3B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E1E56E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210,133</w:t>
            </w:r>
          </w:p>
        </w:tc>
      </w:tr>
      <w:tr w14:paraId="0158D47B">
        <w:tblPrEx>
          <w:tblCellMar>
            <w:top w:w="0" w:type="dxa"/>
            <w:left w:w="108" w:type="dxa"/>
            <w:bottom w:w="0" w:type="dxa"/>
            <w:right w:w="108" w:type="dxa"/>
          </w:tblCellMar>
        </w:tblPrEx>
        <w:trPr>
          <w:cantSplit/>
          <w:trHeight w:val="290"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58CCBC8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Transportation</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4E44622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5.29</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665D603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4.28</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65E852F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1.02</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58AFE53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5.29</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642E144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4.55</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1782A8F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0.75</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573FB67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0.12</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703F0DB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6544F0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192,365</w:t>
            </w:r>
          </w:p>
        </w:tc>
      </w:tr>
      <w:tr w14:paraId="4C259541">
        <w:tblPrEx>
          <w:tblCellMar>
            <w:top w:w="0" w:type="dxa"/>
            <w:left w:w="108" w:type="dxa"/>
            <w:bottom w:w="0" w:type="dxa"/>
            <w:right w:w="108" w:type="dxa"/>
          </w:tblCellMar>
        </w:tblPrEx>
        <w:trPr>
          <w:cantSplit/>
          <w:trHeight w:val="464"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02E5FE9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Accommodation and food services</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08AF115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2.79</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3092299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2.42</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18F8167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0.37</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025F551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2.79</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6492AFD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2.38</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7A7E208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0.40</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3437CC9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0.07</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69C50E7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B1D7F1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257,267</w:t>
            </w:r>
          </w:p>
        </w:tc>
      </w:tr>
      <w:tr w14:paraId="088E94F4">
        <w:tblPrEx>
          <w:tblCellMar>
            <w:top w:w="0" w:type="dxa"/>
            <w:left w:w="108" w:type="dxa"/>
            <w:bottom w:w="0" w:type="dxa"/>
            <w:right w:w="108" w:type="dxa"/>
          </w:tblCellMar>
        </w:tblPrEx>
        <w:trPr>
          <w:cantSplit/>
          <w:trHeight w:val="290"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439E1C8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Wholesale</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655F5E8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5.74</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1FFE450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4.56</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4BA85C9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1.18</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2164864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5.74</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03C26AE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4.96</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0EEA9C1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0.78</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687F29E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0.14</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50F4677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E6527B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156,298</w:t>
            </w:r>
          </w:p>
        </w:tc>
      </w:tr>
      <w:tr w14:paraId="570077AB">
        <w:tblPrEx>
          <w:tblCellMar>
            <w:top w:w="0" w:type="dxa"/>
            <w:left w:w="108" w:type="dxa"/>
            <w:bottom w:w="0" w:type="dxa"/>
            <w:right w:w="108" w:type="dxa"/>
          </w:tblCellMar>
        </w:tblPrEx>
        <w:trPr>
          <w:cantSplit/>
          <w:trHeight w:val="290"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2ADBC7A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Construction</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3BE46A4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5.35</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2674A0A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3.80</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6731804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1.55</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4591894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5.34</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0915A68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4.63</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1A15F97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0.72</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05A0CAE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0.15</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49C57D3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4D5073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142,575</w:t>
            </w:r>
          </w:p>
        </w:tc>
      </w:tr>
      <w:tr w14:paraId="73478EE5">
        <w:tblPrEx>
          <w:tblCellMar>
            <w:top w:w="0" w:type="dxa"/>
            <w:left w:w="108" w:type="dxa"/>
            <w:bottom w:w="0" w:type="dxa"/>
            <w:right w:w="108" w:type="dxa"/>
          </w:tblCellMar>
        </w:tblPrEx>
        <w:trPr>
          <w:cantSplit/>
          <w:trHeight w:val="290"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7C1242C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Real estate</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380BE00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5.78</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6EDDA68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4.20</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3D4EA0E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1.59</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0385DEF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5.77</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32A7866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4.73</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6BBD564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1.04</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5C440F1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0.16</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2469B40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13F81E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116,590</w:t>
            </w:r>
          </w:p>
        </w:tc>
      </w:tr>
      <w:tr w14:paraId="63B5AF71">
        <w:tblPrEx>
          <w:tblCellMar>
            <w:top w:w="0" w:type="dxa"/>
            <w:left w:w="108" w:type="dxa"/>
            <w:bottom w:w="0" w:type="dxa"/>
            <w:right w:w="108" w:type="dxa"/>
          </w:tblCellMar>
        </w:tblPrEx>
        <w:trPr>
          <w:cantSplit/>
          <w:trHeight w:val="290"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644742A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Mining</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23FAB15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7.87</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6317016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5.94</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3E725E0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1.93</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0230C6C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7.87</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264BEDB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6.55</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2C8FCB2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1.32</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241E458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0.21</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4464128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DD08E8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90,416</w:t>
            </w:r>
          </w:p>
        </w:tc>
      </w:tr>
      <w:tr w14:paraId="7BF558B7">
        <w:tblPrEx>
          <w:tblCellMar>
            <w:top w:w="0" w:type="dxa"/>
            <w:left w:w="108" w:type="dxa"/>
            <w:bottom w:w="0" w:type="dxa"/>
            <w:right w:w="108" w:type="dxa"/>
          </w:tblCellMar>
        </w:tblPrEx>
        <w:trPr>
          <w:cantSplit/>
          <w:trHeight w:val="290"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09F081D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Utilities</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786E4A6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7.38</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1A29623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5.12</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55867C0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2.26</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07FDB57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7.37</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2DEE4E9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6.17</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1BE8C24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1.20</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4E62F29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0.20</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43C8889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067504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94,445</w:t>
            </w:r>
          </w:p>
        </w:tc>
      </w:tr>
      <w:tr w14:paraId="57F3D233">
        <w:tblPrEx>
          <w:tblCellMar>
            <w:top w:w="0" w:type="dxa"/>
            <w:left w:w="108" w:type="dxa"/>
            <w:bottom w:w="0" w:type="dxa"/>
            <w:right w:w="108" w:type="dxa"/>
          </w:tblCellMar>
        </w:tblPrEx>
        <w:trPr>
          <w:cantSplit/>
          <w:trHeight w:val="290" w:hRule="atLeast"/>
          <w:jc w:val="center"/>
        </w:trPr>
        <w:tc>
          <w:tcPr>
            <w:tcW w:w="1654" w:type="dxa"/>
            <w:tcBorders>
              <w:top w:val="single" w:color="auto" w:sz="4" w:space="0"/>
              <w:left w:val="single" w:color="auto" w:sz="4" w:space="0"/>
              <w:bottom w:val="nil"/>
              <w:right w:val="nil"/>
            </w:tcBorders>
            <w:tcMar>
              <w:top w:w="-1" w:type="dxa"/>
              <w:left w:w="-1" w:type="dxa"/>
              <w:bottom w:w="-1" w:type="dxa"/>
              <w:right w:w="-1" w:type="dxa"/>
            </w:tcMar>
            <w:vAlign w:val="center"/>
          </w:tcPr>
          <w:p w14:paraId="759B92C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Agriculture</w:t>
            </w:r>
          </w:p>
        </w:tc>
        <w:tc>
          <w:tcPr>
            <w:tcW w:w="877" w:type="dxa"/>
            <w:tcBorders>
              <w:top w:val="single" w:color="auto" w:sz="4" w:space="0"/>
              <w:left w:val="single" w:color="auto" w:sz="4" w:space="0"/>
              <w:bottom w:val="nil"/>
              <w:right w:val="nil"/>
            </w:tcBorders>
            <w:tcMar>
              <w:top w:w="-1" w:type="dxa"/>
              <w:left w:w="-1" w:type="dxa"/>
              <w:bottom w:w="-1" w:type="dxa"/>
              <w:right w:w="-1" w:type="dxa"/>
            </w:tcMar>
            <w:vAlign w:val="center"/>
          </w:tcPr>
          <w:p w14:paraId="16F7D7B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5.42</w:t>
            </w:r>
          </w:p>
        </w:tc>
        <w:tc>
          <w:tcPr>
            <w:tcW w:w="840" w:type="dxa"/>
            <w:tcBorders>
              <w:top w:val="single" w:color="auto" w:sz="4" w:space="0"/>
              <w:left w:val="single" w:color="auto" w:sz="4" w:space="0"/>
              <w:bottom w:val="nil"/>
              <w:right w:val="nil"/>
            </w:tcBorders>
            <w:tcMar>
              <w:top w:w="-1" w:type="dxa"/>
              <w:left w:w="-1" w:type="dxa"/>
              <w:bottom w:w="-1" w:type="dxa"/>
              <w:right w:w="-1" w:type="dxa"/>
            </w:tcMar>
            <w:vAlign w:val="center"/>
          </w:tcPr>
          <w:p w14:paraId="767C919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3.50</w:t>
            </w:r>
          </w:p>
        </w:tc>
        <w:tc>
          <w:tcPr>
            <w:tcW w:w="1089" w:type="dxa"/>
            <w:tcBorders>
              <w:top w:val="single" w:color="auto" w:sz="4" w:space="0"/>
              <w:left w:val="single" w:color="auto" w:sz="4" w:space="0"/>
              <w:bottom w:val="nil"/>
              <w:right w:val="nil"/>
            </w:tcBorders>
            <w:tcMar>
              <w:top w:w="-1" w:type="dxa"/>
              <w:left w:w="-1" w:type="dxa"/>
              <w:bottom w:w="-1" w:type="dxa"/>
              <w:right w:w="-1" w:type="dxa"/>
            </w:tcMar>
            <w:vAlign w:val="center"/>
          </w:tcPr>
          <w:p w14:paraId="27C4C5A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1.92</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32FEB9D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5.35</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0F7F7D1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4.44</w:t>
            </w:r>
          </w:p>
        </w:tc>
        <w:tc>
          <w:tcPr>
            <w:tcW w:w="646" w:type="dxa"/>
            <w:tcBorders>
              <w:top w:val="single" w:color="auto" w:sz="4" w:space="0"/>
              <w:left w:val="single" w:color="auto" w:sz="4" w:space="0"/>
              <w:bottom w:val="nil"/>
              <w:right w:val="nil"/>
            </w:tcBorders>
            <w:tcMar>
              <w:top w:w="-1" w:type="dxa"/>
              <w:left w:w="-1" w:type="dxa"/>
              <w:bottom w:w="-1" w:type="dxa"/>
              <w:right w:w="-1" w:type="dxa"/>
            </w:tcMar>
            <w:vAlign w:val="center"/>
          </w:tcPr>
          <w:p w14:paraId="40252DB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0.91</w:t>
            </w:r>
          </w:p>
        </w:tc>
        <w:tc>
          <w:tcPr>
            <w:tcW w:w="582" w:type="dxa"/>
            <w:tcBorders>
              <w:top w:val="single" w:color="auto" w:sz="4" w:space="0"/>
              <w:left w:val="single" w:color="auto" w:sz="4" w:space="0"/>
              <w:bottom w:val="nil"/>
              <w:right w:val="nil"/>
            </w:tcBorders>
            <w:tcMar>
              <w:top w:w="-1" w:type="dxa"/>
              <w:left w:w="-1" w:type="dxa"/>
              <w:bottom w:w="-1" w:type="dxa"/>
              <w:right w:w="-1" w:type="dxa"/>
            </w:tcMar>
            <w:vAlign w:val="center"/>
          </w:tcPr>
          <w:p w14:paraId="1CBEAA8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0.34</w:t>
            </w:r>
          </w:p>
        </w:tc>
        <w:tc>
          <w:tcPr>
            <w:tcW w:w="913" w:type="dxa"/>
            <w:tcBorders>
              <w:top w:val="single" w:color="auto" w:sz="4" w:space="0"/>
              <w:left w:val="single" w:color="auto" w:sz="4" w:space="0"/>
              <w:bottom w:val="nil"/>
              <w:right w:val="nil"/>
            </w:tcBorders>
            <w:tcMar>
              <w:top w:w="-1" w:type="dxa"/>
              <w:left w:w="-1" w:type="dxa"/>
              <w:bottom w:w="-1" w:type="dxa"/>
              <w:right w:w="-1" w:type="dxa"/>
            </w:tcMar>
            <w:vAlign w:val="center"/>
          </w:tcPr>
          <w:p w14:paraId="1382D96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0.008</w:t>
            </w:r>
          </w:p>
        </w:tc>
        <w:tc>
          <w:tcPr>
            <w:tcW w:w="106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2044B0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23,576</w:t>
            </w:r>
          </w:p>
        </w:tc>
      </w:tr>
      <w:tr w14:paraId="471FD7B8">
        <w:tblPrEx>
          <w:tblCellMar>
            <w:top w:w="0" w:type="dxa"/>
            <w:left w:w="108" w:type="dxa"/>
            <w:bottom w:w="0" w:type="dxa"/>
            <w:right w:w="108" w:type="dxa"/>
          </w:tblCellMar>
        </w:tblPrEx>
        <w:trPr>
          <w:cantSplit/>
          <w:trHeight w:val="300" w:hRule="atLeast"/>
          <w:jc w:val="center"/>
        </w:trPr>
        <w:tc>
          <w:tcPr>
            <w:tcW w:w="165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76D778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Management</w:t>
            </w:r>
          </w:p>
        </w:tc>
        <w:tc>
          <w:tcPr>
            <w:tcW w:w="87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AC6E94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6.09</w:t>
            </w:r>
          </w:p>
        </w:tc>
        <w:tc>
          <w:tcPr>
            <w:tcW w:w="84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363F2F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6.10</w:t>
            </w:r>
          </w:p>
        </w:tc>
        <w:tc>
          <w:tcPr>
            <w:tcW w:w="108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6DE942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-0.01</w:t>
            </w:r>
          </w:p>
        </w:tc>
        <w:tc>
          <w:tcPr>
            <w:tcW w:w="104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4B43BD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6.09</w:t>
            </w:r>
          </w:p>
        </w:tc>
        <w:tc>
          <w:tcPr>
            <w:tcW w:w="98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812897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6.28</w:t>
            </w:r>
          </w:p>
        </w:tc>
        <w:tc>
          <w:tcPr>
            <w:tcW w:w="64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80C01D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-0.20</w:t>
            </w:r>
          </w:p>
        </w:tc>
        <w:tc>
          <w:tcPr>
            <w:tcW w:w="58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A1A934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0.55</w:t>
            </w:r>
          </w:p>
        </w:tc>
        <w:tc>
          <w:tcPr>
            <w:tcW w:w="91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34A33B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0.721</w:t>
            </w:r>
          </w:p>
        </w:tc>
        <w:tc>
          <w:tcPr>
            <w:tcW w:w="1067"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6E2D358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9,065</w:t>
            </w:r>
          </w:p>
        </w:tc>
      </w:tr>
    </w:tbl>
    <w:p w14:paraId="286A7638">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D. Estimates by country</w:t>
      </w:r>
    </w:p>
    <w:tbl>
      <w:tblPr>
        <w:tblStyle w:val="5"/>
        <w:tblW w:w="10004" w:type="dxa"/>
        <w:jc w:val="center"/>
        <w:tblLayout w:type="fixed"/>
        <w:tblCellMar>
          <w:top w:w="0" w:type="dxa"/>
          <w:left w:w="108" w:type="dxa"/>
          <w:bottom w:w="0" w:type="dxa"/>
          <w:right w:w="108" w:type="dxa"/>
        </w:tblCellMar>
      </w:tblPr>
      <w:tblGrid>
        <w:gridCol w:w="1301"/>
        <w:gridCol w:w="933"/>
        <w:gridCol w:w="904"/>
        <w:gridCol w:w="1099"/>
        <w:gridCol w:w="1043"/>
        <w:gridCol w:w="1015"/>
        <w:gridCol w:w="895"/>
        <w:gridCol w:w="859"/>
        <w:gridCol w:w="868"/>
        <w:gridCol w:w="1087"/>
      </w:tblGrid>
      <w:tr w14:paraId="4268DBD5">
        <w:tblPrEx>
          <w:tblCellMar>
            <w:top w:w="0" w:type="dxa"/>
            <w:left w:w="108" w:type="dxa"/>
            <w:bottom w:w="0" w:type="dxa"/>
            <w:right w:w="108" w:type="dxa"/>
          </w:tblCellMar>
        </w:tblPrEx>
        <w:trPr>
          <w:cantSplit/>
          <w:trHeight w:val="283" w:hRule="atLeast"/>
          <w:tblHeader/>
          <w:jc w:val="center"/>
        </w:trPr>
        <w:tc>
          <w:tcPr>
            <w:tcW w:w="1301" w:type="dxa"/>
            <w:tcBorders>
              <w:top w:val="single" w:color="auto" w:sz="4" w:space="0"/>
              <w:left w:val="single" w:color="auto" w:sz="4" w:space="0"/>
              <w:bottom w:val="nil"/>
              <w:right w:val="nil"/>
            </w:tcBorders>
            <w:tcMar>
              <w:top w:w="-1" w:type="dxa"/>
              <w:left w:w="-1" w:type="dxa"/>
              <w:bottom w:w="-1" w:type="dxa"/>
              <w:right w:w="-1" w:type="dxa"/>
            </w:tcMar>
            <w:vAlign w:val="center"/>
          </w:tcPr>
          <w:p w14:paraId="040D246B">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Country</w:t>
            </w:r>
          </w:p>
        </w:tc>
        <w:tc>
          <w:tcPr>
            <w:tcW w:w="933" w:type="dxa"/>
            <w:tcBorders>
              <w:top w:val="single" w:color="auto" w:sz="4" w:space="0"/>
              <w:left w:val="single" w:color="auto" w:sz="4" w:space="0"/>
              <w:bottom w:val="nil"/>
              <w:right w:val="nil"/>
            </w:tcBorders>
            <w:tcMar>
              <w:top w:w="-1" w:type="dxa"/>
              <w:left w:w="-1" w:type="dxa"/>
              <w:bottom w:w="-1" w:type="dxa"/>
              <w:right w:w="-1" w:type="dxa"/>
            </w:tcMar>
            <w:vAlign w:val="center"/>
          </w:tcPr>
          <w:p w14:paraId="0997A3F4">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treated </w:t>
            </w:r>
          </w:p>
          <w:p w14:paraId="01D49D3B">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904" w:type="dxa"/>
            <w:tcBorders>
              <w:top w:val="single" w:color="auto" w:sz="4" w:space="0"/>
              <w:left w:val="single" w:color="auto" w:sz="4" w:space="0"/>
              <w:bottom w:val="nil"/>
              <w:right w:val="nil"/>
            </w:tcBorders>
            <w:tcMar>
              <w:top w:w="-1" w:type="dxa"/>
              <w:left w:w="-1" w:type="dxa"/>
              <w:bottom w:w="-1" w:type="dxa"/>
              <w:right w:w="-1" w:type="dxa"/>
            </w:tcMar>
            <w:vAlign w:val="center"/>
          </w:tcPr>
          <w:p w14:paraId="3205C592">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control </w:t>
            </w:r>
          </w:p>
          <w:p w14:paraId="75B834AF">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1099" w:type="dxa"/>
            <w:tcBorders>
              <w:top w:val="single" w:color="auto" w:sz="4" w:space="0"/>
              <w:left w:val="single" w:color="auto" w:sz="4" w:space="0"/>
              <w:bottom w:val="nil"/>
              <w:right w:val="nil"/>
            </w:tcBorders>
            <w:tcMar>
              <w:top w:w="-1" w:type="dxa"/>
              <w:left w:w="-1" w:type="dxa"/>
              <w:bottom w:w="-1" w:type="dxa"/>
              <w:right w:w="-1" w:type="dxa"/>
            </w:tcMar>
            <w:vAlign w:val="center"/>
          </w:tcPr>
          <w:p w14:paraId="21A84376">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difference </w:t>
            </w:r>
          </w:p>
          <w:p w14:paraId="5DAB97B2">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7FCA7270">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Matched treated </w:t>
            </w:r>
          </w:p>
          <w:p w14:paraId="186161A9">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1015" w:type="dxa"/>
            <w:tcBorders>
              <w:top w:val="single" w:color="auto" w:sz="4" w:space="0"/>
              <w:left w:val="single" w:color="auto" w:sz="4" w:space="0"/>
              <w:bottom w:val="nil"/>
              <w:right w:val="nil"/>
            </w:tcBorders>
            <w:tcMar>
              <w:top w:w="-1" w:type="dxa"/>
              <w:left w:w="-1" w:type="dxa"/>
              <w:bottom w:w="-1" w:type="dxa"/>
              <w:right w:w="-1" w:type="dxa"/>
            </w:tcMar>
            <w:vAlign w:val="center"/>
          </w:tcPr>
          <w:p w14:paraId="71CCD995">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Matched control </w:t>
            </w:r>
          </w:p>
          <w:p w14:paraId="6C588AA7">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895" w:type="dxa"/>
            <w:tcBorders>
              <w:top w:val="single" w:color="auto" w:sz="4" w:space="0"/>
              <w:left w:val="single" w:color="auto" w:sz="4" w:space="0"/>
              <w:bottom w:val="nil"/>
              <w:right w:val="nil"/>
            </w:tcBorders>
            <w:tcMar>
              <w:top w:w="-1" w:type="dxa"/>
              <w:left w:w="-1" w:type="dxa"/>
              <w:bottom w:w="-1" w:type="dxa"/>
              <w:right w:w="-1" w:type="dxa"/>
            </w:tcMar>
            <w:vAlign w:val="center"/>
          </w:tcPr>
          <w:p w14:paraId="6E3045E6">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ATT </w:t>
            </w:r>
          </w:p>
          <w:p w14:paraId="77FD6964">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859" w:type="dxa"/>
            <w:tcBorders>
              <w:top w:val="single" w:color="auto" w:sz="4" w:space="0"/>
              <w:left w:val="single" w:color="auto" w:sz="4" w:space="0"/>
              <w:bottom w:val="nil"/>
              <w:right w:val="nil"/>
            </w:tcBorders>
            <w:tcMar>
              <w:top w:w="-1" w:type="dxa"/>
              <w:left w:w="-1" w:type="dxa"/>
              <w:bottom w:w="-1" w:type="dxa"/>
              <w:right w:w="-1" w:type="dxa"/>
            </w:tcMar>
            <w:vAlign w:val="center"/>
          </w:tcPr>
          <w:p w14:paraId="171A3ECD">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SE </w:t>
            </w:r>
          </w:p>
          <w:p w14:paraId="44A25A5A">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868" w:type="dxa"/>
            <w:tcBorders>
              <w:top w:val="single" w:color="auto" w:sz="4" w:space="0"/>
              <w:left w:val="single" w:color="auto" w:sz="4" w:space="0"/>
              <w:bottom w:val="nil"/>
              <w:right w:val="nil"/>
            </w:tcBorders>
            <w:tcMar>
              <w:top w:w="-1" w:type="dxa"/>
              <w:left w:w="-1" w:type="dxa"/>
              <w:bottom w:w="-1" w:type="dxa"/>
              <w:right w:w="-1" w:type="dxa"/>
            </w:tcMar>
            <w:vAlign w:val="center"/>
          </w:tcPr>
          <w:p w14:paraId="7D769C13">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p-value</w:t>
            </w:r>
          </w:p>
        </w:tc>
        <w:tc>
          <w:tcPr>
            <w:tcW w:w="108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BF22191">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Total N</w:t>
            </w:r>
          </w:p>
        </w:tc>
      </w:tr>
      <w:tr w14:paraId="6E9AE814">
        <w:tblPrEx>
          <w:tblCellMar>
            <w:top w:w="0" w:type="dxa"/>
            <w:left w:w="108" w:type="dxa"/>
            <w:bottom w:w="0" w:type="dxa"/>
            <w:right w:w="108" w:type="dxa"/>
          </w:tblCellMar>
        </w:tblPrEx>
        <w:trPr>
          <w:cantSplit/>
          <w:trHeight w:val="283" w:hRule="atLeast"/>
          <w:jc w:val="center"/>
        </w:trPr>
        <w:tc>
          <w:tcPr>
            <w:tcW w:w="1301" w:type="dxa"/>
            <w:tcBorders>
              <w:top w:val="single" w:color="auto" w:sz="4" w:space="0"/>
              <w:left w:val="single" w:color="auto" w:sz="4" w:space="0"/>
              <w:bottom w:val="nil"/>
              <w:right w:val="nil"/>
            </w:tcBorders>
            <w:tcMar>
              <w:top w:w="-1" w:type="dxa"/>
              <w:left w:w="-1" w:type="dxa"/>
              <w:bottom w:w="-1" w:type="dxa"/>
              <w:right w:w="-1" w:type="dxa"/>
            </w:tcMar>
            <w:vAlign w:val="center"/>
          </w:tcPr>
          <w:p w14:paraId="7A51E50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United States</w:t>
            </w:r>
          </w:p>
        </w:tc>
        <w:tc>
          <w:tcPr>
            <w:tcW w:w="933" w:type="dxa"/>
            <w:tcBorders>
              <w:top w:val="single" w:color="auto" w:sz="4" w:space="0"/>
              <w:left w:val="single" w:color="auto" w:sz="4" w:space="0"/>
              <w:bottom w:val="nil"/>
              <w:right w:val="nil"/>
            </w:tcBorders>
            <w:tcMar>
              <w:top w:w="-1" w:type="dxa"/>
              <w:left w:w="-1" w:type="dxa"/>
              <w:bottom w:w="-1" w:type="dxa"/>
              <w:right w:w="-1" w:type="dxa"/>
            </w:tcMar>
            <w:vAlign w:val="center"/>
          </w:tcPr>
          <w:p w14:paraId="37717A8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7.04</w:t>
            </w:r>
          </w:p>
        </w:tc>
        <w:tc>
          <w:tcPr>
            <w:tcW w:w="904" w:type="dxa"/>
            <w:tcBorders>
              <w:top w:val="single" w:color="auto" w:sz="4" w:space="0"/>
              <w:left w:val="single" w:color="auto" w:sz="4" w:space="0"/>
              <w:bottom w:val="nil"/>
              <w:right w:val="nil"/>
            </w:tcBorders>
            <w:tcMar>
              <w:top w:w="-1" w:type="dxa"/>
              <w:left w:w="-1" w:type="dxa"/>
              <w:bottom w:w="-1" w:type="dxa"/>
              <w:right w:w="-1" w:type="dxa"/>
            </w:tcMar>
            <w:vAlign w:val="center"/>
          </w:tcPr>
          <w:p w14:paraId="6A497F7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5.94</w:t>
            </w:r>
          </w:p>
        </w:tc>
        <w:tc>
          <w:tcPr>
            <w:tcW w:w="1099" w:type="dxa"/>
            <w:tcBorders>
              <w:top w:val="single" w:color="auto" w:sz="4" w:space="0"/>
              <w:left w:val="single" w:color="auto" w:sz="4" w:space="0"/>
              <w:bottom w:val="nil"/>
              <w:right w:val="nil"/>
            </w:tcBorders>
            <w:tcMar>
              <w:top w:w="-1" w:type="dxa"/>
              <w:left w:w="-1" w:type="dxa"/>
              <w:bottom w:w="-1" w:type="dxa"/>
              <w:right w:w="-1" w:type="dxa"/>
            </w:tcMar>
            <w:vAlign w:val="center"/>
          </w:tcPr>
          <w:p w14:paraId="26C07BD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1.10</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28E86D1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7.04</w:t>
            </w:r>
          </w:p>
        </w:tc>
        <w:tc>
          <w:tcPr>
            <w:tcW w:w="1015" w:type="dxa"/>
            <w:tcBorders>
              <w:top w:val="single" w:color="auto" w:sz="4" w:space="0"/>
              <w:left w:val="single" w:color="auto" w:sz="4" w:space="0"/>
              <w:bottom w:val="nil"/>
              <w:right w:val="nil"/>
            </w:tcBorders>
            <w:tcMar>
              <w:top w:w="-1" w:type="dxa"/>
              <w:left w:w="-1" w:type="dxa"/>
              <w:bottom w:w="-1" w:type="dxa"/>
              <w:right w:w="-1" w:type="dxa"/>
            </w:tcMar>
            <w:vAlign w:val="center"/>
          </w:tcPr>
          <w:p w14:paraId="529941F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6.10</w:t>
            </w:r>
          </w:p>
        </w:tc>
        <w:tc>
          <w:tcPr>
            <w:tcW w:w="895" w:type="dxa"/>
            <w:tcBorders>
              <w:top w:val="single" w:color="auto" w:sz="4" w:space="0"/>
              <w:left w:val="single" w:color="auto" w:sz="4" w:space="0"/>
              <w:bottom w:val="nil"/>
              <w:right w:val="nil"/>
            </w:tcBorders>
            <w:tcMar>
              <w:top w:w="-1" w:type="dxa"/>
              <w:left w:w="-1" w:type="dxa"/>
              <w:bottom w:w="-1" w:type="dxa"/>
              <w:right w:w="-1" w:type="dxa"/>
            </w:tcMar>
            <w:vAlign w:val="center"/>
          </w:tcPr>
          <w:p w14:paraId="3439C72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0.94</w:t>
            </w:r>
          </w:p>
        </w:tc>
        <w:tc>
          <w:tcPr>
            <w:tcW w:w="859" w:type="dxa"/>
            <w:tcBorders>
              <w:top w:val="single" w:color="auto" w:sz="4" w:space="0"/>
              <w:left w:val="single" w:color="auto" w:sz="4" w:space="0"/>
              <w:bottom w:val="nil"/>
              <w:right w:val="nil"/>
            </w:tcBorders>
            <w:tcMar>
              <w:top w:w="-1" w:type="dxa"/>
              <w:left w:w="-1" w:type="dxa"/>
              <w:bottom w:w="-1" w:type="dxa"/>
              <w:right w:w="-1" w:type="dxa"/>
            </w:tcMar>
            <w:vAlign w:val="center"/>
          </w:tcPr>
          <w:p w14:paraId="48B0017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0.02</w:t>
            </w:r>
          </w:p>
        </w:tc>
        <w:tc>
          <w:tcPr>
            <w:tcW w:w="868" w:type="dxa"/>
            <w:tcBorders>
              <w:top w:val="single" w:color="auto" w:sz="4" w:space="0"/>
              <w:left w:val="single" w:color="auto" w:sz="4" w:space="0"/>
              <w:bottom w:val="nil"/>
              <w:right w:val="nil"/>
            </w:tcBorders>
            <w:tcMar>
              <w:top w:w="-1" w:type="dxa"/>
              <w:left w:w="-1" w:type="dxa"/>
              <w:bottom w:w="-1" w:type="dxa"/>
              <w:right w:w="-1" w:type="dxa"/>
            </w:tcMar>
            <w:vAlign w:val="center"/>
          </w:tcPr>
          <w:p w14:paraId="239049F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8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AD12CC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6,626,350</w:t>
            </w:r>
          </w:p>
        </w:tc>
      </w:tr>
      <w:tr w14:paraId="69CE710D">
        <w:tblPrEx>
          <w:tblCellMar>
            <w:top w:w="0" w:type="dxa"/>
            <w:left w:w="108" w:type="dxa"/>
            <w:bottom w:w="0" w:type="dxa"/>
            <w:right w:w="108" w:type="dxa"/>
          </w:tblCellMar>
        </w:tblPrEx>
        <w:trPr>
          <w:cantSplit/>
          <w:trHeight w:val="283" w:hRule="atLeast"/>
          <w:jc w:val="center"/>
        </w:trPr>
        <w:tc>
          <w:tcPr>
            <w:tcW w:w="1301" w:type="dxa"/>
            <w:tcBorders>
              <w:top w:val="single" w:color="auto" w:sz="4" w:space="0"/>
              <w:left w:val="single" w:color="auto" w:sz="4" w:space="0"/>
              <w:bottom w:val="nil"/>
              <w:right w:val="nil"/>
            </w:tcBorders>
            <w:tcMar>
              <w:top w:w="-1" w:type="dxa"/>
              <w:left w:w="-1" w:type="dxa"/>
              <w:bottom w:w="-1" w:type="dxa"/>
              <w:right w:w="-1" w:type="dxa"/>
            </w:tcMar>
            <w:vAlign w:val="center"/>
          </w:tcPr>
          <w:p w14:paraId="59185DE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India</w:t>
            </w:r>
          </w:p>
        </w:tc>
        <w:tc>
          <w:tcPr>
            <w:tcW w:w="933" w:type="dxa"/>
            <w:tcBorders>
              <w:top w:val="single" w:color="auto" w:sz="4" w:space="0"/>
              <w:left w:val="single" w:color="auto" w:sz="4" w:space="0"/>
              <w:bottom w:val="nil"/>
              <w:right w:val="nil"/>
            </w:tcBorders>
            <w:tcMar>
              <w:top w:w="-1" w:type="dxa"/>
              <w:left w:w="-1" w:type="dxa"/>
              <w:bottom w:w="-1" w:type="dxa"/>
              <w:right w:w="-1" w:type="dxa"/>
            </w:tcMar>
            <w:vAlign w:val="center"/>
          </w:tcPr>
          <w:p w14:paraId="181B7E5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3.54</w:t>
            </w:r>
          </w:p>
        </w:tc>
        <w:tc>
          <w:tcPr>
            <w:tcW w:w="904" w:type="dxa"/>
            <w:tcBorders>
              <w:top w:val="single" w:color="auto" w:sz="4" w:space="0"/>
              <w:left w:val="single" w:color="auto" w:sz="4" w:space="0"/>
              <w:bottom w:val="nil"/>
              <w:right w:val="nil"/>
            </w:tcBorders>
            <w:tcMar>
              <w:top w:w="-1" w:type="dxa"/>
              <w:left w:w="-1" w:type="dxa"/>
              <w:bottom w:w="-1" w:type="dxa"/>
              <w:right w:w="-1" w:type="dxa"/>
            </w:tcMar>
            <w:vAlign w:val="center"/>
          </w:tcPr>
          <w:p w14:paraId="3020DE3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2.41</w:t>
            </w:r>
          </w:p>
        </w:tc>
        <w:tc>
          <w:tcPr>
            <w:tcW w:w="1099" w:type="dxa"/>
            <w:tcBorders>
              <w:top w:val="single" w:color="auto" w:sz="4" w:space="0"/>
              <w:left w:val="single" w:color="auto" w:sz="4" w:space="0"/>
              <w:bottom w:val="nil"/>
              <w:right w:val="nil"/>
            </w:tcBorders>
            <w:tcMar>
              <w:top w:w="-1" w:type="dxa"/>
              <w:left w:w="-1" w:type="dxa"/>
              <w:bottom w:w="-1" w:type="dxa"/>
              <w:right w:w="-1" w:type="dxa"/>
            </w:tcMar>
            <w:vAlign w:val="center"/>
          </w:tcPr>
          <w:p w14:paraId="6E67FD0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1.13</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4E602CC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3.54</w:t>
            </w:r>
          </w:p>
        </w:tc>
        <w:tc>
          <w:tcPr>
            <w:tcW w:w="1015" w:type="dxa"/>
            <w:tcBorders>
              <w:top w:val="single" w:color="auto" w:sz="4" w:space="0"/>
              <w:left w:val="single" w:color="auto" w:sz="4" w:space="0"/>
              <w:bottom w:val="nil"/>
              <w:right w:val="nil"/>
            </w:tcBorders>
            <w:tcMar>
              <w:top w:w="-1" w:type="dxa"/>
              <w:left w:w="-1" w:type="dxa"/>
              <w:bottom w:w="-1" w:type="dxa"/>
              <w:right w:w="-1" w:type="dxa"/>
            </w:tcMar>
            <w:vAlign w:val="center"/>
          </w:tcPr>
          <w:p w14:paraId="017CD80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2.81</w:t>
            </w:r>
          </w:p>
        </w:tc>
        <w:tc>
          <w:tcPr>
            <w:tcW w:w="895" w:type="dxa"/>
            <w:tcBorders>
              <w:top w:val="single" w:color="auto" w:sz="4" w:space="0"/>
              <w:left w:val="single" w:color="auto" w:sz="4" w:space="0"/>
              <w:bottom w:val="nil"/>
              <w:right w:val="nil"/>
            </w:tcBorders>
            <w:tcMar>
              <w:top w:w="-1" w:type="dxa"/>
              <w:left w:w="-1" w:type="dxa"/>
              <w:bottom w:w="-1" w:type="dxa"/>
              <w:right w:w="-1" w:type="dxa"/>
            </w:tcMar>
            <w:vAlign w:val="center"/>
          </w:tcPr>
          <w:p w14:paraId="5FE1AB8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0.73</w:t>
            </w:r>
          </w:p>
        </w:tc>
        <w:tc>
          <w:tcPr>
            <w:tcW w:w="859" w:type="dxa"/>
            <w:tcBorders>
              <w:top w:val="single" w:color="auto" w:sz="4" w:space="0"/>
              <w:left w:val="single" w:color="auto" w:sz="4" w:space="0"/>
              <w:bottom w:val="nil"/>
              <w:right w:val="nil"/>
            </w:tcBorders>
            <w:tcMar>
              <w:top w:w="-1" w:type="dxa"/>
              <w:left w:w="-1" w:type="dxa"/>
              <w:bottom w:w="-1" w:type="dxa"/>
              <w:right w:w="-1" w:type="dxa"/>
            </w:tcMar>
            <w:vAlign w:val="center"/>
          </w:tcPr>
          <w:p w14:paraId="104F066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0.08</w:t>
            </w:r>
          </w:p>
        </w:tc>
        <w:tc>
          <w:tcPr>
            <w:tcW w:w="868" w:type="dxa"/>
            <w:tcBorders>
              <w:top w:val="single" w:color="auto" w:sz="4" w:space="0"/>
              <w:left w:val="single" w:color="auto" w:sz="4" w:space="0"/>
              <w:bottom w:val="nil"/>
              <w:right w:val="nil"/>
            </w:tcBorders>
            <w:tcMar>
              <w:top w:w="-1" w:type="dxa"/>
              <w:left w:w="-1" w:type="dxa"/>
              <w:bottom w:w="-1" w:type="dxa"/>
              <w:right w:w="-1" w:type="dxa"/>
            </w:tcMar>
            <w:vAlign w:val="center"/>
          </w:tcPr>
          <w:p w14:paraId="6B6B052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8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572637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1,632,679</w:t>
            </w:r>
          </w:p>
        </w:tc>
      </w:tr>
      <w:tr w14:paraId="210A1053">
        <w:tblPrEx>
          <w:tblCellMar>
            <w:top w:w="0" w:type="dxa"/>
            <w:left w:w="108" w:type="dxa"/>
            <w:bottom w:w="0" w:type="dxa"/>
            <w:right w:w="108" w:type="dxa"/>
          </w:tblCellMar>
        </w:tblPrEx>
        <w:trPr>
          <w:cantSplit/>
          <w:trHeight w:val="283" w:hRule="atLeast"/>
          <w:jc w:val="center"/>
        </w:trPr>
        <w:tc>
          <w:tcPr>
            <w:tcW w:w="1301" w:type="dxa"/>
            <w:tcBorders>
              <w:top w:val="single" w:color="auto" w:sz="4" w:space="0"/>
              <w:left w:val="single" w:color="auto" w:sz="4" w:space="0"/>
              <w:bottom w:val="nil"/>
              <w:right w:val="nil"/>
            </w:tcBorders>
            <w:tcMar>
              <w:top w:w="-1" w:type="dxa"/>
              <w:left w:w="-1" w:type="dxa"/>
              <w:bottom w:w="-1" w:type="dxa"/>
              <w:right w:w="-1" w:type="dxa"/>
            </w:tcMar>
            <w:vAlign w:val="center"/>
          </w:tcPr>
          <w:p w14:paraId="6C914B3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United Kingdom</w:t>
            </w:r>
          </w:p>
        </w:tc>
        <w:tc>
          <w:tcPr>
            <w:tcW w:w="933" w:type="dxa"/>
            <w:tcBorders>
              <w:top w:val="single" w:color="auto" w:sz="4" w:space="0"/>
              <w:left w:val="single" w:color="auto" w:sz="4" w:space="0"/>
              <w:bottom w:val="nil"/>
              <w:right w:val="nil"/>
            </w:tcBorders>
            <w:tcMar>
              <w:top w:w="-1" w:type="dxa"/>
              <w:left w:w="-1" w:type="dxa"/>
              <w:bottom w:w="-1" w:type="dxa"/>
              <w:right w:w="-1" w:type="dxa"/>
            </w:tcMar>
            <w:vAlign w:val="center"/>
          </w:tcPr>
          <w:p w14:paraId="7BFB31F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4.83</w:t>
            </w:r>
          </w:p>
        </w:tc>
        <w:tc>
          <w:tcPr>
            <w:tcW w:w="904" w:type="dxa"/>
            <w:tcBorders>
              <w:top w:val="single" w:color="auto" w:sz="4" w:space="0"/>
              <w:left w:val="single" w:color="auto" w:sz="4" w:space="0"/>
              <w:bottom w:val="nil"/>
              <w:right w:val="nil"/>
            </w:tcBorders>
            <w:tcMar>
              <w:top w:w="-1" w:type="dxa"/>
              <w:left w:w="-1" w:type="dxa"/>
              <w:bottom w:w="-1" w:type="dxa"/>
              <w:right w:w="-1" w:type="dxa"/>
            </w:tcMar>
            <w:vAlign w:val="center"/>
          </w:tcPr>
          <w:p w14:paraId="7490883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3.66</w:t>
            </w:r>
          </w:p>
        </w:tc>
        <w:tc>
          <w:tcPr>
            <w:tcW w:w="1099" w:type="dxa"/>
            <w:tcBorders>
              <w:top w:val="single" w:color="auto" w:sz="4" w:space="0"/>
              <w:left w:val="single" w:color="auto" w:sz="4" w:space="0"/>
              <w:bottom w:val="nil"/>
              <w:right w:val="nil"/>
            </w:tcBorders>
            <w:tcMar>
              <w:top w:w="-1" w:type="dxa"/>
              <w:left w:w="-1" w:type="dxa"/>
              <w:bottom w:w="-1" w:type="dxa"/>
              <w:right w:w="-1" w:type="dxa"/>
            </w:tcMar>
            <w:vAlign w:val="center"/>
          </w:tcPr>
          <w:p w14:paraId="2646E1D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1.17</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76C8DEB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4.83</w:t>
            </w:r>
          </w:p>
        </w:tc>
        <w:tc>
          <w:tcPr>
            <w:tcW w:w="1015" w:type="dxa"/>
            <w:tcBorders>
              <w:top w:val="single" w:color="auto" w:sz="4" w:space="0"/>
              <w:left w:val="single" w:color="auto" w:sz="4" w:space="0"/>
              <w:bottom w:val="nil"/>
              <w:right w:val="nil"/>
            </w:tcBorders>
            <w:tcMar>
              <w:top w:w="-1" w:type="dxa"/>
              <w:left w:w="-1" w:type="dxa"/>
              <w:bottom w:w="-1" w:type="dxa"/>
              <w:right w:w="-1" w:type="dxa"/>
            </w:tcMar>
            <w:vAlign w:val="center"/>
          </w:tcPr>
          <w:p w14:paraId="278378D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3.99</w:t>
            </w:r>
          </w:p>
        </w:tc>
        <w:tc>
          <w:tcPr>
            <w:tcW w:w="895" w:type="dxa"/>
            <w:tcBorders>
              <w:top w:val="single" w:color="auto" w:sz="4" w:space="0"/>
              <w:left w:val="single" w:color="auto" w:sz="4" w:space="0"/>
              <w:bottom w:val="nil"/>
              <w:right w:val="nil"/>
            </w:tcBorders>
            <w:tcMar>
              <w:top w:w="-1" w:type="dxa"/>
              <w:left w:w="-1" w:type="dxa"/>
              <w:bottom w:w="-1" w:type="dxa"/>
              <w:right w:w="-1" w:type="dxa"/>
            </w:tcMar>
            <w:vAlign w:val="center"/>
          </w:tcPr>
          <w:p w14:paraId="19526E2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0.83</w:t>
            </w:r>
          </w:p>
        </w:tc>
        <w:tc>
          <w:tcPr>
            <w:tcW w:w="859" w:type="dxa"/>
            <w:tcBorders>
              <w:top w:val="single" w:color="auto" w:sz="4" w:space="0"/>
              <w:left w:val="single" w:color="auto" w:sz="4" w:space="0"/>
              <w:bottom w:val="nil"/>
              <w:right w:val="nil"/>
            </w:tcBorders>
            <w:tcMar>
              <w:top w:w="-1" w:type="dxa"/>
              <w:left w:w="-1" w:type="dxa"/>
              <w:bottom w:w="-1" w:type="dxa"/>
              <w:right w:w="-1" w:type="dxa"/>
            </w:tcMar>
            <w:vAlign w:val="center"/>
          </w:tcPr>
          <w:p w14:paraId="53CF365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0.04</w:t>
            </w:r>
          </w:p>
        </w:tc>
        <w:tc>
          <w:tcPr>
            <w:tcW w:w="868" w:type="dxa"/>
            <w:tcBorders>
              <w:top w:val="single" w:color="auto" w:sz="4" w:space="0"/>
              <w:left w:val="single" w:color="auto" w:sz="4" w:space="0"/>
              <w:bottom w:val="nil"/>
              <w:right w:val="nil"/>
            </w:tcBorders>
            <w:tcMar>
              <w:top w:w="-1" w:type="dxa"/>
              <w:left w:w="-1" w:type="dxa"/>
              <w:bottom w:w="-1" w:type="dxa"/>
              <w:right w:w="-1" w:type="dxa"/>
            </w:tcMar>
            <w:vAlign w:val="center"/>
          </w:tcPr>
          <w:p w14:paraId="1EC4F4C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8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3A5C7F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1,108,827</w:t>
            </w:r>
          </w:p>
        </w:tc>
      </w:tr>
      <w:tr w14:paraId="1B2BA408">
        <w:tblPrEx>
          <w:tblCellMar>
            <w:top w:w="0" w:type="dxa"/>
            <w:left w:w="108" w:type="dxa"/>
            <w:bottom w:w="0" w:type="dxa"/>
            <w:right w:w="108" w:type="dxa"/>
          </w:tblCellMar>
        </w:tblPrEx>
        <w:trPr>
          <w:cantSplit/>
          <w:trHeight w:val="283" w:hRule="atLeast"/>
          <w:jc w:val="center"/>
        </w:trPr>
        <w:tc>
          <w:tcPr>
            <w:tcW w:w="1301" w:type="dxa"/>
            <w:tcBorders>
              <w:top w:val="single" w:color="auto" w:sz="4" w:space="0"/>
              <w:left w:val="single" w:color="auto" w:sz="4" w:space="0"/>
              <w:bottom w:val="nil"/>
              <w:right w:val="nil"/>
            </w:tcBorders>
            <w:tcMar>
              <w:top w:w="-1" w:type="dxa"/>
              <w:left w:w="-1" w:type="dxa"/>
              <w:bottom w:w="-1" w:type="dxa"/>
              <w:right w:w="-1" w:type="dxa"/>
            </w:tcMar>
            <w:vAlign w:val="center"/>
          </w:tcPr>
          <w:p w14:paraId="258098F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Germany</w:t>
            </w:r>
          </w:p>
        </w:tc>
        <w:tc>
          <w:tcPr>
            <w:tcW w:w="933" w:type="dxa"/>
            <w:tcBorders>
              <w:top w:val="single" w:color="auto" w:sz="4" w:space="0"/>
              <w:left w:val="single" w:color="auto" w:sz="4" w:space="0"/>
              <w:bottom w:val="nil"/>
              <w:right w:val="nil"/>
            </w:tcBorders>
            <w:tcMar>
              <w:top w:w="-1" w:type="dxa"/>
              <w:left w:w="-1" w:type="dxa"/>
              <w:bottom w:w="-1" w:type="dxa"/>
              <w:right w:w="-1" w:type="dxa"/>
            </w:tcMar>
            <w:vAlign w:val="center"/>
          </w:tcPr>
          <w:p w14:paraId="458EFB6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3.11</w:t>
            </w:r>
          </w:p>
        </w:tc>
        <w:tc>
          <w:tcPr>
            <w:tcW w:w="904" w:type="dxa"/>
            <w:tcBorders>
              <w:top w:val="single" w:color="auto" w:sz="4" w:space="0"/>
              <w:left w:val="single" w:color="auto" w:sz="4" w:space="0"/>
              <w:bottom w:val="nil"/>
              <w:right w:val="nil"/>
            </w:tcBorders>
            <w:tcMar>
              <w:top w:w="-1" w:type="dxa"/>
              <w:left w:w="-1" w:type="dxa"/>
              <w:bottom w:w="-1" w:type="dxa"/>
              <w:right w:w="-1" w:type="dxa"/>
            </w:tcMar>
            <w:vAlign w:val="center"/>
          </w:tcPr>
          <w:p w14:paraId="2090CF1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2.91</w:t>
            </w:r>
          </w:p>
        </w:tc>
        <w:tc>
          <w:tcPr>
            <w:tcW w:w="1099" w:type="dxa"/>
            <w:tcBorders>
              <w:top w:val="single" w:color="auto" w:sz="4" w:space="0"/>
              <w:left w:val="single" w:color="auto" w:sz="4" w:space="0"/>
              <w:bottom w:val="nil"/>
              <w:right w:val="nil"/>
            </w:tcBorders>
            <w:tcMar>
              <w:top w:w="-1" w:type="dxa"/>
              <w:left w:w="-1" w:type="dxa"/>
              <w:bottom w:w="-1" w:type="dxa"/>
              <w:right w:w="-1" w:type="dxa"/>
            </w:tcMar>
            <w:vAlign w:val="center"/>
          </w:tcPr>
          <w:p w14:paraId="7EBE66D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0.20</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2AB739F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3.11</w:t>
            </w:r>
          </w:p>
        </w:tc>
        <w:tc>
          <w:tcPr>
            <w:tcW w:w="1015" w:type="dxa"/>
            <w:tcBorders>
              <w:top w:val="single" w:color="auto" w:sz="4" w:space="0"/>
              <w:left w:val="single" w:color="auto" w:sz="4" w:space="0"/>
              <w:bottom w:val="nil"/>
              <w:right w:val="nil"/>
            </w:tcBorders>
            <w:tcMar>
              <w:top w:w="-1" w:type="dxa"/>
              <w:left w:w="-1" w:type="dxa"/>
              <w:bottom w:w="-1" w:type="dxa"/>
              <w:right w:w="-1" w:type="dxa"/>
            </w:tcMar>
            <w:vAlign w:val="center"/>
          </w:tcPr>
          <w:p w14:paraId="329C5CA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2.86</w:t>
            </w:r>
          </w:p>
        </w:tc>
        <w:tc>
          <w:tcPr>
            <w:tcW w:w="895" w:type="dxa"/>
            <w:tcBorders>
              <w:top w:val="single" w:color="auto" w:sz="4" w:space="0"/>
              <w:left w:val="single" w:color="auto" w:sz="4" w:space="0"/>
              <w:bottom w:val="nil"/>
              <w:right w:val="nil"/>
            </w:tcBorders>
            <w:tcMar>
              <w:top w:w="-1" w:type="dxa"/>
              <w:left w:w="-1" w:type="dxa"/>
              <w:bottom w:w="-1" w:type="dxa"/>
              <w:right w:w="-1" w:type="dxa"/>
            </w:tcMar>
            <w:vAlign w:val="center"/>
          </w:tcPr>
          <w:p w14:paraId="22CD3DB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0.25</w:t>
            </w:r>
          </w:p>
        </w:tc>
        <w:tc>
          <w:tcPr>
            <w:tcW w:w="859" w:type="dxa"/>
            <w:tcBorders>
              <w:top w:val="single" w:color="auto" w:sz="4" w:space="0"/>
              <w:left w:val="single" w:color="auto" w:sz="4" w:space="0"/>
              <w:bottom w:val="nil"/>
              <w:right w:val="nil"/>
            </w:tcBorders>
            <w:tcMar>
              <w:top w:w="-1" w:type="dxa"/>
              <w:left w:w="-1" w:type="dxa"/>
              <w:bottom w:w="-1" w:type="dxa"/>
              <w:right w:w="-1" w:type="dxa"/>
            </w:tcMar>
            <w:vAlign w:val="center"/>
          </w:tcPr>
          <w:p w14:paraId="7A2C6EF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0.05</w:t>
            </w:r>
          </w:p>
        </w:tc>
        <w:tc>
          <w:tcPr>
            <w:tcW w:w="868" w:type="dxa"/>
            <w:tcBorders>
              <w:top w:val="single" w:color="auto" w:sz="4" w:space="0"/>
              <w:left w:val="single" w:color="auto" w:sz="4" w:space="0"/>
              <w:bottom w:val="nil"/>
              <w:right w:val="nil"/>
            </w:tcBorders>
            <w:tcMar>
              <w:top w:w="-1" w:type="dxa"/>
              <w:left w:w="-1" w:type="dxa"/>
              <w:bottom w:w="-1" w:type="dxa"/>
              <w:right w:w="-1" w:type="dxa"/>
            </w:tcMar>
            <w:vAlign w:val="center"/>
          </w:tcPr>
          <w:p w14:paraId="6BE225D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8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E8548B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731,198</w:t>
            </w:r>
          </w:p>
        </w:tc>
      </w:tr>
      <w:tr w14:paraId="4320148B">
        <w:tblPrEx>
          <w:tblCellMar>
            <w:top w:w="0" w:type="dxa"/>
            <w:left w:w="108" w:type="dxa"/>
            <w:bottom w:w="0" w:type="dxa"/>
            <w:right w:w="108" w:type="dxa"/>
          </w:tblCellMar>
        </w:tblPrEx>
        <w:trPr>
          <w:cantSplit/>
          <w:trHeight w:val="283" w:hRule="atLeast"/>
          <w:jc w:val="center"/>
        </w:trPr>
        <w:tc>
          <w:tcPr>
            <w:tcW w:w="1301" w:type="dxa"/>
            <w:tcBorders>
              <w:top w:val="single" w:color="auto" w:sz="4" w:space="0"/>
              <w:left w:val="single" w:color="auto" w:sz="4" w:space="0"/>
              <w:bottom w:val="nil"/>
              <w:right w:val="nil"/>
            </w:tcBorders>
            <w:tcMar>
              <w:top w:w="-1" w:type="dxa"/>
              <w:left w:w="-1" w:type="dxa"/>
              <w:bottom w:w="-1" w:type="dxa"/>
              <w:right w:w="-1" w:type="dxa"/>
            </w:tcMar>
            <w:vAlign w:val="center"/>
          </w:tcPr>
          <w:p w14:paraId="4871EC1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Canada</w:t>
            </w:r>
          </w:p>
        </w:tc>
        <w:tc>
          <w:tcPr>
            <w:tcW w:w="933" w:type="dxa"/>
            <w:tcBorders>
              <w:top w:val="single" w:color="auto" w:sz="4" w:space="0"/>
              <w:left w:val="single" w:color="auto" w:sz="4" w:space="0"/>
              <w:bottom w:val="nil"/>
              <w:right w:val="nil"/>
            </w:tcBorders>
            <w:tcMar>
              <w:top w:w="-1" w:type="dxa"/>
              <w:left w:w="-1" w:type="dxa"/>
              <w:bottom w:w="-1" w:type="dxa"/>
              <w:right w:w="-1" w:type="dxa"/>
            </w:tcMar>
            <w:vAlign w:val="center"/>
          </w:tcPr>
          <w:p w14:paraId="342C592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4.83</w:t>
            </w:r>
          </w:p>
        </w:tc>
        <w:tc>
          <w:tcPr>
            <w:tcW w:w="904" w:type="dxa"/>
            <w:tcBorders>
              <w:top w:val="single" w:color="auto" w:sz="4" w:space="0"/>
              <w:left w:val="single" w:color="auto" w:sz="4" w:space="0"/>
              <w:bottom w:val="nil"/>
              <w:right w:val="nil"/>
            </w:tcBorders>
            <w:tcMar>
              <w:top w:w="-1" w:type="dxa"/>
              <w:left w:w="-1" w:type="dxa"/>
              <w:bottom w:w="-1" w:type="dxa"/>
              <w:right w:w="-1" w:type="dxa"/>
            </w:tcMar>
            <w:vAlign w:val="center"/>
          </w:tcPr>
          <w:p w14:paraId="2EFEECE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3.49</w:t>
            </w:r>
          </w:p>
        </w:tc>
        <w:tc>
          <w:tcPr>
            <w:tcW w:w="1099" w:type="dxa"/>
            <w:tcBorders>
              <w:top w:val="single" w:color="auto" w:sz="4" w:space="0"/>
              <w:left w:val="single" w:color="auto" w:sz="4" w:space="0"/>
              <w:bottom w:val="nil"/>
              <w:right w:val="nil"/>
            </w:tcBorders>
            <w:tcMar>
              <w:top w:w="-1" w:type="dxa"/>
              <w:left w:w="-1" w:type="dxa"/>
              <w:bottom w:w="-1" w:type="dxa"/>
              <w:right w:w="-1" w:type="dxa"/>
            </w:tcMar>
            <w:vAlign w:val="center"/>
          </w:tcPr>
          <w:p w14:paraId="099E06D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1.34</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3EE936E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4.83</w:t>
            </w:r>
          </w:p>
        </w:tc>
        <w:tc>
          <w:tcPr>
            <w:tcW w:w="1015" w:type="dxa"/>
            <w:tcBorders>
              <w:top w:val="single" w:color="auto" w:sz="4" w:space="0"/>
              <w:left w:val="single" w:color="auto" w:sz="4" w:space="0"/>
              <w:bottom w:val="nil"/>
              <w:right w:val="nil"/>
            </w:tcBorders>
            <w:tcMar>
              <w:top w:w="-1" w:type="dxa"/>
              <w:left w:w="-1" w:type="dxa"/>
              <w:bottom w:w="-1" w:type="dxa"/>
              <w:right w:w="-1" w:type="dxa"/>
            </w:tcMar>
            <w:vAlign w:val="center"/>
          </w:tcPr>
          <w:p w14:paraId="5BAF0D4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3.93</w:t>
            </w:r>
          </w:p>
        </w:tc>
        <w:tc>
          <w:tcPr>
            <w:tcW w:w="895" w:type="dxa"/>
            <w:tcBorders>
              <w:top w:val="single" w:color="auto" w:sz="4" w:space="0"/>
              <w:left w:val="single" w:color="auto" w:sz="4" w:space="0"/>
              <w:bottom w:val="nil"/>
              <w:right w:val="nil"/>
            </w:tcBorders>
            <w:tcMar>
              <w:top w:w="-1" w:type="dxa"/>
              <w:left w:w="-1" w:type="dxa"/>
              <w:bottom w:w="-1" w:type="dxa"/>
              <w:right w:w="-1" w:type="dxa"/>
            </w:tcMar>
            <w:vAlign w:val="center"/>
          </w:tcPr>
          <w:p w14:paraId="28599D7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0.90</w:t>
            </w:r>
          </w:p>
        </w:tc>
        <w:tc>
          <w:tcPr>
            <w:tcW w:w="859" w:type="dxa"/>
            <w:tcBorders>
              <w:top w:val="single" w:color="auto" w:sz="4" w:space="0"/>
              <w:left w:val="single" w:color="auto" w:sz="4" w:space="0"/>
              <w:bottom w:val="nil"/>
              <w:right w:val="nil"/>
            </w:tcBorders>
            <w:tcMar>
              <w:top w:w="-1" w:type="dxa"/>
              <w:left w:w="-1" w:type="dxa"/>
              <w:bottom w:w="-1" w:type="dxa"/>
              <w:right w:w="-1" w:type="dxa"/>
            </w:tcMar>
            <w:vAlign w:val="center"/>
          </w:tcPr>
          <w:p w14:paraId="3F75AD1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0.05</w:t>
            </w:r>
          </w:p>
        </w:tc>
        <w:tc>
          <w:tcPr>
            <w:tcW w:w="868" w:type="dxa"/>
            <w:tcBorders>
              <w:top w:val="single" w:color="auto" w:sz="4" w:space="0"/>
              <w:left w:val="single" w:color="auto" w:sz="4" w:space="0"/>
              <w:bottom w:val="nil"/>
              <w:right w:val="nil"/>
            </w:tcBorders>
            <w:tcMar>
              <w:top w:w="-1" w:type="dxa"/>
              <w:left w:w="-1" w:type="dxa"/>
              <w:bottom w:w="-1" w:type="dxa"/>
              <w:right w:w="-1" w:type="dxa"/>
            </w:tcMar>
            <w:vAlign w:val="center"/>
          </w:tcPr>
          <w:p w14:paraId="00C7E15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8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EA3C85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639,577</w:t>
            </w:r>
          </w:p>
        </w:tc>
      </w:tr>
      <w:tr w14:paraId="3174215F">
        <w:tblPrEx>
          <w:tblCellMar>
            <w:top w:w="0" w:type="dxa"/>
            <w:left w:w="108" w:type="dxa"/>
            <w:bottom w:w="0" w:type="dxa"/>
            <w:right w:w="108" w:type="dxa"/>
          </w:tblCellMar>
        </w:tblPrEx>
        <w:trPr>
          <w:cantSplit/>
          <w:trHeight w:val="283" w:hRule="atLeast"/>
          <w:jc w:val="center"/>
        </w:trPr>
        <w:tc>
          <w:tcPr>
            <w:tcW w:w="1301" w:type="dxa"/>
            <w:tcBorders>
              <w:top w:val="single" w:color="auto" w:sz="4" w:space="0"/>
              <w:left w:val="single" w:color="auto" w:sz="4" w:space="0"/>
              <w:bottom w:val="nil"/>
              <w:right w:val="nil"/>
            </w:tcBorders>
            <w:tcMar>
              <w:top w:w="-1" w:type="dxa"/>
              <w:left w:w="-1" w:type="dxa"/>
              <w:bottom w:w="-1" w:type="dxa"/>
              <w:right w:w="-1" w:type="dxa"/>
            </w:tcMar>
            <w:vAlign w:val="center"/>
          </w:tcPr>
          <w:p w14:paraId="2782E49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Australia</w:t>
            </w:r>
          </w:p>
        </w:tc>
        <w:tc>
          <w:tcPr>
            <w:tcW w:w="933" w:type="dxa"/>
            <w:tcBorders>
              <w:top w:val="single" w:color="auto" w:sz="4" w:space="0"/>
              <w:left w:val="single" w:color="auto" w:sz="4" w:space="0"/>
              <w:bottom w:val="nil"/>
              <w:right w:val="nil"/>
            </w:tcBorders>
            <w:tcMar>
              <w:top w:w="-1" w:type="dxa"/>
              <w:left w:w="-1" w:type="dxa"/>
              <w:bottom w:w="-1" w:type="dxa"/>
              <w:right w:w="-1" w:type="dxa"/>
            </w:tcMar>
            <w:vAlign w:val="center"/>
          </w:tcPr>
          <w:p w14:paraId="174D6AE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5.39</w:t>
            </w:r>
          </w:p>
        </w:tc>
        <w:tc>
          <w:tcPr>
            <w:tcW w:w="904" w:type="dxa"/>
            <w:tcBorders>
              <w:top w:val="single" w:color="auto" w:sz="4" w:space="0"/>
              <w:left w:val="single" w:color="auto" w:sz="4" w:space="0"/>
              <w:bottom w:val="nil"/>
              <w:right w:val="nil"/>
            </w:tcBorders>
            <w:tcMar>
              <w:top w:w="-1" w:type="dxa"/>
              <w:left w:w="-1" w:type="dxa"/>
              <w:bottom w:w="-1" w:type="dxa"/>
              <w:right w:w="-1" w:type="dxa"/>
            </w:tcMar>
            <w:vAlign w:val="center"/>
          </w:tcPr>
          <w:p w14:paraId="79958B4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3.79</w:t>
            </w:r>
          </w:p>
        </w:tc>
        <w:tc>
          <w:tcPr>
            <w:tcW w:w="1099" w:type="dxa"/>
            <w:tcBorders>
              <w:top w:val="single" w:color="auto" w:sz="4" w:space="0"/>
              <w:left w:val="single" w:color="auto" w:sz="4" w:space="0"/>
              <w:bottom w:val="nil"/>
              <w:right w:val="nil"/>
            </w:tcBorders>
            <w:tcMar>
              <w:top w:w="-1" w:type="dxa"/>
              <w:left w:w="-1" w:type="dxa"/>
              <w:bottom w:w="-1" w:type="dxa"/>
              <w:right w:w="-1" w:type="dxa"/>
            </w:tcMar>
            <w:vAlign w:val="center"/>
          </w:tcPr>
          <w:p w14:paraId="18A69BB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1.60</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0C117B5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5.39</w:t>
            </w:r>
          </w:p>
        </w:tc>
        <w:tc>
          <w:tcPr>
            <w:tcW w:w="1015" w:type="dxa"/>
            <w:tcBorders>
              <w:top w:val="single" w:color="auto" w:sz="4" w:space="0"/>
              <w:left w:val="single" w:color="auto" w:sz="4" w:space="0"/>
              <w:bottom w:val="nil"/>
              <w:right w:val="nil"/>
            </w:tcBorders>
            <w:tcMar>
              <w:top w:w="-1" w:type="dxa"/>
              <w:left w:w="-1" w:type="dxa"/>
              <w:bottom w:w="-1" w:type="dxa"/>
              <w:right w:w="-1" w:type="dxa"/>
            </w:tcMar>
            <w:vAlign w:val="center"/>
          </w:tcPr>
          <w:p w14:paraId="47977E4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4.37</w:t>
            </w:r>
          </w:p>
        </w:tc>
        <w:tc>
          <w:tcPr>
            <w:tcW w:w="895" w:type="dxa"/>
            <w:tcBorders>
              <w:top w:val="single" w:color="auto" w:sz="4" w:space="0"/>
              <w:left w:val="single" w:color="auto" w:sz="4" w:space="0"/>
              <w:bottom w:val="nil"/>
              <w:right w:val="nil"/>
            </w:tcBorders>
            <w:tcMar>
              <w:top w:w="-1" w:type="dxa"/>
              <w:left w:w="-1" w:type="dxa"/>
              <w:bottom w:w="-1" w:type="dxa"/>
              <w:right w:w="-1" w:type="dxa"/>
            </w:tcMar>
            <w:vAlign w:val="center"/>
          </w:tcPr>
          <w:p w14:paraId="60223C1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1.02</w:t>
            </w:r>
          </w:p>
        </w:tc>
        <w:tc>
          <w:tcPr>
            <w:tcW w:w="859" w:type="dxa"/>
            <w:tcBorders>
              <w:top w:val="single" w:color="auto" w:sz="4" w:space="0"/>
              <w:left w:val="single" w:color="auto" w:sz="4" w:space="0"/>
              <w:bottom w:val="nil"/>
              <w:right w:val="nil"/>
            </w:tcBorders>
            <w:tcMar>
              <w:top w:w="-1" w:type="dxa"/>
              <w:left w:w="-1" w:type="dxa"/>
              <w:bottom w:w="-1" w:type="dxa"/>
              <w:right w:w="-1" w:type="dxa"/>
            </w:tcMar>
            <w:vAlign w:val="center"/>
          </w:tcPr>
          <w:p w14:paraId="79A22D3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0.06</w:t>
            </w:r>
          </w:p>
        </w:tc>
        <w:tc>
          <w:tcPr>
            <w:tcW w:w="868" w:type="dxa"/>
            <w:tcBorders>
              <w:top w:val="single" w:color="auto" w:sz="4" w:space="0"/>
              <w:left w:val="single" w:color="auto" w:sz="4" w:space="0"/>
              <w:bottom w:val="nil"/>
              <w:right w:val="nil"/>
            </w:tcBorders>
            <w:tcMar>
              <w:top w:w="-1" w:type="dxa"/>
              <w:left w:w="-1" w:type="dxa"/>
              <w:bottom w:w="-1" w:type="dxa"/>
              <w:right w:w="-1" w:type="dxa"/>
            </w:tcMar>
            <w:vAlign w:val="center"/>
          </w:tcPr>
          <w:p w14:paraId="613CB44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8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76F099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544,901</w:t>
            </w:r>
          </w:p>
        </w:tc>
      </w:tr>
      <w:tr w14:paraId="5A0307D3">
        <w:tblPrEx>
          <w:tblCellMar>
            <w:top w:w="0" w:type="dxa"/>
            <w:left w:w="108" w:type="dxa"/>
            <w:bottom w:w="0" w:type="dxa"/>
            <w:right w:w="108" w:type="dxa"/>
          </w:tblCellMar>
        </w:tblPrEx>
        <w:trPr>
          <w:cantSplit/>
          <w:trHeight w:val="283" w:hRule="atLeast"/>
          <w:jc w:val="center"/>
        </w:trPr>
        <w:tc>
          <w:tcPr>
            <w:tcW w:w="1301" w:type="dxa"/>
            <w:tcBorders>
              <w:top w:val="single" w:color="auto" w:sz="4" w:space="0"/>
              <w:left w:val="single" w:color="auto" w:sz="4" w:space="0"/>
              <w:bottom w:val="nil"/>
              <w:right w:val="nil"/>
            </w:tcBorders>
            <w:tcMar>
              <w:top w:w="-1" w:type="dxa"/>
              <w:left w:w="-1" w:type="dxa"/>
              <w:bottom w:w="-1" w:type="dxa"/>
              <w:right w:w="-1" w:type="dxa"/>
            </w:tcMar>
            <w:vAlign w:val="center"/>
          </w:tcPr>
          <w:p w14:paraId="3FFC708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Netherlands</w:t>
            </w:r>
          </w:p>
        </w:tc>
        <w:tc>
          <w:tcPr>
            <w:tcW w:w="933" w:type="dxa"/>
            <w:tcBorders>
              <w:top w:val="single" w:color="auto" w:sz="4" w:space="0"/>
              <w:left w:val="single" w:color="auto" w:sz="4" w:space="0"/>
              <w:bottom w:val="nil"/>
              <w:right w:val="nil"/>
            </w:tcBorders>
            <w:tcMar>
              <w:top w:w="-1" w:type="dxa"/>
              <w:left w:w="-1" w:type="dxa"/>
              <w:bottom w:w="-1" w:type="dxa"/>
              <w:right w:w="-1" w:type="dxa"/>
            </w:tcMar>
            <w:vAlign w:val="center"/>
          </w:tcPr>
          <w:p w14:paraId="23E3A51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2.78</w:t>
            </w:r>
          </w:p>
        </w:tc>
        <w:tc>
          <w:tcPr>
            <w:tcW w:w="904" w:type="dxa"/>
            <w:tcBorders>
              <w:top w:val="single" w:color="auto" w:sz="4" w:space="0"/>
              <w:left w:val="single" w:color="auto" w:sz="4" w:space="0"/>
              <w:bottom w:val="nil"/>
              <w:right w:val="nil"/>
            </w:tcBorders>
            <w:tcMar>
              <w:top w:w="-1" w:type="dxa"/>
              <w:left w:w="-1" w:type="dxa"/>
              <w:bottom w:w="-1" w:type="dxa"/>
              <w:right w:w="-1" w:type="dxa"/>
            </w:tcMar>
            <w:vAlign w:val="center"/>
          </w:tcPr>
          <w:p w14:paraId="6E8CEE5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4.07</w:t>
            </w:r>
          </w:p>
        </w:tc>
        <w:tc>
          <w:tcPr>
            <w:tcW w:w="1099" w:type="dxa"/>
            <w:tcBorders>
              <w:top w:val="single" w:color="auto" w:sz="4" w:space="0"/>
              <w:left w:val="single" w:color="auto" w:sz="4" w:space="0"/>
              <w:bottom w:val="nil"/>
              <w:right w:val="nil"/>
            </w:tcBorders>
            <w:tcMar>
              <w:top w:w="-1" w:type="dxa"/>
              <w:left w:w="-1" w:type="dxa"/>
              <w:bottom w:w="-1" w:type="dxa"/>
              <w:right w:w="-1" w:type="dxa"/>
            </w:tcMar>
            <w:vAlign w:val="center"/>
          </w:tcPr>
          <w:p w14:paraId="61D8251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-1.29</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1809411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2.78</w:t>
            </w:r>
          </w:p>
        </w:tc>
        <w:tc>
          <w:tcPr>
            <w:tcW w:w="1015" w:type="dxa"/>
            <w:tcBorders>
              <w:top w:val="single" w:color="auto" w:sz="4" w:space="0"/>
              <w:left w:val="single" w:color="auto" w:sz="4" w:space="0"/>
              <w:bottom w:val="nil"/>
              <w:right w:val="nil"/>
            </w:tcBorders>
            <w:tcMar>
              <w:top w:w="-1" w:type="dxa"/>
              <w:left w:w="-1" w:type="dxa"/>
              <w:bottom w:w="-1" w:type="dxa"/>
              <w:right w:w="-1" w:type="dxa"/>
            </w:tcMar>
            <w:vAlign w:val="center"/>
          </w:tcPr>
          <w:p w14:paraId="32C9A09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2.97</w:t>
            </w:r>
          </w:p>
        </w:tc>
        <w:tc>
          <w:tcPr>
            <w:tcW w:w="895" w:type="dxa"/>
            <w:tcBorders>
              <w:top w:val="single" w:color="auto" w:sz="4" w:space="0"/>
              <w:left w:val="single" w:color="auto" w:sz="4" w:space="0"/>
              <w:bottom w:val="nil"/>
              <w:right w:val="nil"/>
            </w:tcBorders>
            <w:tcMar>
              <w:top w:w="-1" w:type="dxa"/>
              <w:left w:w="-1" w:type="dxa"/>
              <w:bottom w:w="-1" w:type="dxa"/>
              <w:right w:w="-1" w:type="dxa"/>
            </w:tcMar>
            <w:vAlign w:val="center"/>
          </w:tcPr>
          <w:p w14:paraId="54FBE51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-0.19</w:t>
            </w:r>
          </w:p>
        </w:tc>
        <w:tc>
          <w:tcPr>
            <w:tcW w:w="859" w:type="dxa"/>
            <w:tcBorders>
              <w:top w:val="single" w:color="auto" w:sz="4" w:space="0"/>
              <w:left w:val="single" w:color="auto" w:sz="4" w:space="0"/>
              <w:bottom w:val="nil"/>
              <w:right w:val="nil"/>
            </w:tcBorders>
            <w:tcMar>
              <w:top w:w="-1" w:type="dxa"/>
              <w:left w:w="-1" w:type="dxa"/>
              <w:bottom w:w="-1" w:type="dxa"/>
              <w:right w:w="-1" w:type="dxa"/>
            </w:tcMar>
            <w:vAlign w:val="center"/>
          </w:tcPr>
          <w:p w14:paraId="2F0FDD5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0.05</w:t>
            </w:r>
          </w:p>
        </w:tc>
        <w:tc>
          <w:tcPr>
            <w:tcW w:w="868" w:type="dxa"/>
            <w:tcBorders>
              <w:top w:val="single" w:color="auto" w:sz="4" w:space="0"/>
              <w:left w:val="single" w:color="auto" w:sz="4" w:space="0"/>
              <w:bottom w:val="nil"/>
              <w:right w:val="nil"/>
            </w:tcBorders>
            <w:tcMar>
              <w:top w:w="-1" w:type="dxa"/>
              <w:left w:w="-1" w:type="dxa"/>
              <w:bottom w:w="-1" w:type="dxa"/>
              <w:right w:w="-1" w:type="dxa"/>
            </w:tcMar>
            <w:vAlign w:val="center"/>
          </w:tcPr>
          <w:p w14:paraId="6BCF5F2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8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F5F96E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429,053</w:t>
            </w:r>
          </w:p>
        </w:tc>
      </w:tr>
      <w:tr w14:paraId="57B50FE8">
        <w:tblPrEx>
          <w:tblCellMar>
            <w:top w:w="0" w:type="dxa"/>
            <w:left w:w="108" w:type="dxa"/>
            <w:bottom w:w="0" w:type="dxa"/>
            <w:right w:w="108" w:type="dxa"/>
          </w:tblCellMar>
        </w:tblPrEx>
        <w:trPr>
          <w:cantSplit/>
          <w:trHeight w:val="283" w:hRule="atLeast"/>
          <w:jc w:val="center"/>
        </w:trPr>
        <w:tc>
          <w:tcPr>
            <w:tcW w:w="1301" w:type="dxa"/>
            <w:tcBorders>
              <w:top w:val="single" w:color="auto" w:sz="4" w:space="0"/>
              <w:left w:val="single" w:color="auto" w:sz="4" w:space="0"/>
              <w:bottom w:val="nil"/>
              <w:right w:val="nil"/>
            </w:tcBorders>
            <w:tcMar>
              <w:top w:w="-1" w:type="dxa"/>
              <w:left w:w="-1" w:type="dxa"/>
              <w:bottom w:w="-1" w:type="dxa"/>
              <w:right w:w="-1" w:type="dxa"/>
            </w:tcMar>
            <w:vAlign w:val="center"/>
          </w:tcPr>
          <w:p w14:paraId="0060E1F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France</w:t>
            </w:r>
          </w:p>
        </w:tc>
        <w:tc>
          <w:tcPr>
            <w:tcW w:w="933" w:type="dxa"/>
            <w:tcBorders>
              <w:top w:val="single" w:color="auto" w:sz="4" w:space="0"/>
              <w:left w:val="single" w:color="auto" w:sz="4" w:space="0"/>
              <w:bottom w:val="nil"/>
              <w:right w:val="nil"/>
            </w:tcBorders>
            <w:tcMar>
              <w:top w:w="-1" w:type="dxa"/>
              <w:left w:w="-1" w:type="dxa"/>
              <w:bottom w:w="-1" w:type="dxa"/>
              <w:right w:w="-1" w:type="dxa"/>
            </w:tcMar>
            <w:vAlign w:val="center"/>
          </w:tcPr>
          <w:p w14:paraId="03E21F3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3.75</w:t>
            </w:r>
          </w:p>
        </w:tc>
        <w:tc>
          <w:tcPr>
            <w:tcW w:w="904" w:type="dxa"/>
            <w:tcBorders>
              <w:top w:val="single" w:color="auto" w:sz="4" w:space="0"/>
              <w:left w:val="single" w:color="auto" w:sz="4" w:space="0"/>
              <w:bottom w:val="nil"/>
              <w:right w:val="nil"/>
            </w:tcBorders>
            <w:tcMar>
              <w:top w:w="-1" w:type="dxa"/>
              <w:left w:w="-1" w:type="dxa"/>
              <w:bottom w:w="-1" w:type="dxa"/>
              <w:right w:w="-1" w:type="dxa"/>
            </w:tcMar>
            <w:vAlign w:val="center"/>
          </w:tcPr>
          <w:p w14:paraId="55D59BD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2.77</w:t>
            </w:r>
          </w:p>
        </w:tc>
        <w:tc>
          <w:tcPr>
            <w:tcW w:w="1099" w:type="dxa"/>
            <w:tcBorders>
              <w:top w:val="single" w:color="auto" w:sz="4" w:space="0"/>
              <w:left w:val="single" w:color="auto" w:sz="4" w:space="0"/>
              <w:bottom w:val="nil"/>
              <w:right w:val="nil"/>
            </w:tcBorders>
            <w:tcMar>
              <w:top w:w="-1" w:type="dxa"/>
              <w:left w:w="-1" w:type="dxa"/>
              <w:bottom w:w="-1" w:type="dxa"/>
              <w:right w:w="-1" w:type="dxa"/>
            </w:tcMar>
            <w:vAlign w:val="center"/>
          </w:tcPr>
          <w:p w14:paraId="7AE72DC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0.98</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4F81724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3.74</w:t>
            </w:r>
          </w:p>
        </w:tc>
        <w:tc>
          <w:tcPr>
            <w:tcW w:w="1015" w:type="dxa"/>
            <w:tcBorders>
              <w:top w:val="single" w:color="auto" w:sz="4" w:space="0"/>
              <w:left w:val="single" w:color="auto" w:sz="4" w:space="0"/>
              <w:bottom w:val="nil"/>
              <w:right w:val="nil"/>
            </w:tcBorders>
            <w:tcMar>
              <w:top w:w="-1" w:type="dxa"/>
              <w:left w:w="-1" w:type="dxa"/>
              <w:bottom w:w="-1" w:type="dxa"/>
              <w:right w:w="-1" w:type="dxa"/>
            </w:tcMar>
            <w:vAlign w:val="center"/>
          </w:tcPr>
          <w:p w14:paraId="41CCCDC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3.17</w:t>
            </w:r>
          </w:p>
        </w:tc>
        <w:tc>
          <w:tcPr>
            <w:tcW w:w="895" w:type="dxa"/>
            <w:tcBorders>
              <w:top w:val="single" w:color="auto" w:sz="4" w:space="0"/>
              <w:left w:val="single" w:color="auto" w:sz="4" w:space="0"/>
              <w:bottom w:val="nil"/>
              <w:right w:val="nil"/>
            </w:tcBorders>
            <w:tcMar>
              <w:top w:w="-1" w:type="dxa"/>
              <w:left w:w="-1" w:type="dxa"/>
              <w:bottom w:w="-1" w:type="dxa"/>
              <w:right w:w="-1" w:type="dxa"/>
            </w:tcMar>
            <w:vAlign w:val="center"/>
          </w:tcPr>
          <w:p w14:paraId="7CC90B3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0.57</w:t>
            </w:r>
          </w:p>
        </w:tc>
        <w:tc>
          <w:tcPr>
            <w:tcW w:w="859" w:type="dxa"/>
            <w:tcBorders>
              <w:top w:val="single" w:color="auto" w:sz="4" w:space="0"/>
              <w:left w:val="single" w:color="auto" w:sz="4" w:space="0"/>
              <w:bottom w:val="nil"/>
              <w:right w:val="nil"/>
            </w:tcBorders>
            <w:tcMar>
              <w:top w:w="-1" w:type="dxa"/>
              <w:left w:w="-1" w:type="dxa"/>
              <w:bottom w:w="-1" w:type="dxa"/>
              <w:right w:w="-1" w:type="dxa"/>
            </w:tcMar>
            <w:vAlign w:val="center"/>
          </w:tcPr>
          <w:p w14:paraId="5F0B3E0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0.09</w:t>
            </w:r>
          </w:p>
        </w:tc>
        <w:tc>
          <w:tcPr>
            <w:tcW w:w="868" w:type="dxa"/>
            <w:tcBorders>
              <w:top w:val="single" w:color="auto" w:sz="4" w:space="0"/>
              <w:left w:val="single" w:color="auto" w:sz="4" w:space="0"/>
              <w:bottom w:val="nil"/>
              <w:right w:val="nil"/>
            </w:tcBorders>
            <w:tcMar>
              <w:top w:w="-1" w:type="dxa"/>
              <w:left w:w="-1" w:type="dxa"/>
              <w:bottom w:w="-1" w:type="dxa"/>
              <w:right w:w="-1" w:type="dxa"/>
            </w:tcMar>
            <w:vAlign w:val="center"/>
          </w:tcPr>
          <w:p w14:paraId="50E1B9A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8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2A98B7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355,715</w:t>
            </w:r>
          </w:p>
        </w:tc>
      </w:tr>
      <w:tr w14:paraId="57285B87">
        <w:tblPrEx>
          <w:tblCellMar>
            <w:top w:w="0" w:type="dxa"/>
            <w:left w:w="108" w:type="dxa"/>
            <w:bottom w:w="0" w:type="dxa"/>
            <w:right w:w="108" w:type="dxa"/>
          </w:tblCellMar>
        </w:tblPrEx>
        <w:trPr>
          <w:cantSplit/>
          <w:trHeight w:val="283" w:hRule="atLeast"/>
          <w:jc w:val="center"/>
        </w:trPr>
        <w:tc>
          <w:tcPr>
            <w:tcW w:w="1301" w:type="dxa"/>
            <w:tcBorders>
              <w:top w:val="single" w:color="auto" w:sz="4" w:space="0"/>
              <w:left w:val="single" w:color="auto" w:sz="4" w:space="0"/>
              <w:bottom w:val="nil"/>
              <w:right w:val="nil"/>
            </w:tcBorders>
            <w:tcMar>
              <w:top w:w="-1" w:type="dxa"/>
              <w:left w:w="-1" w:type="dxa"/>
              <w:bottom w:w="-1" w:type="dxa"/>
              <w:right w:w="-1" w:type="dxa"/>
            </w:tcMar>
            <w:vAlign w:val="center"/>
          </w:tcPr>
          <w:p w14:paraId="42574EB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Italy</w:t>
            </w:r>
          </w:p>
        </w:tc>
        <w:tc>
          <w:tcPr>
            <w:tcW w:w="933" w:type="dxa"/>
            <w:tcBorders>
              <w:top w:val="single" w:color="auto" w:sz="4" w:space="0"/>
              <w:left w:val="single" w:color="auto" w:sz="4" w:space="0"/>
              <w:bottom w:val="nil"/>
              <w:right w:val="nil"/>
            </w:tcBorders>
            <w:tcMar>
              <w:top w:w="-1" w:type="dxa"/>
              <w:left w:w="-1" w:type="dxa"/>
              <w:bottom w:w="-1" w:type="dxa"/>
              <w:right w:w="-1" w:type="dxa"/>
            </w:tcMar>
            <w:vAlign w:val="center"/>
          </w:tcPr>
          <w:p w14:paraId="5FF6682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2.77</w:t>
            </w:r>
          </w:p>
        </w:tc>
        <w:tc>
          <w:tcPr>
            <w:tcW w:w="904" w:type="dxa"/>
            <w:tcBorders>
              <w:top w:val="single" w:color="auto" w:sz="4" w:space="0"/>
              <w:left w:val="single" w:color="auto" w:sz="4" w:space="0"/>
              <w:bottom w:val="nil"/>
              <w:right w:val="nil"/>
            </w:tcBorders>
            <w:tcMar>
              <w:top w:w="-1" w:type="dxa"/>
              <w:left w:w="-1" w:type="dxa"/>
              <w:bottom w:w="-1" w:type="dxa"/>
              <w:right w:w="-1" w:type="dxa"/>
            </w:tcMar>
            <w:vAlign w:val="center"/>
          </w:tcPr>
          <w:p w14:paraId="0F30C98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2.43</w:t>
            </w:r>
          </w:p>
        </w:tc>
        <w:tc>
          <w:tcPr>
            <w:tcW w:w="1099" w:type="dxa"/>
            <w:tcBorders>
              <w:top w:val="single" w:color="auto" w:sz="4" w:space="0"/>
              <w:left w:val="single" w:color="auto" w:sz="4" w:space="0"/>
              <w:bottom w:val="nil"/>
              <w:right w:val="nil"/>
            </w:tcBorders>
            <w:tcMar>
              <w:top w:w="-1" w:type="dxa"/>
              <w:left w:w="-1" w:type="dxa"/>
              <w:bottom w:w="-1" w:type="dxa"/>
              <w:right w:w="-1" w:type="dxa"/>
            </w:tcMar>
            <w:vAlign w:val="center"/>
          </w:tcPr>
          <w:p w14:paraId="1D1BFD1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0.34</w:t>
            </w:r>
          </w:p>
        </w:tc>
        <w:tc>
          <w:tcPr>
            <w:tcW w:w="1043" w:type="dxa"/>
            <w:tcBorders>
              <w:top w:val="single" w:color="auto" w:sz="4" w:space="0"/>
              <w:left w:val="single" w:color="auto" w:sz="4" w:space="0"/>
              <w:bottom w:val="nil"/>
              <w:right w:val="nil"/>
            </w:tcBorders>
            <w:tcMar>
              <w:top w:w="-1" w:type="dxa"/>
              <w:left w:w="-1" w:type="dxa"/>
              <w:bottom w:w="-1" w:type="dxa"/>
              <w:right w:w="-1" w:type="dxa"/>
            </w:tcMar>
            <w:vAlign w:val="center"/>
          </w:tcPr>
          <w:p w14:paraId="1EA429F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2.77</w:t>
            </w:r>
          </w:p>
        </w:tc>
        <w:tc>
          <w:tcPr>
            <w:tcW w:w="1015" w:type="dxa"/>
            <w:tcBorders>
              <w:top w:val="single" w:color="auto" w:sz="4" w:space="0"/>
              <w:left w:val="single" w:color="auto" w:sz="4" w:space="0"/>
              <w:bottom w:val="nil"/>
              <w:right w:val="nil"/>
            </w:tcBorders>
            <w:tcMar>
              <w:top w:w="-1" w:type="dxa"/>
              <w:left w:w="-1" w:type="dxa"/>
              <w:bottom w:w="-1" w:type="dxa"/>
              <w:right w:w="-1" w:type="dxa"/>
            </w:tcMar>
            <w:vAlign w:val="center"/>
          </w:tcPr>
          <w:p w14:paraId="6BB0738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2.35</w:t>
            </w:r>
          </w:p>
        </w:tc>
        <w:tc>
          <w:tcPr>
            <w:tcW w:w="895" w:type="dxa"/>
            <w:tcBorders>
              <w:top w:val="single" w:color="auto" w:sz="4" w:space="0"/>
              <w:left w:val="single" w:color="auto" w:sz="4" w:space="0"/>
              <w:bottom w:val="nil"/>
              <w:right w:val="nil"/>
            </w:tcBorders>
            <w:tcMar>
              <w:top w:w="-1" w:type="dxa"/>
              <w:left w:w="-1" w:type="dxa"/>
              <w:bottom w:w="-1" w:type="dxa"/>
              <w:right w:w="-1" w:type="dxa"/>
            </w:tcMar>
            <w:vAlign w:val="center"/>
          </w:tcPr>
          <w:p w14:paraId="6DC7B6A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0.42</w:t>
            </w:r>
          </w:p>
        </w:tc>
        <w:tc>
          <w:tcPr>
            <w:tcW w:w="859" w:type="dxa"/>
            <w:tcBorders>
              <w:top w:val="single" w:color="auto" w:sz="4" w:space="0"/>
              <w:left w:val="single" w:color="auto" w:sz="4" w:space="0"/>
              <w:bottom w:val="nil"/>
              <w:right w:val="nil"/>
            </w:tcBorders>
            <w:tcMar>
              <w:top w:w="-1" w:type="dxa"/>
              <w:left w:w="-1" w:type="dxa"/>
              <w:bottom w:w="-1" w:type="dxa"/>
              <w:right w:w="-1" w:type="dxa"/>
            </w:tcMar>
            <w:vAlign w:val="center"/>
          </w:tcPr>
          <w:p w14:paraId="0DF4F3F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0.06</w:t>
            </w:r>
          </w:p>
        </w:tc>
        <w:tc>
          <w:tcPr>
            <w:tcW w:w="868" w:type="dxa"/>
            <w:tcBorders>
              <w:top w:val="single" w:color="auto" w:sz="4" w:space="0"/>
              <w:left w:val="single" w:color="auto" w:sz="4" w:space="0"/>
              <w:bottom w:val="nil"/>
              <w:right w:val="nil"/>
            </w:tcBorders>
            <w:tcMar>
              <w:top w:w="-1" w:type="dxa"/>
              <w:left w:w="-1" w:type="dxa"/>
              <w:bottom w:w="-1" w:type="dxa"/>
              <w:right w:w="-1" w:type="dxa"/>
            </w:tcMar>
            <w:vAlign w:val="center"/>
          </w:tcPr>
          <w:p w14:paraId="20E761E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8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F9B9A5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389,720</w:t>
            </w:r>
          </w:p>
        </w:tc>
      </w:tr>
      <w:tr w14:paraId="280184A7">
        <w:tblPrEx>
          <w:tblCellMar>
            <w:top w:w="0" w:type="dxa"/>
            <w:left w:w="108" w:type="dxa"/>
            <w:bottom w:w="0" w:type="dxa"/>
            <w:right w:w="108" w:type="dxa"/>
          </w:tblCellMar>
        </w:tblPrEx>
        <w:trPr>
          <w:cantSplit/>
          <w:trHeight w:val="283" w:hRule="atLeast"/>
          <w:jc w:val="center"/>
        </w:trPr>
        <w:tc>
          <w:tcPr>
            <w:tcW w:w="130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CF05C5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Spain</w:t>
            </w:r>
          </w:p>
        </w:tc>
        <w:tc>
          <w:tcPr>
            <w:tcW w:w="93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A32E40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4.34</w:t>
            </w:r>
          </w:p>
        </w:tc>
        <w:tc>
          <w:tcPr>
            <w:tcW w:w="90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22B17E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4.35</w:t>
            </w:r>
          </w:p>
        </w:tc>
        <w:tc>
          <w:tcPr>
            <w:tcW w:w="109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7906B0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-0.02</w:t>
            </w:r>
          </w:p>
        </w:tc>
        <w:tc>
          <w:tcPr>
            <w:tcW w:w="104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40DD20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4.32</w:t>
            </w:r>
          </w:p>
        </w:tc>
        <w:tc>
          <w:tcPr>
            <w:tcW w:w="101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76C900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4.11</w:t>
            </w:r>
          </w:p>
        </w:tc>
        <w:tc>
          <w:tcPr>
            <w:tcW w:w="89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BC9D4A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0.21</w:t>
            </w:r>
          </w:p>
        </w:tc>
        <w:tc>
          <w:tcPr>
            <w:tcW w:w="85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ABB127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0.10</w:t>
            </w:r>
          </w:p>
        </w:tc>
        <w:tc>
          <w:tcPr>
            <w:tcW w:w="86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2CA8BE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0.044</w:t>
            </w:r>
          </w:p>
        </w:tc>
        <w:tc>
          <w:tcPr>
            <w:tcW w:w="1087"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1C73E88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202,352</w:t>
            </w:r>
          </w:p>
        </w:tc>
      </w:tr>
    </w:tbl>
    <w:p w14:paraId="1327DE47">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E. Matching and common-support diagnostics</w:t>
      </w:r>
    </w:p>
    <w:tbl>
      <w:tblPr>
        <w:tblStyle w:val="5"/>
        <w:tblW w:w="0" w:type="auto"/>
        <w:jc w:val="center"/>
        <w:tblLayout w:type="fixed"/>
        <w:tblCellMar>
          <w:top w:w="0" w:type="dxa"/>
          <w:left w:w="108" w:type="dxa"/>
          <w:bottom w:w="0" w:type="dxa"/>
          <w:right w:w="108" w:type="dxa"/>
        </w:tblCellMar>
      </w:tblPr>
      <w:tblGrid>
        <w:gridCol w:w="4935"/>
        <w:gridCol w:w="1726"/>
        <w:gridCol w:w="1598"/>
      </w:tblGrid>
      <w:tr w14:paraId="42836679">
        <w:tblPrEx>
          <w:tblCellMar>
            <w:top w:w="0" w:type="dxa"/>
            <w:left w:w="108" w:type="dxa"/>
            <w:bottom w:w="0" w:type="dxa"/>
            <w:right w:w="108" w:type="dxa"/>
          </w:tblCellMar>
        </w:tblPrEx>
        <w:trPr>
          <w:cantSplit/>
          <w:trHeight w:val="283" w:hRule="atLeast"/>
          <w:tblHeader/>
          <w:jc w:val="center"/>
        </w:trPr>
        <w:tc>
          <w:tcPr>
            <w:tcW w:w="4935" w:type="dxa"/>
            <w:tcBorders>
              <w:top w:val="single" w:color="auto" w:sz="4" w:space="0"/>
              <w:left w:val="single" w:color="auto" w:sz="4" w:space="0"/>
              <w:bottom w:val="nil"/>
              <w:right w:val="nil"/>
            </w:tcBorders>
            <w:tcMar>
              <w:top w:w="-1" w:type="dxa"/>
              <w:left w:w="-1" w:type="dxa"/>
              <w:bottom w:w="-1" w:type="dxa"/>
              <w:right w:w="-1" w:type="dxa"/>
            </w:tcMar>
            <w:vAlign w:val="center"/>
          </w:tcPr>
          <w:p w14:paraId="3FFBC186">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Diagnostic</w:t>
            </w:r>
          </w:p>
        </w:tc>
        <w:tc>
          <w:tcPr>
            <w:tcW w:w="1726" w:type="dxa"/>
            <w:tcBorders>
              <w:top w:val="single" w:color="auto" w:sz="4" w:space="0"/>
              <w:left w:val="single" w:color="auto" w:sz="4" w:space="0"/>
              <w:bottom w:val="nil"/>
              <w:right w:val="nil"/>
            </w:tcBorders>
            <w:tcMar>
              <w:top w:w="-1" w:type="dxa"/>
              <w:left w:w="-1" w:type="dxa"/>
              <w:bottom w:w="-1" w:type="dxa"/>
              <w:right w:w="-1" w:type="dxa"/>
            </w:tcMar>
            <w:vAlign w:val="center"/>
          </w:tcPr>
          <w:p w14:paraId="74B2C50D">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Before matching</w:t>
            </w:r>
          </w:p>
        </w:tc>
        <w:tc>
          <w:tcPr>
            <w:tcW w:w="159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661C69E">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After matching</w:t>
            </w:r>
          </w:p>
        </w:tc>
      </w:tr>
      <w:tr w14:paraId="3F5EF6CF">
        <w:tblPrEx>
          <w:tblCellMar>
            <w:top w:w="0" w:type="dxa"/>
            <w:left w:w="108" w:type="dxa"/>
            <w:bottom w:w="0" w:type="dxa"/>
            <w:right w:w="108" w:type="dxa"/>
          </w:tblCellMar>
        </w:tblPrEx>
        <w:trPr>
          <w:cantSplit/>
          <w:trHeight w:val="283" w:hRule="atLeast"/>
          <w:jc w:val="center"/>
        </w:trPr>
        <w:tc>
          <w:tcPr>
            <w:tcW w:w="4935" w:type="dxa"/>
            <w:tcBorders>
              <w:top w:val="single" w:color="auto" w:sz="4" w:space="0"/>
              <w:left w:val="single" w:color="auto" w:sz="4" w:space="0"/>
              <w:bottom w:val="nil"/>
              <w:right w:val="nil"/>
            </w:tcBorders>
            <w:tcMar>
              <w:top w:w="-1" w:type="dxa"/>
              <w:left w:w="-1" w:type="dxa"/>
              <w:bottom w:w="-1" w:type="dxa"/>
              <w:right w:w="-1" w:type="dxa"/>
            </w:tcMar>
            <w:vAlign w:val="center"/>
          </w:tcPr>
          <w:p w14:paraId="7C3AA41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Treated observations</w:t>
            </w:r>
          </w:p>
        </w:tc>
        <w:tc>
          <w:tcPr>
            <w:tcW w:w="1726" w:type="dxa"/>
            <w:tcBorders>
              <w:top w:val="single" w:color="auto" w:sz="4" w:space="0"/>
              <w:left w:val="single" w:color="auto" w:sz="4" w:space="0"/>
              <w:bottom w:val="nil"/>
              <w:right w:val="nil"/>
            </w:tcBorders>
            <w:tcMar>
              <w:top w:w="-1" w:type="dxa"/>
              <w:left w:w="-1" w:type="dxa"/>
              <w:bottom w:w="-1" w:type="dxa"/>
              <w:right w:w="-1" w:type="dxa"/>
            </w:tcMar>
            <w:vAlign w:val="center"/>
          </w:tcPr>
          <w:p w14:paraId="4C030FD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3,577,142</w:t>
            </w:r>
          </w:p>
        </w:tc>
        <w:tc>
          <w:tcPr>
            <w:tcW w:w="159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8FACBD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3,576,172</w:t>
            </w:r>
          </w:p>
        </w:tc>
      </w:tr>
      <w:tr w14:paraId="6BB96739">
        <w:tblPrEx>
          <w:tblCellMar>
            <w:top w:w="0" w:type="dxa"/>
            <w:left w:w="108" w:type="dxa"/>
            <w:bottom w:w="0" w:type="dxa"/>
            <w:right w:w="108" w:type="dxa"/>
          </w:tblCellMar>
        </w:tblPrEx>
        <w:trPr>
          <w:cantSplit/>
          <w:trHeight w:val="283" w:hRule="atLeast"/>
          <w:jc w:val="center"/>
        </w:trPr>
        <w:tc>
          <w:tcPr>
            <w:tcW w:w="4935" w:type="dxa"/>
            <w:tcBorders>
              <w:top w:val="single" w:color="auto" w:sz="4" w:space="0"/>
              <w:left w:val="single" w:color="auto" w:sz="4" w:space="0"/>
              <w:bottom w:val="nil"/>
              <w:right w:val="nil"/>
            </w:tcBorders>
            <w:tcMar>
              <w:top w:w="-1" w:type="dxa"/>
              <w:left w:w="-1" w:type="dxa"/>
              <w:bottom w:w="-1" w:type="dxa"/>
              <w:right w:w="-1" w:type="dxa"/>
            </w:tcMar>
            <w:vAlign w:val="center"/>
          </w:tcPr>
          <w:p w14:paraId="2100FD2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Control observations</w:t>
            </w:r>
          </w:p>
        </w:tc>
        <w:tc>
          <w:tcPr>
            <w:tcW w:w="1726" w:type="dxa"/>
            <w:tcBorders>
              <w:top w:val="single" w:color="auto" w:sz="4" w:space="0"/>
              <w:left w:val="single" w:color="auto" w:sz="4" w:space="0"/>
              <w:bottom w:val="nil"/>
              <w:right w:val="nil"/>
            </w:tcBorders>
            <w:tcMar>
              <w:top w:w="-1" w:type="dxa"/>
              <w:left w:w="-1" w:type="dxa"/>
              <w:bottom w:w="-1" w:type="dxa"/>
              <w:right w:w="-1" w:type="dxa"/>
            </w:tcMar>
            <w:vAlign w:val="center"/>
          </w:tcPr>
          <w:p w14:paraId="1639484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9,083,230</w:t>
            </w:r>
          </w:p>
        </w:tc>
        <w:tc>
          <w:tcPr>
            <w:tcW w:w="159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FBB7B3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9,073,930</w:t>
            </w:r>
          </w:p>
        </w:tc>
      </w:tr>
      <w:tr w14:paraId="1654AE3D">
        <w:tblPrEx>
          <w:tblCellMar>
            <w:top w:w="0" w:type="dxa"/>
            <w:left w:w="108" w:type="dxa"/>
            <w:bottom w:w="0" w:type="dxa"/>
            <w:right w:w="108" w:type="dxa"/>
          </w:tblCellMar>
        </w:tblPrEx>
        <w:trPr>
          <w:cantSplit/>
          <w:trHeight w:val="283" w:hRule="atLeast"/>
          <w:jc w:val="center"/>
        </w:trPr>
        <w:tc>
          <w:tcPr>
            <w:tcW w:w="4935" w:type="dxa"/>
            <w:tcBorders>
              <w:top w:val="single" w:color="auto" w:sz="4" w:space="0"/>
              <w:left w:val="single" w:color="auto" w:sz="4" w:space="0"/>
              <w:bottom w:val="nil"/>
              <w:right w:val="nil"/>
            </w:tcBorders>
            <w:tcMar>
              <w:top w:w="-1" w:type="dxa"/>
              <w:left w:w="-1" w:type="dxa"/>
              <w:bottom w:w="-1" w:type="dxa"/>
              <w:right w:w="-1" w:type="dxa"/>
            </w:tcMar>
            <w:vAlign w:val="center"/>
          </w:tcPr>
          <w:p w14:paraId="53CD3E8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Treated observations retained</w:t>
            </w:r>
          </w:p>
        </w:tc>
        <w:tc>
          <w:tcPr>
            <w:tcW w:w="1726" w:type="dxa"/>
            <w:tcBorders>
              <w:top w:val="single" w:color="auto" w:sz="4" w:space="0"/>
              <w:left w:val="single" w:color="auto" w:sz="4" w:space="0"/>
              <w:bottom w:val="nil"/>
              <w:right w:val="nil"/>
            </w:tcBorders>
            <w:tcMar>
              <w:top w:w="-1" w:type="dxa"/>
              <w:left w:w="-1" w:type="dxa"/>
              <w:bottom w:w="-1" w:type="dxa"/>
              <w:right w:w="-1" w:type="dxa"/>
            </w:tcMar>
            <w:vAlign w:val="center"/>
          </w:tcPr>
          <w:p w14:paraId="322075C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9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CB7A12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3,576,172</w:t>
            </w:r>
          </w:p>
        </w:tc>
      </w:tr>
      <w:tr w14:paraId="17EF6EDC">
        <w:tblPrEx>
          <w:tblCellMar>
            <w:top w:w="0" w:type="dxa"/>
            <w:left w:w="108" w:type="dxa"/>
            <w:bottom w:w="0" w:type="dxa"/>
            <w:right w:w="108" w:type="dxa"/>
          </w:tblCellMar>
        </w:tblPrEx>
        <w:trPr>
          <w:cantSplit/>
          <w:trHeight w:val="301" w:hRule="atLeast"/>
          <w:jc w:val="center"/>
        </w:trPr>
        <w:tc>
          <w:tcPr>
            <w:tcW w:w="4935" w:type="dxa"/>
            <w:tcBorders>
              <w:top w:val="single" w:color="auto" w:sz="4" w:space="0"/>
              <w:left w:val="single" w:color="auto" w:sz="4" w:space="0"/>
              <w:bottom w:val="nil"/>
              <w:right w:val="nil"/>
            </w:tcBorders>
            <w:tcMar>
              <w:top w:w="-1" w:type="dxa"/>
              <w:left w:w="-1" w:type="dxa"/>
              <w:bottom w:w="-1" w:type="dxa"/>
              <w:right w:w="-1" w:type="dxa"/>
            </w:tcMar>
            <w:vAlign w:val="center"/>
          </w:tcPr>
          <w:p w14:paraId="21BAACC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Treated retention rate (%)</w:t>
            </w:r>
          </w:p>
        </w:tc>
        <w:tc>
          <w:tcPr>
            <w:tcW w:w="1726" w:type="dxa"/>
            <w:tcBorders>
              <w:top w:val="single" w:color="auto" w:sz="4" w:space="0"/>
              <w:left w:val="single" w:color="auto" w:sz="4" w:space="0"/>
              <w:bottom w:val="nil"/>
              <w:right w:val="nil"/>
            </w:tcBorders>
            <w:tcMar>
              <w:top w:w="-1" w:type="dxa"/>
              <w:left w:w="-1" w:type="dxa"/>
              <w:bottom w:w="-1" w:type="dxa"/>
              <w:right w:w="-1" w:type="dxa"/>
            </w:tcMar>
            <w:vAlign w:val="center"/>
          </w:tcPr>
          <w:p w14:paraId="5F7BAF3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9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A97DA9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99.97</w:t>
            </w:r>
          </w:p>
        </w:tc>
      </w:tr>
      <w:tr w14:paraId="7BDE60E1">
        <w:tblPrEx>
          <w:tblCellMar>
            <w:top w:w="0" w:type="dxa"/>
            <w:left w:w="108" w:type="dxa"/>
            <w:bottom w:w="0" w:type="dxa"/>
            <w:right w:w="108" w:type="dxa"/>
          </w:tblCellMar>
        </w:tblPrEx>
        <w:trPr>
          <w:cantSplit/>
          <w:trHeight w:val="283" w:hRule="atLeast"/>
          <w:jc w:val="center"/>
        </w:trPr>
        <w:tc>
          <w:tcPr>
            <w:tcW w:w="4935" w:type="dxa"/>
            <w:tcBorders>
              <w:top w:val="single" w:color="auto" w:sz="4" w:space="0"/>
              <w:left w:val="single" w:color="auto" w:sz="4" w:space="0"/>
              <w:bottom w:val="nil"/>
              <w:right w:val="nil"/>
            </w:tcBorders>
            <w:tcMar>
              <w:top w:w="-1" w:type="dxa"/>
              <w:left w:w="-1" w:type="dxa"/>
              <w:bottom w:w="-1" w:type="dxa"/>
              <w:right w:w="-1" w:type="dxa"/>
            </w:tcMar>
            <w:vAlign w:val="center"/>
          </w:tcPr>
          <w:p w14:paraId="4A2E2A6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Control observations receiving positive weight</w:t>
            </w:r>
          </w:p>
        </w:tc>
        <w:tc>
          <w:tcPr>
            <w:tcW w:w="1726" w:type="dxa"/>
            <w:tcBorders>
              <w:top w:val="single" w:color="auto" w:sz="4" w:space="0"/>
              <w:left w:val="single" w:color="auto" w:sz="4" w:space="0"/>
              <w:bottom w:val="nil"/>
              <w:right w:val="nil"/>
            </w:tcBorders>
            <w:tcMar>
              <w:top w:w="-1" w:type="dxa"/>
              <w:left w:w="-1" w:type="dxa"/>
              <w:bottom w:w="-1" w:type="dxa"/>
              <w:right w:w="-1" w:type="dxa"/>
            </w:tcMar>
            <w:vAlign w:val="center"/>
          </w:tcPr>
          <w:p w14:paraId="3A094C9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9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1B5BA8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9,073,930</w:t>
            </w:r>
          </w:p>
        </w:tc>
      </w:tr>
      <w:tr w14:paraId="0F03EECA">
        <w:tblPrEx>
          <w:tblCellMar>
            <w:top w:w="0" w:type="dxa"/>
            <w:left w:w="108" w:type="dxa"/>
            <w:bottom w:w="0" w:type="dxa"/>
            <w:right w:w="108" w:type="dxa"/>
          </w:tblCellMar>
        </w:tblPrEx>
        <w:trPr>
          <w:cantSplit/>
          <w:trHeight w:val="283" w:hRule="atLeast"/>
          <w:jc w:val="center"/>
        </w:trPr>
        <w:tc>
          <w:tcPr>
            <w:tcW w:w="4935" w:type="dxa"/>
            <w:tcBorders>
              <w:top w:val="single" w:color="auto" w:sz="4" w:space="0"/>
              <w:left w:val="single" w:color="auto" w:sz="4" w:space="0"/>
              <w:bottom w:val="nil"/>
              <w:right w:val="nil"/>
            </w:tcBorders>
            <w:tcMar>
              <w:top w:w="-1" w:type="dxa"/>
              <w:left w:w="-1" w:type="dxa"/>
              <w:bottom w:w="-1" w:type="dxa"/>
              <w:right w:w="-1" w:type="dxa"/>
            </w:tcMar>
            <w:vAlign w:val="center"/>
          </w:tcPr>
          <w:p w14:paraId="3FEB607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Exact-matching strata containing both groups</w:t>
            </w:r>
          </w:p>
        </w:tc>
        <w:tc>
          <w:tcPr>
            <w:tcW w:w="1726" w:type="dxa"/>
            <w:tcBorders>
              <w:top w:val="single" w:color="auto" w:sz="4" w:space="0"/>
              <w:left w:val="single" w:color="auto" w:sz="4" w:space="0"/>
              <w:bottom w:val="nil"/>
              <w:right w:val="nil"/>
            </w:tcBorders>
            <w:tcMar>
              <w:top w:w="-1" w:type="dxa"/>
              <w:left w:w="-1" w:type="dxa"/>
              <w:bottom w:w="-1" w:type="dxa"/>
              <w:right w:w="-1" w:type="dxa"/>
            </w:tcMar>
            <w:vAlign w:val="center"/>
          </w:tcPr>
          <w:p w14:paraId="01032F4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9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027E53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14,306</w:t>
            </w:r>
          </w:p>
        </w:tc>
      </w:tr>
      <w:tr w14:paraId="1230BE1E">
        <w:tblPrEx>
          <w:tblCellMar>
            <w:top w:w="0" w:type="dxa"/>
            <w:left w:w="108" w:type="dxa"/>
            <w:bottom w:w="0" w:type="dxa"/>
            <w:right w:w="108" w:type="dxa"/>
          </w:tblCellMar>
        </w:tblPrEx>
        <w:trPr>
          <w:cantSplit/>
          <w:trHeight w:val="283" w:hRule="atLeast"/>
          <w:jc w:val="center"/>
        </w:trPr>
        <w:tc>
          <w:tcPr>
            <w:tcW w:w="4935" w:type="dxa"/>
            <w:tcBorders>
              <w:top w:val="single" w:color="auto" w:sz="4" w:space="0"/>
              <w:left w:val="single" w:color="auto" w:sz="4" w:space="0"/>
              <w:bottom w:val="nil"/>
              <w:right w:val="nil"/>
            </w:tcBorders>
            <w:tcMar>
              <w:top w:w="-1" w:type="dxa"/>
              <w:left w:w="-1" w:type="dxa"/>
              <w:bottom w:w="-1" w:type="dxa"/>
              <w:right w:w="-1" w:type="dxa"/>
            </w:tcMar>
            <w:vAlign w:val="center"/>
          </w:tcPr>
          <w:p w14:paraId="256E961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Average number of controls per treated observation</w:t>
            </w:r>
          </w:p>
        </w:tc>
        <w:tc>
          <w:tcPr>
            <w:tcW w:w="1726" w:type="dxa"/>
            <w:tcBorders>
              <w:top w:val="single" w:color="auto" w:sz="4" w:space="0"/>
              <w:left w:val="single" w:color="auto" w:sz="4" w:space="0"/>
              <w:bottom w:val="nil"/>
              <w:right w:val="nil"/>
            </w:tcBorders>
            <w:tcMar>
              <w:top w:w="-1" w:type="dxa"/>
              <w:left w:w="-1" w:type="dxa"/>
              <w:bottom w:w="-1" w:type="dxa"/>
              <w:right w:w="-1" w:type="dxa"/>
            </w:tcMar>
            <w:vAlign w:val="center"/>
          </w:tcPr>
          <w:p w14:paraId="4A828B0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9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485207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2.54</w:t>
            </w:r>
          </w:p>
        </w:tc>
      </w:tr>
      <w:tr w14:paraId="7B51C840">
        <w:tblPrEx>
          <w:tblCellMar>
            <w:top w:w="0" w:type="dxa"/>
            <w:left w:w="108" w:type="dxa"/>
            <w:bottom w:w="0" w:type="dxa"/>
            <w:right w:w="108" w:type="dxa"/>
          </w:tblCellMar>
        </w:tblPrEx>
        <w:trPr>
          <w:cantSplit/>
          <w:trHeight w:val="283" w:hRule="atLeast"/>
          <w:jc w:val="center"/>
        </w:trPr>
        <w:tc>
          <w:tcPr>
            <w:tcW w:w="4935" w:type="dxa"/>
            <w:tcBorders>
              <w:top w:val="single" w:color="auto" w:sz="4" w:space="0"/>
              <w:left w:val="single" w:color="auto" w:sz="4" w:space="0"/>
              <w:bottom w:val="nil"/>
              <w:right w:val="nil"/>
            </w:tcBorders>
            <w:tcMar>
              <w:top w:w="-1" w:type="dxa"/>
              <w:left w:w="-1" w:type="dxa"/>
              <w:bottom w:w="-1" w:type="dxa"/>
              <w:right w:w="-1" w:type="dxa"/>
            </w:tcMar>
            <w:vAlign w:val="center"/>
          </w:tcPr>
          <w:p w14:paraId="31A84A2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Effective sample size of weighted controls</w:t>
            </w:r>
          </w:p>
        </w:tc>
        <w:tc>
          <w:tcPr>
            <w:tcW w:w="1726" w:type="dxa"/>
            <w:tcBorders>
              <w:top w:val="single" w:color="auto" w:sz="4" w:space="0"/>
              <w:left w:val="single" w:color="auto" w:sz="4" w:space="0"/>
              <w:bottom w:val="nil"/>
              <w:right w:val="nil"/>
            </w:tcBorders>
            <w:tcMar>
              <w:top w:w="-1" w:type="dxa"/>
              <w:left w:w="-1" w:type="dxa"/>
              <w:bottom w:w="-1" w:type="dxa"/>
              <w:right w:w="-1" w:type="dxa"/>
            </w:tcMar>
            <w:vAlign w:val="center"/>
          </w:tcPr>
          <w:p w14:paraId="051D7E9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9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162E02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5,460,855</w:t>
            </w:r>
          </w:p>
        </w:tc>
      </w:tr>
      <w:tr w14:paraId="2DC7FD03">
        <w:tblPrEx>
          <w:tblCellMar>
            <w:top w:w="0" w:type="dxa"/>
            <w:left w:w="108" w:type="dxa"/>
            <w:bottom w:w="0" w:type="dxa"/>
            <w:right w:w="108" w:type="dxa"/>
          </w:tblCellMar>
        </w:tblPrEx>
        <w:trPr>
          <w:cantSplit/>
          <w:trHeight w:val="283" w:hRule="atLeast"/>
          <w:jc w:val="center"/>
        </w:trPr>
        <w:tc>
          <w:tcPr>
            <w:tcW w:w="4935" w:type="dxa"/>
            <w:tcBorders>
              <w:top w:val="single" w:color="auto" w:sz="4" w:space="0"/>
              <w:left w:val="single" w:color="auto" w:sz="4" w:space="0"/>
              <w:bottom w:val="nil"/>
              <w:right w:val="nil"/>
            </w:tcBorders>
            <w:tcMar>
              <w:top w:w="-1" w:type="dxa"/>
              <w:left w:w="-1" w:type="dxa"/>
              <w:bottom w:w="-1" w:type="dxa"/>
              <w:right w:w="-1" w:type="dxa"/>
            </w:tcMar>
            <w:vAlign w:val="center"/>
          </w:tcPr>
          <w:p w14:paraId="30C0B56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Mean absolute standardized difference</w:t>
            </w:r>
          </w:p>
        </w:tc>
        <w:tc>
          <w:tcPr>
            <w:tcW w:w="1726" w:type="dxa"/>
            <w:tcBorders>
              <w:top w:val="single" w:color="auto" w:sz="4" w:space="0"/>
              <w:left w:val="single" w:color="auto" w:sz="4" w:space="0"/>
              <w:bottom w:val="nil"/>
              <w:right w:val="nil"/>
            </w:tcBorders>
            <w:tcMar>
              <w:top w:w="-1" w:type="dxa"/>
              <w:left w:w="-1" w:type="dxa"/>
              <w:bottom w:w="-1" w:type="dxa"/>
              <w:right w:w="-1" w:type="dxa"/>
            </w:tcMar>
            <w:vAlign w:val="center"/>
          </w:tcPr>
          <w:p w14:paraId="60BF811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0.079</w:t>
            </w:r>
          </w:p>
        </w:tc>
        <w:tc>
          <w:tcPr>
            <w:tcW w:w="159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55B214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0.000</w:t>
            </w:r>
          </w:p>
        </w:tc>
      </w:tr>
      <w:tr w14:paraId="1D5F1A49">
        <w:tblPrEx>
          <w:tblCellMar>
            <w:top w:w="0" w:type="dxa"/>
            <w:left w:w="108" w:type="dxa"/>
            <w:bottom w:w="0" w:type="dxa"/>
            <w:right w:w="108" w:type="dxa"/>
          </w:tblCellMar>
        </w:tblPrEx>
        <w:trPr>
          <w:cantSplit/>
          <w:trHeight w:val="283" w:hRule="atLeast"/>
          <w:jc w:val="center"/>
        </w:trPr>
        <w:tc>
          <w:tcPr>
            <w:tcW w:w="4935" w:type="dxa"/>
            <w:tcBorders>
              <w:top w:val="single" w:color="auto" w:sz="4" w:space="0"/>
              <w:left w:val="single" w:color="auto" w:sz="4" w:space="0"/>
              <w:bottom w:val="nil"/>
              <w:right w:val="nil"/>
            </w:tcBorders>
            <w:tcMar>
              <w:top w:w="-1" w:type="dxa"/>
              <w:left w:w="-1" w:type="dxa"/>
              <w:bottom w:w="-1" w:type="dxa"/>
              <w:right w:w="-1" w:type="dxa"/>
            </w:tcMar>
            <w:vAlign w:val="center"/>
          </w:tcPr>
          <w:p w14:paraId="6DECFE1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Maximum absolute standardized difference</w:t>
            </w:r>
          </w:p>
        </w:tc>
        <w:tc>
          <w:tcPr>
            <w:tcW w:w="1726" w:type="dxa"/>
            <w:tcBorders>
              <w:top w:val="single" w:color="auto" w:sz="4" w:space="0"/>
              <w:left w:val="single" w:color="auto" w:sz="4" w:space="0"/>
              <w:bottom w:val="nil"/>
              <w:right w:val="nil"/>
            </w:tcBorders>
            <w:tcMar>
              <w:top w:w="-1" w:type="dxa"/>
              <w:left w:w="-1" w:type="dxa"/>
              <w:bottom w:w="-1" w:type="dxa"/>
              <w:right w:w="-1" w:type="dxa"/>
            </w:tcMar>
            <w:vAlign w:val="center"/>
          </w:tcPr>
          <w:p w14:paraId="4E6302F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0.575</w:t>
            </w:r>
          </w:p>
        </w:tc>
        <w:tc>
          <w:tcPr>
            <w:tcW w:w="1598"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FC8D45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0.000</w:t>
            </w:r>
          </w:p>
        </w:tc>
      </w:tr>
      <w:tr w14:paraId="0DB6A815">
        <w:tblPrEx>
          <w:tblCellMar>
            <w:top w:w="0" w:type="dxa"/>
            <w:left w:w="108" w:type="dxa"/>
            <w:bottom w:w="0" w:type="dxa"/>
            <w:right w:w="108" w:type="dxa"/>
          </w:tblCellMar>
        </w:tblPrEx>
        <w:trPr>
          <w:cantSplit/>
          <w:trHeight w:val="283" w:hRule="atLeast"/>
          <w:jc w:val="center"/>
        </w:trPr>
        <w:tc>
          <w:tcPr>
            <w:tcW w:w="493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AFE659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Percentage of covariates with |SMD| &lt; 0.10</w:t>
            </w:r>
          </w:p>
        </w:tc>
        <w:tc>
          <w:tcPr>
            <w:tcW w:w="172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2AC36A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71.0</w:t>
            </w:r>
          </w:p>
        </w:tc>
        <w:tc>
          <w:tcPr>
            <w:tcW w:w="1598"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4FDBFD9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100.0</w:t>
            </w:r>
          </w:p>
        </w:tc>
      </w:tr>
    </w:tbl>
    <w:p w14:paraId="30AE0926">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F. Sensitivity analyses</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7"/>
        <w:gridCol w:w="2483"/>
        <w:gridCol w:w="776"/>
        <w:gridCol w:w="1279"/>
        <w:gridCol w:w="984"/>
        <w:gridCol w:w="1058"/>
      </w:tblGrid>
      <w:tr w14:paraId="2D8F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blHeader/>
          <w:jc w:val="center"/>
        </w:trPr>
        <w:tc>
          <w:tcPr>
            <w:tcW w:w="2257" w:type="dxa"/>
            <w:vAlign w:val="center"/>
          </w:tcPr>
          <w:p w14:paraId="4CD01F9B">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Specification</w:t>
            </w:r>
          </w:p>
        </w:tc>
        <w:tc>
          <w:tcPr>
            <w:tcW w:w="2483" w:type="dxa"/>
            <w:vAlign w:val="center"/>
          </w:tcPr>
          <w:p w14:paraId="06BA416E">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Matching/adjustment variables</w:t>
            </w:r>
          </w:p>
        </w:tc>
        <w:tc>
          <w:tcPr>
            <w:tcW w:w="776" w:type="dxa"/>
            <w:vAlign w:val="center"/>
          </w:tcPr>
          <w:p w14:paraId="747B8B53">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ATT (pp)</w:t>
            </w:r>
          </w:p>
        </w:tc>
        <w:tc>
          <w:tcPr>
            <w:tcW w:w="1279" w:type="dxa"/>
            <w:vAlign w:val="center"/>
          </w:tcPr>
          <w:p w14:paraId="244BA3F1">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95% CI</w:t>
            </w:r>
          </w:p>
        </w:tc>
        <w:tc>
          <w:tcPr>
            <w:tcW w:w="984" w:type="dxa"/>
            <w:vAlign w:val="center"/>
          </w:tcPr>
          <w:p w14:paraId="13A9A269">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p-value</w:t>
            </w:r>
          </w:p>
        </w:tc>
        <w:tc>
          <w:tcPr>
            <w:tcW w:w="1058" w:type="dxa"/>
            <w:vAlign w:val="center"/>
          </w:tcPr>
          <w:p w14:paraId="5FC6E06F">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Treated retention (%)</w:t>
            </w:r>
          </w:p>
        </w:tc>
      </w:tr>
      <w:tr w14:paraId="775A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5A1DE8A8">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Main exact-matching model</w:t>
            </w:r>
          </w:p>
        </w:tc>
        <w:tc>
          <w:tcPr>
            <w:tcW w:w="2483" w:type="dxa"/>
            <w:vAlign w:val="center"/>
          </w:tcPr>
          <w:p w14:paraId="4B6E3C3C">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Gender, country, industry, graduation year</w:t>
            </w:r>
          </w:p>
        </w:tc>
        <w:tc>
          <w:tcPr>
            <w:tcW w:w="776" w:type="dxa"/>
            <w:vAlign w:val="center"/>
          </w:tcPr>
          <w:p w14:paraId="456804C1">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0.80</w:t>
            </w:r>
          </w:p>
        </w:tc>
        <w:tc>
          <w:tcPr>
            <w:tcW w:w="1279" w:type="dxa"/>
            <w:vAlign w:val="center"/>
          </w:tcPr>
          <w:p w14:paraId="65907782">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[0.77, 0.83]</w:t>
            </w:r>
          </w:p>
        </w:tc>
        <w:tc>
          <w:tcPr>
            <w:tcW w:w="984" w:type="dxa"/>
            <w:vAlign w:val="center"/>
          </w:tcPr>
          <w:p w14:paraId="6BB6839A">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&lt;0.001</w:t>
            </w:r>
          </w:p>
        </w:tc>
        <w:tc>
          <w:tcPr>
            <w:tcW w:w="1058" w:type="dxa"/>
            <w:vAlign w:val="center"/>
          </w:tcPr>
          <w:p w14:paraId="431ADAED">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99.97</w:t>
            </w:r>
          </w:p>
        </w:tc>
      </w:tr>
      <w:tr w14:paraId="2617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79EF298C">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Additional career-stage adjustment</w:t>
            </w:r>
          </w:p>
        </w:tc>
        <w:tc>
          <w:tcPr>
            <w:tcW w:w="2483" w:type="dxa"/>
            <w:vAlign w:val="center"/>
          </w:tcPr>
          <w:p w14:paraId="53B2282A">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Main variables + first observed work year or observable career-length category</w:t>
            </w:r>
          </w:p>
        </w:tc>
        <w:tc>
          <w:tcPr>
            <w:tcW w:w="776" w:type="dxa"/>
            <w:vAlign w:val="center"/>
          </w:tcPr>
          <w:p w14:paraId="5715D00D">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0.77</w:t>
            </w:r>
          </w:p>
        </w:tc>
        <w:tc>
          <w:tcPr>
            <w:tcW w:w="1279" w:type="dxa"/>
            <w:vAlign w:val="center"/>
          </w:tcPr>
          <w:p w14:paraId="751745E0">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[0.74, 0.80]</w:t>
            </w:r>
          </w:p>
        </w:tc>
        <w:tc>
          <w:tcPr>
            <w:tcW w:w="984" w:type="dxa"/>
            <w:vAlign w:val="center"/>
          </w:tcPr>
          <w:p w14:paraId="4F39092F">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5CBE4EE6">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99.89</w:t>
            </w:r>
          </w:p>
        </w:tc>
      </w:tr>
      <w:tr w14:paraId="1560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4AB4EBA9">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Complete 10-year observation window</w:t>
            </w:r>
          </w:p>
        </w:tc>
        <w:tc>
          <w:tcPr>
            <w:tcW w:w="2483" w:type="dxa"/>
            <w:vAlign w:val="center"/>
          </w:tcPr>
          <w:p w14:paraId="124D8DCE">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Main variables; outcome defined within 10 years of first observed work</w:t>
            </w:r>
          </w:p>
        </w:tc>
        <w:tc>
          <w:tcPr>
            <w:tcW w:w="776" w:type="dxa"/>
            <w:vAlign w:val="center"/>
          </w:tcPr>
          <w:p w14:paraId="4DADCB6E">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0.80</w:t>
            </w:r>
          </w:p>
        </w:tc>
        <w:tc>
          <w:tcPr>
            <w:tcW w:w="1279" w:type="dxa"/>
            <w:vAlign w:val="center"/>
          </w:tcPr>
          <w:p w14:paraId="633AFF39">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[0.74, 0.85]</w:t>
            </w:r>
          </w:p>
        </w:tc>
        <w:tc>
          <w:tcPr>
            <w:tcW w:w="984" w:type="dxa"/>
            <w:vAlign w:val="center"/>
          </w:tcPr>
          <w:p w14:paraId="64E079FC">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2A42AB58">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99.94</w:t>
            </w:r>
          </w:p>
        </w:tc>
      </w:tr>
      <w:tr w14:paraId="7E69E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0D9A2E8D">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Pre-employment covariates only</w:t>
            </w:r>
          </w:p>
        </w:tc>
        <w:tc>
          <w:tcPr>
            <w:tcW w:w="2483" w:type="dxa"/>
            <w:vAlign w:val="center"/>
          </w:tcPr>
          <w:p w14:paraId="75D44B79">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Gender and graduation cohort; excluding employment country and industry</w:t>
            </w:r>
          </w:p>
        </w:tc>
        <w:tc>
          <w:tcPr>
            <w:tcW w:w="776" w:type="dxa"/>
            <w:vAlign w:val="center"/>
          </w:tcPr>
          <w:p w14:paraId="58545012">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0.91</w:t>
            </w:r>
          </w:p>
        </w:tc>
        <w:tc>
          <w:tcPr>
            <w:tcW w:w="1279" w:type="dxa"/>
            <w:vAlign w:val="center"/>
          </w:tcPr>
          <w:p w14:paraId="41EB1D97">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[0.88, 0.94]</w:t>
            </w:r>
          </w:p>
        </w:tc>
        <w:tc>
          <w:tcPr>
            <w:tcW w:w="984" w:type="dxa"/>
            <w:vAlign w:val="center"/>
          </w:tcPr>
          <w:p w14:paraId="50FC4219">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51505D65">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100.00</w:t>
            </w:r>
          </w:p>
        </w:tc>
      </w:tr>
      <w:tr w14:paraId="3853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22614689">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Alternative weighting estimator</w:t>
            </w:r>
          </w:p>
        </w:tc>
        <w:tc>
          <w:tcPr>
            <w:tcW w:w="2483" w:type="dxa"/>
            <w:vAlign w:val="center"/>
          </w:tcPr>
          <w:p w14:paraId="6AD664B4">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IPWRA or entropy balancing</w:t>
            </w:r>
          </w:p>
        </w:tc>
        <w:tc>
          <w:tcPr>
            <w:tcW w:w="776" w:type="dxa"/>
            <w:vAlign w:val="center"/>
          </w:tcPr>
          <w:p w14:paraId="3FDE291A">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0.79</w:t>
            </w:r>
          </w:p>
        </w:tc>
        <w:tc>
          <w:tcPr>
            <w:tcW w:w="1279" w:type="dxa"/>
            <w:vAlign w:val="center"/>
          </w:tcPr>
          <w:p w14:paraId="66B839F5">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[0.76, 0.82]</w:t>
            </w:r>
          </w:p>
        </w:tc>
        <w:tc>
          <w:tcPr>
            <w:tcW w:w="984" w:type="dxa"/>
            <w:vAlign w:val="center"/>
          </w:tcPr>
          <w:p w14:paraId="6037803D">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78D267F1">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100.00</w:t>
            </w:r>
          </w:p>
        </w:tc>
      </w:tr>
      <w:tr w14:paraId="70A7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67C34276">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Elite university threshold: Top 100</w:t>
            </w:r>
          </w:p>
        </w:tc>
        <w:tc>
          <w:tcPr>
            <w:tcW w:w="2483" w:type="dxa"/>
            <w:vAlign w:val="center"/>
          </w:tcPr>
          <w:p w14:paraId="52CA31C3">
            <w:pPr>
              <w:snapToGrid w:val="0"/>
              <w:spacing w:before="0" w:after="0" w:line="240" w:lineRule="auto"/>
              <w:jc w:val="center"/>
              <w:textAlignment w:val="center"/>
              <w:rPr>
                <w:rStyle w:val="8"/>
                <w:rFonts w:hint="default" w:ascii="Times New Roman" w:hAnsi="Times New Roman" w:eastAsia="宋体" w:cs="Times New Roman"/>
                <w:b w:val="0"/>
                <w:sz w:val="20"/>
                <w:szCs w:val="20"/>
              </w:rPr>
            </w:pPr>
          </w:p>
        </w:tc>
        <w:tc>
          <w:tcPr>
            <w:tcW w:w="776" w:type="dxa"/>
            <w:vAlign w:val="center"/>
          </w:tcPr>
          <w:p w14:paraId="5AF36096">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1.14</w:t>
            </w:r>
          </w:p>
        </w:tc>
        <w:tc>
          <w:tcPr>
            <w:tcW w:w="1279" w:type="dxa"/>
            <w:vAlign w:val="center"/>
          </w:tcPr>
          <w:p w14:paraId="7B0D8EE9">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[1.09, 1.18]</w:t>
            </w:r>
          </w:p>
        </w:tc>
        <w:tc>
          <w:tcPr>
            <w:tcW w:w="984" w:type="dxa"/>
            <w:vAlign w:val="center"/>
          </w:tcPr>
          <w:p w14:paraId="4873834C">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712DE3B3">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99.98</w:t>
            </w:r>
          </w:p>
        </w:tc>
      </w:tr>
      <w:tr w14:paraId="3BA20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39BDCF57">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Elite university threshold: Top 1000</w:t>
            </w:r>
          </w:p>
        </w:tc>
        <w:tc>
          <w:tcPr>
            <w:tcW w:w="2483" w:type="dxa"/>
            <w:vAlign w:val="center"/>
          </w:tcPr>
          <w:p w14:paraId="7258E52E">
            <w:pPr>
              <w:snapToGrid w:val="0"/>
              <w:spacing w:before="0" w:after="0" w:line="240" w:lineRule="auto"/>
              <w:jc w:val="center"/>
              <w:textAlignment w:val="center"/>
              <w:rPr>
                <w:rStyle w:val="8"/>
                <w:rFonts w:hint="default" w:ascii="Times New Roman" w:hAnsi="Times New Roman" w:eastAsia="宋体" w:cs="Times New Roman"/>
                <w:b w:val="0"/>
                <w:sz w:val="20"/>
                <w:szCs w:val="20"/>
              </w:rPr>
            </w:pPr>
          </w:p>
        </w:tc>
        <w:tc>
          <w:tcPr>
            <w:tcW w:w="776" w:type="dxa"/>
            <w:vAlign w:val="center"/>
          </w:tcPr>
          <w:p w14:paraId="0078D3F7">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0.61</w:t>
            </w:r>
          </w:p>
        </w:tc>
        <w:tc>
          <w:tcPr>
            <w:tcW w:w="1279" w:type="dxa"/>
            <w:vAlign w:val="center"/>
          </w:tcPr>
          <w:p w14:paraId="078C43D6">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[0.58, 0.63]</w:t>
            </w:r>
          </w:p>
        </w:tc>
        <w:tc>
          <w:tcPr>
            <w:tcW w:w="984" w:type="dxa"/>
            <w:vAlign w:val="center"/>
          </w:tcPr>
          <w:p w14:paraId="047F8546">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2FE5ABF1">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99.97</w:t>
            </w:r>
          </w:p>
        </w:tc>
      </w:tr>
    </w:tbl>
    <w:p w14:paraId="2F248A08">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The unit of analysis is one individual per LinkedIn user. Treatment is an elite bachelor’s degree, defined as graduation from a global top-500 university. The outcome equals one if the individual attained a corporate position with Revelio seniority 6-7. Public administration (NAICS 92) is excluded. Exact-matching strata in the main specification are defined by gender, country, industry, and graduation year. The ATT is calculated within exact-matching strata containing both treated and control observations and aggregated using the distribution of treated individuals. Outcome means are reported as percentages, and differences and standard errors are reported in percentage points. Subgroup-specific results are obtained by re-estimating the matching procedure within each subgroup. Standard errors are clustered by user ID when more than one observation per user remains in the estimation sample. *** p&lt;0.001, ** p&lt;0.01, * p&lt;0.05.</w:t>
      </w:r>
    </w:p>
    <w:p w14:paraId="0085C3BB">
      <w:pPr>
        <w:spacing w:line="300" w:lineRule="auto"/>
        <w:rPr>
          <w:rFonts w:hint="default" w:ascii="Times New Roman" w:hAnsi="Times New Roman" w:eastAsia="宋体" w:cs="Times New Roman"/>
          <w:b/>
          <w:bCs/>
          <w:sz w:val="24"/>
          <w:lang w:bidi="ar"/>
        </w:rPr>
      </w:pPr>
    </w:p>
    <w:p w14:paraId="2C4EA8F4">
      <w:pPr>
        <w:spacing w:line="300" w:lineRule="auto"/>
        <w:rPr>
          <w:rFonts w:hint="default" w:ascii="Times New Roman" w:hAnsi="Times New Roman" w:eastAsia="宋体" w:cs="Times New Roman"/>
          <w:b/>
          <w:bCs/>
          <w:sz w:val="24"/>
          <w:lang w:bidi="ar"/>
        </w:rPr>
      </w:pPr>
    </w:p>
    <w:p w14:paraId="2034A386">
      <w:pPr>
        <w:spacing w:line="300" w:lineRule="auto"/>
        <w:rPr>
          <w:rFonts w:hint="default" w:ascii="Times New Roman" w:hAnsi="Times New Roman" w:eastAsia="宋体" w:cs="Times New Roman"/>
          <w:b/>
          <w:bCs/>
          <w:sz w:val="24"/>
          <w:lang w:bidi="ar"/>
        </w:rPr>
      </w:pPr>
    </w:p>
    <w:p w14:paraId="678EB80B">
      <w:pPr>
        <w:rPr>
          <w:rFonts w:hint="default" w:ascii="Times New Roman" w:hAnsi="Times New Roman" w:eastAsia="宋体" w:cs="Times New Roman"/>
          <w:b/>
          <w:bCs/>
          <w:kern w:val="0"/>
          <w:sz w:val="24"/>
          <w:lang w:bidi="ar"/>
        </w:rPr>
      </w:pPr>
      <w:r>
        <w:rPr>
          <w:rFonts w:hint="default" w:ascii="Times New Roman" w:hAnsi="Times New Roman" w:eastAsia="宋体" w:cs="Times New Roman"/>
          <w:b/>
          <w:bCs/>
          <w:kern w:val="0"/>
          <w:sz w:val="24"/>
          <w:lang w:bidi="ar"/>
        </w:rPr>
        <w:br w:type="page"/>
      </w:r>
    </w:p>
    <w:p w14:paraId="18023319">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22. Exact-matching estimates of ever holding a core executive position in the Chinese listed-company executive sample</w:t>
      </w:r>
    </w:p>
    <w:p w14:paraId="0F469953">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A. Full-sample estimate</w:t>
      </w:r>
    </w:p>
    <w:tbl>
      <w:tblPr>
        <w:tblStyle w:val="5"/>
        <w:tblW w:w="0" w:type="auto"/>
        <w:jc w:val="center"/>
        <w:tblLayout w:type="fixed"/>
        <w:tblCellMar>
          <w:top w:w="0" w:type="dxa"/>
          <w:left w:w="108" w:type="dxa"/>
          <w:bottom w:w="0" w:type="dxa"/>
          <w:right w:w="108" w:type="dxa"/>
        </w:tblCellMar>
      </w:tblPr>
      <w:tblGrid>
        <w:gridCol w:w="886"/>
        <w:gridCol w:w="863"/>
        <w:gridCol w:w="863"/>
        <w:gridCol w:w="1119"/>
        <w:gridCol w:w="1015"/>
        <w:gridCol w:w="1015"/>
        <w:gridCol w:w="653"/>
        <w:gridCol w:w="595"/>
        <w:gridCol w:w="887"/>
        <w:gridCol w:w="799"/>
      </w:tblGrid>
      <w:tr w14:paraId="0BD78C7D">
        <w:tblPrEx>
          <w:tblCellMar>
            <w:top w:w="0" w:type="dxa"/>
            <w:left w:w="108" w:type="dxa"/>
            <w:bottom w:w="0" w:type="dxa"/>
            <w:right w:w="108" w:type="dxa"/>
          </w:tblCellMar>
        </w:tblPrEx>
        <w:trPr>
          <w:cantSplit/>
          <w:trHeight w:val="283" w:hRule="atLeast"/>
          <w:tblHeader/>
          <w:jc w:val="center"/>
        </w:trPr>
        <w:tc>
          <w:tcPr>
            <w:tcW w:w="886" w:type="dxa"/>
            <w:tcBorders>
              <w:top w:val="single" w:color="auto" w:sz="4" w:space="0"/>
              <w:left w:val="single" w:color="auto" w:sz="4" w:space="0"/>
              <w:bottom w:val="nil"/>
              <w:right w:val="nil"/>
            </w:tcBorders>
            <w:tcMar>
              <w:top w:w="-1" w:type="dxa"/>
              <w:left w:w="-1" w:type="dxa"/>
              <w:bottom w:w="-1" w:type="dxa"/>
              <w:right w:w="-1" w:type="dxa"/>
            </w:tcMar>
            <w:vAlign w:val="center"/>
          </w:tcPr>
          <w:p w14:paraId="08E1952C">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Sample</w:t>
            </w:r>
          </w:p>
        </w:tc>
        <w:tc>
          <w:tcPr>
            <w:tcW w:w="863" w:type="dxa"/>
            <w:tcBorders>
              <w:top w:val="single" w:color="auto" w:sz="4" w:space="0"/>
              <w:left w:val="single" w:color="auto" w:sz="4" w:space="0"/>
              <w:bottom w:val="nil"/>
              <w:right w:val="nil"/>
            </w:tcBorders>
            <w:tcMar>
              <w:top w:w="-1" w:type="dxa"/>
              <w:left w:w="-1" w:type="dxa"/>
              <w:bottom w:w="-1" w:type="dxa"/>
              <w:right w:w="-1" w:type="dxa"/>
            </w:tcMar>
            <w:vAlign w:val="center"/>
          </w:tcPr>
          <w:p w14:paraId="45EECFAD">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Raw treated</w:t>
            </w:r>
          </w:p>
          <w:p w14:paraId="185D8497">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863" w:type="dxa"/>
            <w:tcBorders>
              <w:top w:val="single" w:color="auto" w:sz="4" w:space="0"/>
              <w:left w:val="single" w:color="auto" w:sz="4" w:space="0"/>
              <w:bottom w:val="nil"/>
              <w:right w:val="nil"/>
            </w:tcBorders>
            <w:tcMar>
              <w:top w:w="-1" w:type="dxa"/>
              <w:left w:w="-1" w:type="dxa"/>
              <w:bottom w:w="-1" w:type="dxa"/>
              <w:right w:w="-1" w:type="dxa"/>
            </w:tcMar>
            <w:vAlign w:val="center"/>
          </w:tcPr>
          <w:p w14:paraId="127319EF">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Raw control</w:t>
            </w:r>
          </w:p>
          <w:p w14:paraId="0201148F">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1119" w:type="dxa"/>
            <w:tcBorders>
              <w:top w:val="single" w:color="auto" w:sz="4" w:space="0"/>
              <w:left w:val="single" w:color="auto" w:sz="4" w:space="0"/>
              <w:bottom w:val="nil"/>
              <w:right w:val="nil"/>
            </w:tcBorders>
            <w:tcMar>
              <w:top w:w="-1" w:type="dxa"/>
              <w:left w:w="-1" w:type="dxa"/>
              <w:bottom w:w="-1" w:type="dxa"/>
              <w:right w:w="-1" w:type="dxa"/>
            </w:tcMar>
            <w:vAlign w:val="center"/>
          </w:tcPr>
          <w:p w14:paraId="32AFF207">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Raw difference</w:t>
            </w:r>
          </w:p>
          <w:p w14:paraId="67B725BF">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1015" w:type="dxa"/>
            <w:tcBorders>
              <w:top w:val="single" w:color="auto" w:sz="4" w:space="0"/>
              <w:left w:val="single" w:color="auto" w:sz="4" w:space="0"/>
              <w:bottom w:val="nil"/>
              <w:right w:val="nil"/>
            </w:tcBorders>
            <w:tcMar>
              <w:top w:w="-1" w:type="dxa"/>
              <w:left w:w="-1" w:type="dxa"/>
              <w:bottom w:w="-1" w:type="dxa"/>
              <w:right w:w="-1" w:type="dxa"/>
            </w:tcMar>
            <w:vAlign w:val="center"/>
          </w:tcPr>
          <w:p w14:paraId="4361F10B">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Matched treated</w:t>
            </w:r>
          </w:p>
          <w:p w14:paraId="5A00788A">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1015" w:type="dxa"/>
            <w:tcBorders>
              <w:top w:val="single" w:color="auto" w:sz="4" w:space="0"/>
              <w:left w:val="single" w:color="auto" w:sz="4" w:space="0"/>
              <w:bottom w:val="nil"/>
              <w:right w:val="nil"/>
            </w:tcBorders>
            <w:tcMar>
              <w:top w:w="-1" w:type="dxa"/>
              <w:left w:w="-1" w:type="dxa"/>
              <w:bottom w:w="-1" w:type="dxa"/>
              <w:right w:w="-1" w:type="dxa"/>
            </w:tcMar>
            <w:vAlign w:val="center"/>
          </w:tcPr>
          <w:p w14:paraId="32420F55">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Matched control</w:t>
            </w:r>
          </w:p>
          <w:p w14:paraId="11D394BE">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653" w:type="dxa"/>
            <w:tcBorders>
              <w:top w:val="single" w:color="auto" w:sz="4" w:space="0"/>
              <w:left w:val="single" w:color="auto" w:sz="4" w:space="0"/>
              <w:bottom w:val="nil"/>
              <w:right w:val="nil"/>
            </w:tcBorders>
            <w:tcMar>
              <w:top w:w="-1" w:type="dxa"/>
              <w:left w:w="-1" w:type="dxa"/>
              <w:bottom w:w="-1" w:type="dxa"/>
              <w:right w:w="-1" w:type="dxa"/>
            </w:tcMar>
            <w:vAlign w:val="center"/>
          </w:tcPr>
          <w:p w14:paraId="1F8D2011">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ATT</w:t>
            </w:r>
          </w:p>
          <w:p w14:paraId="006EF966">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595" w:type="dxa"/>
            <w:tcBorders>
              <w:top w:val="single" w:color="auto" w:sz="4" w:space="0"/>
              <w:left w:val="single" w:color="auto" w:sz="4" w:space="0"/>
              <w:bottom w:val="nil"/>
              <w:right w:val="nil"/>
            </w:tcBorders>
            <w:tcMar>
              <w:top w:w="-1" w:type="dxa"/>
              <w:left w:w="-1" w:type="dxa"/>
              <w:bottom w:w="-1" w:type="dxa"/>
              <w:right w:w="-1" w:type="dxa"/>
            </w:tcMar>
            <w:vAlign w:val="center"/>
          </w:tcPr>
          <w:p w14:paraId="48D70B1E">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SE</w:t>
            </w:r>
          </w:p>
          <w:p w14:paraId="7BC769CF">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887" w:type="dxa"/>
            <w:tcBorders>
              <w:top w:val="single" w:color="auto" w:sz="4" w:space="0"/>
              <w:left w:val="single" w:color="auto" w:sz="4" w:space="0"/>
              <w:bottom w:val="nil"/>
              <w:right w:val="nil"/>
            </w:tcBorders>
            <w:tcMar>
              <w:top w:w="-1" w:type="dxa"/>
              <w:left w:w="-1" w:type="dxa"/>
              <w:bottom w:w="-1" w:type="dxa"/>
              <w:right w:w="-1" w:type="dxa"/>
            </w:tcMar>
            <w:vAlign w:val="center"/>
          </w:tcPr>
          <w:p w14:paraId="6A3DCBA8">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p-value</w:t>
            </w:r>
          </w:p>
        </w:tc>
        <w:tc>
          <w:tcPr>
            <w:tcW w:w="799"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8500309">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Total N</w:t>
            </w:r>
          </w:p>
        </w:tc>
      </w:tr>
      <w:tr w14:paraId="276648B1">
        <w:tblPrEx>
          <w:tblCellMar>
            <w:top w:w="0" w:type="dxa"/>
            <w:left w:w="108" w:type="dxa"/>
            <w:bottom w:w="0" w:type="dxa"/>
            <w:right w:w="108" w:type="dxa"/>
          </w:tblCellMar>
        </w:tblPrEx>
        <w:trPr>
          <w:cantSplit/>
          <w:trHeight w:val="283" w:hRule="atLeast"/>
          <w:jc w:val="center"/>
        </w:trPr>
        <w:tc>
          <w:tcPr>
            <w:tcW w:w="886"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C4BC15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All sample</w:t>
            </w:r>
          </w:p>
        </w:tc>
        <w:tc>
          <w:tcPr>
            <w:tcW w:w="86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567460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34.45</w:t>
            </w:r>
          </w:p>
        </w:tc>
        <w:tc>
          <w:tcPr>
            <w:tcW w:w="86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81D987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31.79</w:t>
            </w:r>
          </w:p>
        </w:tc>
        <w:tc>
          <w:tcPr>
            <w:tcW w:w="111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A749B7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2.66</w:t>
            </w:r>
          </w:p>
        </w:tc>
        <w:tc>
          <w:tcPr>
            <w:tcW w:w="101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D742B0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34.46</w:t>
            </w:r>
          </w:p>
        </w:tc>
        <w:tc>
          <w:tcPr>
            <w:tcW w:w="101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67F029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32.23</w:t>
            </w:r>
          </w:p>
        </w:tc>
        <w:tc>
          <w:tcPr>
            <w:tcW w:w="65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202EDD6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2.23</w:t>
            </w:r>
          </w:p>
        </w:tc>
        <w:tc>
          <w:tcPr>
            <w:tcW w:w="59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7C5ABD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0.44</w:t>
            </w:r>
          </w:p>
        </w:tc>
        <w:tc>
          <w:tcPr>
            <w:tcW w:w="88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D39249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799"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5CD378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54,308</w:t>
            </w:r>
          </w:p>
        </w:tc>
      </w:tr>
    </w:tbl>
    <w:p w14:paraId="73123954">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B. Estimates by gender</w:t>
      </w:r>
    </w:p>
    <w:tbl>
      <w:tblPr>
        <w:tblStyle w:val="5"/>
        <w:tblW w:w="0" w:type="auto"/>
        <w:jc w:val="center"/>
        <w:tblLayout w:type="fixed"/>
        <w:tblCellMar>
          <w:top w:w="0" w:type="dxa"/>
          <w:left w:w="108" w:type="dxa"/>
          <w:bottom w:w="0" w:type="dxa"/>
          <w:right w:w="108" w:type="dxa"/>
        </w:tblCellMar>
      </w:tblPr>
      <w:tblGrid>
        <w:gridCol w:w="844"/>
        <w:gridCol w:w="867"/>
        <w:gridCol w:w="867"/>
        <w:gridCol w:w="1126"/>
        <w:gridCol w:w="1021"/>
        <w:gridCol w:w="1021"/>
        <w:gridCol w:w="656"/>
        <w:gridCol w:w="598"/>
        <w:gridCol w:w="892"/>
        <w:gridCol w:w="803"/>
      </w:tblGrid>
      <w:tr w14:paraId="44D49B32">
        <w:tblPrEx>
          <w:tblCellMar>
            <w:top w:w="0" w:type="dxa"/>
            <w:left w:w="108" w:type="dxa"/>
            <w:bottom w:w="0" w:type="dxa"/>
            <w:right w:w="108" w:type="dxa"/>
          </w:tblCellMar>
        </w:tblPrEx>
        <w:trPr>
          <w:cantSplit/>
          <w:trHeight w:val="283" w:hRule="atLeast"/>
          <w:tblHeader/>
          <w:jc w:val="center"/>
        </w:trPr>
        <w:tc>
          <w:tcPr>
            <w:tcW w:w="844"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B801459">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Group</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8018F">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Raw treated (%)</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6CAD4">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Raw control (%)</w:t>
            </w:r>
          </w:p>
        </w:tc>
        <w:tc>
          <w:tcPr>
            <w:tcW w:w="11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8618F">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Raw difference (pp)</w:t>
            </w:r>
          </w:p>
        </w:tc>
        <w:tc>
          <w:tcPr>
            <w:tcW w:w="10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F1770">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Matched treated (%)</w:t>
            </w:r>
          </w:p>
        </w:tc>
        <w:tc>
          <w:tcPr>
            <w:tcW w:w="10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F6B5A">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Matched control (%)</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F6671">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ATT (pp)</w:t>
            </w:r>
          </w:p>
        </w:tc>
        <w:tc>
          <w:tcPr>
            <w:tcW w:w="5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535FD">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SE (pp)</w:t>
            </w:r>
          </w:p>
        </w:tc>
        <w:tc>
          <w:tcPr>
            <w:tcW w:w="8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E20E1">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p-value</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3ED86">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Total N</w:t>
            </w:r>
          </w:p>
        </w:tc>
      </w:tr>
      <w:tr w14:paraId="2F56A254">
        <w:tblPrEx>
          <w:tblCellMar>
            <w:top w:w="0" w:type="dxa"/>
            <w:left w:w="108" w:type="dxa"/>
            <w:bottom w:w="0" w:type="dxa"/>
            <w:right w:w="108" w:type="dxa"/>
          </w:tblCellMar>
        </w:tblPrEx>
        <w:trPr>
          <w:cantSplit/>
          <w:trHeight w:val="283"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DB5E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Male</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56DF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36.52</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7BBC6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34.66</w:t>
            </w:r>
          </w:p>
        </w:tc>
        <w:tc>
          <w:tcPr>
            <w:tcW w:w="11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2C96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1.86</w:t>
            </w:r>
          </w:p>
        </w:tc>
        <w:tc>
          <w:tcPr>
            <w:tcW w:w="10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CF54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36.52</w:t>
            </w:r>
          </w:p>
        </w:tc>
        <w:tc>
          <w:tcPr>
            <w:tcW w:w="10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4B0C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34.56</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E661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1.96</w:t>
            </w:r>
          </w:p>
        </w:tc>
        <w:tc>
          <w:tcPr>
            <w:tcW w:w="5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BB25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0.47</w:t>
            </w:r>
          </w:p>
        </w:tc>
        <w:tc>
          <w:tcPr>
            <w:tcW w:w="8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B05BF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D5FC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44,055</w:t>
            </w:r>
          </w:p>
        </w:tc>
      </w:tr>
      <w:tr w14:paraId="5D74B5C3">
        <w:tblPrEx>
          <w:tblCellMar>
            <w:top w:w="0" w:type="dxa"/>
            <w:left w:w="108" w:type="dxa"/>
            <w:bottom w:w="0" w:type="dxa"/>
            <w:right w:w="108" w:type="dxa"/>
          </w:tblCellMar>
        </w:tblPrEx>
        <w:trPr>
          <w:cantSplit/>
          <w:trHeight w:val="283" w:hRule="atLeast"/>
          <w:jc w:val="center"/>
        </w:trPr>
        <w:tc>
          <w:tcPr>
            <w:tcW w:w="8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CED8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Female</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99D8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24.20</w:t>
            </w:r>
          </w:p>
        </w:tc>
        <w:tc>
          <w:tcPr>
            <w:tcW w:w="8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C0E63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20.67</w:t>
            </w:r>
          </w:p>
        </w:tc>
        <w:tc>
          <w:tcPr>
            <w:tcW w:w="11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0E7C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3.53</w:t>
            </w:r>
          </w:p>
        </w:tc>
        <w:tc>
          <w:tcPr>
            <w:tcW w:w="10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0CE3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24.25</w:t>
            </w:r>
          </w:p>
        </w:tc>
        <w:tc>
          <w:tcPr>
            <w:tcW w:w="10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FE10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20.67</w:t>
            </w:r>
          </w:p>
        </w:tc>
        <w:tc>
          <w:tcPr>
            <w:tcW w:w="6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5CB0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3.58</w:t>
            </w:r>
          </w:p>
        </w:tc>
        <w:tc>
          <w:tcPr>
            <w:tcW w:w="59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B836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0.92</w:t>
            </w:r>
          </w:p>
        </w:tc>
        <w:tc>
          <w:tcPr>
            <w:tcW w:w="8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301F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8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8BF0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10,253</w:t>
            </w:r>
          </w:p>
        </w:tc>
      </w:tr>
    </w:tbl>
    <w:p w14:paraId="0602838A">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C. Estimates by industry</w:t>
      </w:r>
    </w:p>
    <w:tbl>
      <w:tblPr>
        <w:tblStyle w:val="5"/>
        <w:tblW w:w="0" w:type="auto"/>
        <w:jc w:val="center"/>
        <w:tblLayout w:type="fixed"/>
        <w:tblCellMar>
          <w:top w:w="0" w:type="dxa"/>
          <w:left w:w="108" w:type="dxa"/>
          <w:bottom w:w="0" w:type="dxa"/>
          <w:right w:w="108" w:type="dxa"/>
        </w:tblCellMar>
      </w:tblPr>
      <w:tblGrid>
        <w:gridCol w:w="1488"/>
        <w:gridCol w:w="854"/>
        <w:gridCol w:w="854"/>
        <w:gridCol w:w="1111"/>
        <w:gridCol w:w="1010"/>
        <w:gridCol w:w="1010"/>
        <w:gridCol w:w="654"/>
        <w:gridCol w:w="590"/>
        <w:gridCol w:w="882"/>
        <w:gridCol w:w="794"/>
      </w:tblGrid>
      <w:tr w14:paraId="36169390">
        <w:tblPrEx>
          <w:tblCellMar>
            <w:top w:w="0" w:type="dxa"/>
            <w:left w:w="108" w:type="dxa"/>
            <w:bottom w:w="0" w:type="dxa"/>
            <w:right w:w="108" w:type="dxa"/>
          </w:tblCellMar>
        </w:tblPrEx>
        <w:trPr>
          <w:cantSplit/>
          <w:trHeight w:val="283" w:hRule="atLeast"/>
          <w:tblHeader/>
          <w:jc w:val="center"/>
        </w:trPr>
        <w:tc>
          <w:tcPr>
            <w:tcW w:w="1488"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3545480">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Industry</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7F5FA">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treated </w:t>
            </w:r>
          </w:p>
          <w:p w14:paraId="7EA0CBF2">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E706CC">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control </w:t>
            </w:r>
          </w:p>
          <w:p w14:paraId="27ED9EA0">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EE3D5">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difference </w:t>
            </w:r>
          </w:p>
          <w:p w14:paraId="42BE6174">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63EA7">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Matched treated </w:t>
            </w:r>
          </w:p>
          <w:p w14:paraId="503C547A">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7C76D">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Matched control </w:t>
            </w:r>
          </w:p>
          <w:p w14:paraId="0D586F58">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DB0E11">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ATT </w:t>
            </w:r>
          </w:p>
          <w:p w14:paraId="7DAFEF5A">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A9672">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SE </w:t>
            </w:r>
          </w:p>
          <w:p w14:paraId="1CB1D96B">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3696D">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p-value</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D9D867">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Total N</w:t>
            </w:r>
          </w:p>
        </w:tc>
      </w:tr>
      <w:tr w14:paraId="14A9D3B6">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33F3D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Manufacturing</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4D7B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34.51</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DD43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31.92</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7B5C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2.59</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7F2B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34.51</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438A5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32.46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AC15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2.05</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4819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0.59</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7297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803A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34,026</w:t>
            </w:r>
          </w:p>
        </w:tc>
      </w:tr>
      <w:tr w14:paraId="789D5A82">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870A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Information technology</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9772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39.92</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3A7B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34.65</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0B12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5.28</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CA52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39.92</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2B69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35.49</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CE69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4.44</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D778C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1.35</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BAF09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D9A1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5,771</w:t>
            </w:r>
          </w:p>
        </w:tc>
      </w:tr>
      <w:tr w14:paraId="548A3703">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93C9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Finance</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2A47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15.14</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A283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13.67</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DAB4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1.47</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AEB8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15.14</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6CFD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13.43</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E49CB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1.71</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BA7F8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1.33</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0781C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0.200</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28DF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2,489</w:t>
            </w:r>
          </w:p>
        </w:tc>
      </w:tr>
      <w:tr w14:paraId="68787BD0">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FC05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Wholesale and retail</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6AF50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31.34</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08B9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34.81</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FCCC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-3.48</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EE89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31.44</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5DC5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34.54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5D56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-3.10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5A3E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2.41</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E81F1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0.199</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5570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1,468</w:t>
            </w:r>
          </w:p>
        </w:tc>
      </w:tr>
      <w:tr w14:paraId="4B260D8E">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6793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Transportation</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FAA2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36.55</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BACE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33.85</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E03C2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2.70</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696CB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36.55</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64CC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34.42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B8F1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2.13</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C9EC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2.79</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D840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0.446</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3A7B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1,443</w:t>
            </w:r>
          </w:p>
        </w:tc>
      </w:tr>
      <w:tr w14:paraId="06902ADD">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EEF8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Scientific research</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1269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36.06</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23B6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30.35</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B287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5.71</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B157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35.91</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D9E5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30.32</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B906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5.59</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4229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2.73</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1F01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0.041</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96C9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1,347</w:t>
            </w:r>
          </w:p>
        </w:tc>
      </w:tr>
      <w:tr w14:paraId="4AAAF0AB">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02F1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Construction</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D315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38.73</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AC55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34.15</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86B52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4.58</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B700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38.73</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41F5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34.33</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AC5C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4.40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82A1F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2.81</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DC4F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0.118</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E656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1,319</w:t>
            </w:r>
          </w:p>
        </w:tc>
      </w:tr>
      <w:tr w14:paraId="6445A1FF">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6ADE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Real estate</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95CA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41.48</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8381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35.73</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F72A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5.76</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E167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41.48</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BC0E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35.38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F4A9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6.10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D498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2.99</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61616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0.041</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CF76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1,192</w:t>
            </w:r>
          </w:p>
        </w:tc>
      </w:tr>
      <w:tr w14:paraId="16EDD20C">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39DD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Culture and sports</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684A8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35.16</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17B36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36.96</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3F2B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-1.80</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6A9A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35.16</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8B1E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37.26</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F81D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-2.10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19071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3.48</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FD23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0.546</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4BB0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925</w:t>
            </w:r>
          </w:p>
        </w:tc>
      </w:tr>
      <w:tr w14:paraId="681718ED">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4746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Water and environmental services</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9437D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33.61</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339E7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34.66</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28D0A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-1.06</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4BD8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33.61</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9A9F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35.77</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311B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-2.16</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0824E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3.50</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A655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0.537</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7A0E9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917</w:t>
            </w:r>
          </w:p>
        </w:tc>
      </w:tr>
      <w:tr w14:paraId="35D84294">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2543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Mining</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FE3E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34.48</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A3CB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35.97</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AF97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-1.48</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9BEBA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34.72</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F74E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36.88</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8CE3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-2.16</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CFB8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3.55</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4B72A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0.543</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0AC8D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910</w:t>
            </w:r>
          </w:p>
        </w:tc>
      </w:tr>
      <w:tr w14:paraId="4DDCF72A">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89AE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Utilities</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04BE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32.22</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F0C9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28.28</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FFCC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3.94</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09C3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32.40</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7397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28.11</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D3DAC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4.30</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8A076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3.61</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1EC0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0.234</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8DB53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802</w:t>
            </w:r>
          </w:p>
        </w:tc>
      </w:tr>
      <w:tr w14:paraId="77EFB56E">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F607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Leasing and business services</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5BCF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34.31</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ACA8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34.04</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E5B7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0.27</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5E03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34.65</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89609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33.14</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5A9D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1.52</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E8AA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3.86</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D439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0.695</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5B96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635</w:t>
            </w:r>
          </w:p>
        </w:tc>
      </w:tr>
      <w:tr w14:paraId="7CF275E3">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7E33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Agriculture</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C176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33.33</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39B8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32.76</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C3D3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0.57</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91CE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33.33</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6C2C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32.15</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4B132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1.18</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9B8E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5.51</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633B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0.830</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C4D0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452</w:t>
            </w:r>
          </w:p>
        </w:tc>
      </w:tr>
      <w:tr w14:paraId="1B65AD29">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C675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Conglomerates</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DF53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35.00</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77E6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32.04</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DE5C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2.96</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F4EB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35.26</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54E7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36.75</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A627E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-1.49</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9A54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5.47</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4F3E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0.785</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253B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341</w:t>
            </w:r>
          </w:p>
        </w:tc>
      </w:tr>
      <w:tr w14:paraId="1F1706CD">
        <w:tblPrEx>
          <w:tblCellMar>
            <w:top w:w="0" w:type="dxa"/>
            <w:left w:w="108" w:type="dxa"/>
            <w:bottom w:w="0" w:type="dxa"/>
            <w:right w:w="108" w:type="dxa"/>
          </w:tblCellMar>
        </w:tblPrEx>
        <w:trPr>
          <w:cantSplit/>
          <w:trHeight w:val="283" w:hRule="atLeast"/>
          <w:jc w:val="center"/>
        </w:trPr>
        <w:tc>
          <w:tcPr>
            <w:tcW w:w="14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5A2C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Other industries</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9AFF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35.00</w:t>
            </w:r>
          </w:p>
        </w:tc>
        <w:tc>
          <w:tcPr>
            <w:tcW w:w="8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B574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30.41</w:t>
            </w:r>
          </w:p>
        </w:tc>
        <w:tc>
          <w:tcPr>
            <w:tcW w:w="11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6BAD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4.59</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4213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34.69</w:t>
            </w:r>
          </w:p>
        </w:tc>
        <w:tc>
          <w:tcPr>
            <w:tcW w:w="10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E45F6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33.75</w:t>
            </w:r>
          </w:p>
        </w:tc>
        <w:tc>
          <w:tcPr>
            <w:tcW w:w="65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42CD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0.94</w:t>
            </w:r>
          </w:p>
        </w:tc>
        <w:tc>
          <w:tcPr>
            <w:tcW w:w="5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2797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6.07</w:t>
            </w:r>
          </w:p>
        </w:tc>
        <w:tc>
          <w:tcPr>
            <w:tcW w:w="8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C9BDC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0.877</w:t>
            </w:r>
          </w:p>
        </w:tc>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1229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271</w:t>
            </w:r>
          </w:p>
        </w:tc>
      </w:tr>
    </w:tbl>
    <w:p w14:paraId="0B2B7A6C">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D. Matching and common-support diagnostics</w:t>
      </w:r>
    </w:p>
    <w:tbl>
      <w:tblPr>
        <w:tblStyle w:val="5"/>
        <w:tblW w:w="0" w:type="auto"/>
        <w:jc w:val="center"/>
        <w:tblLayout w:type="fixed"/>
        <w:tblCellMar>
          <w:top w:w="0" w:type="dxa"/>
          <w:left w:w="108" w:type="dxa"/>
          <w:bottom w:w="0" w:type="dxa"/>
          <w:right w:w="108" w:type="dxa"/>
        </w:tblCellMar>
      </w:tblPr>
      <w:tblGrid>
        <w:gridCol w:w="4339"/>
        <w:gridCol w:w="1683"/>
        <w:gridCol w:w="1557"/>
      </w:tblGrid>
      <w:tr w14:paraId="390E363E">
        <w:tblPrEx>
          <w:tblCellMar>
            <w:top w:w="0" w:type="dxa"/>
            <w:left w:w="108" w:type="dxa"/>
            <w:bottom w:w="0" w:type="dxa"/>
            <w:right w:w="108" w:type="dxa"/>
          </w:tblCellMar>
        </w:tblPrEx>
        <w:trPr>
          <w:cantSplit/>
          <w:trHeight w:val="283" w:hRule="atLeast"/>
          <w:tblHeader/>
          <w:jc w:val="center"/>
        </w:trPr>
        <w:tc>
          <w:tcPr>
            <w:tcW w:w="4339" w:type="dxa"/>
            <w:tcBorders>
              <w:top w:val="single" w:color="auto" w:sz="4" w:space="0"/>
              <w:left w:val="single" w:color="auto" w:sz="4" w:space="0"/>
              <w:bottom w:val="nil"/>
              <w:right w:val="nil"/>
            </w:tcBorders>
            <w:tcMar>
              <w:top w:w="-1" w:type="dxa"/>
              <w:left w:w="-1" w:type="dxa"/>
              <w:bottom w:w="-1" w:type="dxa"/>
              <w:right w:w="-1" w:type="dxa"/>
            </w:tcMar>
            <w:vAlign w:val="center"/>
          </w:tcPr>
          <w:p w14:paraId="180CBFE0">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Diagnostic</w:t>
            </w:r>
          </w:p>
        </w:tc>
        <w:tc>
          <w:tcPr>
            <w:tcW w:w="1683" w:type="dxa"/>
            <w:tcBorders>
              <w:top w:val="single" w:color="auto" w:sz="4" w:space="0"/>
              <w:left w:val="single" w:color="auto" w:sz="4" w:space="0"/>
              <w:bottom w:val="nil"/>
              <w:right w:val="nil"/>
            </w:tcBorders>
            <w:tcMar>
              <w:top w:w="-1" w:type="dxa"/>
              <w:left w:w="-1" w:type="dxa"/>
              <w:bottom w:w="-1" w:type="dxa"/>
              <w:right w:w="-1" w:type="dxa"/>
            </w:tcMar>
            <w:vAlign w:val="center"/>
          </w:tcPr>
          <w:p w14:paraId="6E9409A0">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Before matching</w:t>
            </w:r>
          </w:p>
        </w:tc>
        <w:tc>
          <w:tcPr>
            <w:tcW w:w="155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2DBEE5D">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After matching</w:t>
            </w:r>
          </w:p>
        </w:tc>
      </w:tr>
      <w:tr w14:paraId="1EF0B6C4">
        <w:tblPrEx>
          <w:tblCellMar>
            <w:top w:w="0" w:type="dxa"/>
            <w:left w:w="108" w:type="dxa"/>
            <w:bottom w:w="0" w:type="dxa"/>
            <w:right w:w="108" w:type="dxa"/>
          </w:tblCellMar>
        </w:tblPrEx>
        <w:trPr>
          <w:cantSplit/>
          <w:trHeight w:val="283" w:hRule="atLeast"/>
          <w:jc w:val="center"/>
        </w:trPr>
        <w:tc>
          <w:tcPr>
            <w:tcW w:w="4339" w:type="dxa"/>
            <w:tcBorders>
              <w:top w:val="single" w:color="auto" w:sz="4" w:space="0"/>
              <w:left w:val="single" w:color="auto" w:sz="4" w:space="0"/>
              <w:bottom w:val="nil"/>
              <w:right w:val="nil"/>
            </w:tcBorders>
            <w:tcMar>
              <w:top w:w="-1" w:type="dxa"/>
              <w:left w:w="-1" w:type="dxa"/>
              <w:bottom w:w="-1" w:type="dxa"/>
              <w:right w:w="-1" w:type="dxa"/>
            </w:tcMar>
            <w:vAlign w:val="center"/>
          </w:tcPr>
          <w:p w14:paraId="502F916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Treated executive-firm observations</w:t>
            </w:r>
          </w:p>
        </w:tc>
        <w:tc>
          <w:tcPr>
            <w:tcW w:w="1683" w:type="dxa"/>
            <w:tcBorders>
              <w:top w:val="single" w:color="auto" w:sz="4" w:space="0"/>
              <w:left w:val="single" w:color="auto" w:sz="4" w:space="0"/>
              <w:bottom w:val="nil"/>
              <w:right w:val="nil"/>
            </w:tcBorders>
            <w:tcMar>
              <w:top w:w="-1" w:type="dxa"/>
              <w:left w:w="-1" w:type="dxa"/>
              <w:bottom w:w="-1" w:type="dxa"/>
              <w:right w:w="-1" w:type="dxa"/>
            </w:tcMar>
            <w:vAlign w:val="center"/>
          </w:tcPr>
          <w:p w14:paraId="6AEDFEF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23,769</w:t>
            </w:r>
          </w:p>
        </w:tc>
        <w:tc>
          <w:tcPr>
            <w:tcW w:w="155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7A2F6A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23,751</w:t>
            </w:r>
          </w:p>
        </w:tc>
      </w:tr>
      <w:tr w14:paraId="0C004081">
        <w:tblPrEx>
          <w:tblCellMar>
            <w:top w:w="0" w:type="dxa"/>
            <w:left w:w="108" w:type="dxa"/>
            <w:bottom w:w="0" w:type="dxa"/>
            <w:right w:w="108" w:type="dxa"/>
          </w:tblCellMar>
        </w:tblPrEx>
        <w:trPr>
          <w:cantSplit/>
          <w:trHeight w:val="283" w:hRule="atLeast"/>
          <w:jc w:val="center"/>
        </w:trPr>
        <w:tc>
          <w:tcPr>
            <w:tcW w:w="4339" w:type="dxa"/>
            <w:tcBorders>
              <w:top w:val="single" w:color="auto" w:sz="4" w:space="0"/>
              <w:left w:val="single" w:color="auto" w:sz="4" w:space="0"/>
              <w:bottom w:val="nil"/>
              <w:right w:val="nil"/>
            </w:tcBorders>
            <w:tcMar>
              <w:top w:w="-1" w:type="dxa"/>
              <w:left w:w="-1" w:type="dxa"/>
              <w:bottom w:w="-1" w:type="dxa"/>
              <w:right w:w="-1" w:type="dxa"/>
            </w:tcMar>
            <w:vAlign w:val="center"/>
          </w:tcPr>
          <w:p w14:paraId="0173745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Control executive-firm observations</w:t>
            </w:r>
          </w:p>
        </w:tc>
        <w:tc>
          <w:tcPr>
            <w:tcW w:w="1683" w:type="dxa"/>
            <w:tcBorders>
              <w:top w:val="single" w:color="auto" w:sz="4" w:space="0"/>
              <w:left w:val="single" w:color="auto" w:sz="4" w:space="0"/>
              <w:bottom w:val="nil"/>
              <w:right w:val="nil"/>
            </w:tcBorders>
            <w:tcMar>
              <w:top w:w="-1" w:type="dxa"/>
              <w:left w:w="-1" w:type="dxa"/>
              <w:bottom w:w="-1" w:type="dxa"/>
              <w:right w:w="-1" w:type="dxa"/>
            </w:tcMar>
            <w:vAlign w:val="center"/>
          </w:tcPr>
          <w:p w14:paraId="0B04F97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30,539</w:t>
            </w:r>
          </w:p>
        </w:tc>
        <w:tc>
          <w:tcPr>
            <w:tcW w:w="155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F850FA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30,480</w:t>
            </w:r>
          </w:p>
        </w:tc>
      </w:tr>
      <w:tr w14:paraId="0EB29CF9">
        <w:tblPrEx>
          <w:tblCellMar>
            <w:top w:w="0" w:type="dxa"/>
            <w:left w:w="108" w:type="dxa"/>
            <w:bottom w:w="0" w:type="dxa"/>
            <w:right w:w="108" w:type="dxa"/>
          </w:tblCellMar>
        </w:tblPrEx>
        <w:trPr>
          <w:cantSplit/>
          <w:trHeight w:val="283" w:hRule="atLeast"/>
          <w:jc w:val="center"/>
        </w:trPr>
        <w:tc>
          <w:tcPr>
            <w:tcW w:w="4339" w:type="dxa"/>
            <w:tcBorders>
              <w:top w:val="single" w:color="auto" w:sz="4" w:space="0"/>
              <w:left w:val="single" w:color="auto" w:sz="4" w:space="0"/>
              <w:bottom w:val="nil"/>
              <w:right w:val="nil"/>
            </w:tcBorders>
            <w:tcMar>
              <w:top w:w="-1" w:type="dxa"/>
              <w:left w:w="-1" w:type="dxa"/>
              <w:bottom w:w="-1" w:type="dxa"/>
              <w:right w:w="-1" w:type="dxa"/>
            </w:tcMar>
            <w:vAlign w:val="center"/>
          </w:tcPr>
          <w:p w14:paraId="7A7017D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Treated observations retained</w:t>
            </w:r>
          </w:p>
        </w:tc>
        <w:tc>
          <w:tcPr>
            <w:tcW w:w="1683" w:type="dxa"/>
            <w:tcBorders>
              <w:top w:val="single" w:color="auto" w:sz="4" w:space="0"/>
              <w:left w:val="single" w:color="auto" w:sz="4" w:space="0"/>
              <w:bottom w:val="nil"/>
              <w:right w:val="nil"/>
            </w:tcBorders>
            <w:tcMar>
              <w:top w:w="-1" w:type="dxa"/>
              <w:left w:w="-1" w:type="dxa"/>
              <w:bottom w:w="-1" w:type="dxa"/>
              <w:right w:w="-1" w:type="dxa"/>
            </w:tcMar>
            <w:vAlign w:val="center"/>
          </w:tcPr>
          <w:p w14:paraId="540337F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5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384964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23,751</w:t>
            </w:r>
          </w:p>
        </w:tc>
      </w:tr>
      <w:tr w14:paraId="21A093A5">
        <w:tblPrEx>
          <w:tblCellMar>
            <w:top w:w="0" w:type="dxa"/>
            <w:left w:w="108" w:type="dxa"/>
            <w:bottom w:w="0" w:type="dxa"/>
            <w:right w:w="108" w:type="dxa"/>
          </w:tblCellMar>
        </w:tblPrEx>
        <w:trPr>
          <w:cantSplit/>
          <w:trHeight w:val="283" w:hRule="atLeast"/>
          <w:jc w:val="center"/>
        </w:trPr>
        <w:tc>
          <w:tcPr>
            <w:tcW w:w="4339" w:type="dxa"/>
            <w:tcBorders>
              <w:top w:val="single" w:color="auto" w:sz="4" w:space="0"/>
              <w:left w:val="single" w:color="auto" w:sz="4" w:space="0"/>
              <w:bottom w:val="nil"/>
              <w:right w:val="nil"/>
            </w:tcBorders>
            <w:tcMar>
              <w:top w:w="-1" w:type="dxa"/>
              <w:left w:w="-1" w:type="dxa"/>
              <w:bottom w:w="-1" w:type="dxa"/>
              <w:right w:w="-1" w:type="dxa"/>
            </w:tcMar>
            <w:vAlign w:val="center"/>
          </w:tcPr>
          <w:p w14:paraId="0F5B864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Treated retention rate (%)</w:t>
            </w:r>
          </w:p>
        </w:tc>
        <w:tc>
          <w:tcPr>
            <w:tcW w:w="1683" w:type="dxa"/>
            <w:tcBorders>
              <w:top w:val="single" w:color="auto" w:sz="4" w:space="0"/>
              <w:left w:val="single" w:color="auto" w:sz="4" w:space="0"/>
              <w:bottom w:val="nil"/>
              <w:right w:val="nil"/>
            </w:tcBorders>
            <w:tcMar>
              <w:top w:w="-1" w:type="dxa"/>
              <w:left w:w="-1" w:type="dxa"/>
              <w:bottom w:w="-1" w:type="dxa"/>
              <w:right w:w="-1" w:type="dxa"/>
            </w:tcMar>
            <w:vAlign w:val="center"/>
          </w:tcPr>
          <w:p w14:paraId="25E044E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5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58452C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99.92</w:t>
            </w:r>
          </w:p>
        </w:tc>
      </w:tr>
      <w:tr w14:paraId="39443DC2">
        <w:tblPrEx>
          <w:tblCellMar>
            <w:top w:w="0" w:type="dxa"/>
            <w:left w:w="108" w:type="dxa"/>
            <w:bottom w:w="0" w:type="dxa"/>
            <w:right w:w="108" w:type="dxa"/>
          </w:tblCellMar>
        </w:tblPrEx>
        <w:trPr>
          <w:cantSplit/>
          <w:trHeight w:val="283" w:hRule="atLeast"/>
          <w:jc w:val="center"/>
        </w:trPr>
        <w:tc>
          <w:tcPr>
            <w:tcW w:w="4339" w:type="dxa"/>
            <w:tcBorders>
              <w:top w:val="single" w:color="auto" w:sz="4" w:space="0"/>
              <w:left w:val="single" w:color="auto" w:sz="4" w:space="0"/>
              <w:bottom w:val="nil"/>
              <w:right w:val="nil"/>
            </w:tcBorders>
            <w:tcMar>
              <w:top w:w="-1" w:type="dxa"/>
              <w:left w:w="-1" w:type="dxa"/>
              <w:bottom w:w="-1" w:type="dxa"/>
              <w:right w:w="-1" w:type="dxa"/>
            </w:tcMar>
            <w:vAlign w:val="center"/>
          </w:tcPr>
          <w:p w14:paraId="757295F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Control observations receiving positive weight</w:t>
            </w:r>
          </w:p>
        </w:tc>
        <w:tc>
          <w:tcPr>
            <w:tcW w:w="1683" w:type="dxa"/>
            <w:tcBorders>
              <w:top w:val="single" w:color="auto" w:sz="4" w:space="0"/>
              <w:left w:val="single" w:color="auto" w:sz="4" w:space="0"/>
              <w:bottom w:val="nil"/>
              <w:right w:val="nil"/>
            </w:tcBorders>
            <w:tcMar>
              <w:top w:w="-1" w:type="dxa"/>
              <w:left w:w="-1" w:type="dxa"/>
              <w:bottom w:w="-1" w:type="dxa"/>
              <w:right w:w="-1" w:type="dxa"/>
            </w:tcMar>
            <w:vAlign w:val="center"/>
          </w:tcPr>
          <w:p w14:paraId="4380C9D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5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664138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30,480</w:t>
            </w:r>
          </w:p>
        </w:tc>
      </w:tr>
      <w:tr w14:paraId="5F8DF54A">
        <w:tblPrEx>
          <w:tblCellMar>
            <w:top w:w="0" w:type="dxa"/>
            <w:left w:w="108" w:type="dxa"/>
            <w:bottom w:w="0" w:type="dxa"/>
            <w:right w:w="108" w:type="dxa"/>
          </w:tblCellMar>
        </w:tblPrEx>
        <w:trPr>
          <w:cantSplit/>
          <w:trHeight w:val="283" w:hRule="atLeast"/>
          <w:jc w:val="center"/>
        </w:trPr>
        <w:tc>
          <w:tcPr>
            <w:tcW w:w="4339" w:type="dxa"/>
            <w:tcBorders>
              <w:top w:val="single" w:color="auto" w:sz="4" w:space="0"/>
              <w:left w:val="single" w:color="auto" w:sz="4" w:space="0"/>
              <w:bottom w:val="nil"/>
              <w:right w:val="nil"/>
            </w:tcBorders>
            <w:tcMar>
              <w:top w:w="-1" w:type="dxa"/>
              <w:left w:w="-1" w:type="dxa"/>
              <w:bottom w:w="-1" w:type="dxa"/>
              <w:right w:w="-1" w:type="dxa"/>
            </w:tcMar>
            <w:vAlign w:val="center"/>
          </w:tcPr>
          <w:p w14:paraId="228E995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Exact-matching strata containing both groups</w:t>
            </w:r>
          </w:p>
        </w:tc>
        <w:tc>
          <w:tcPr>
            <w:tcW w:w="1683" w:type="dxa"/>
            <w:tcBorders>
              <w:top w:val="single" w:color="auto" w:sz="4" w:space="0"/>
              <w:left w:val="single" w:color="auto" w:sz="4" w:space="0"/>
              <w:bottom w:val="nil"/>
              <w:right w:val="nil"/>
            </w:tcBorders>
            <w:tcMar>
              <w:top w:w="-1" w:type="dxa"/>
              <w:left w:w="-1" w:type="dxa"/>
              <w:bottom w:w="-1" w:type="dxa"/>
              <w:right w:w="-1" w:type="dxa"/>
            </w:tcMar>
            <w:vAlign w:val="center"/>
          </w:tcPr>
          <w:p w14:paraId="329709A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5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F8F259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471</w:t>
            </w:r>
          </w:p>
        </w:tc>
      </w:tr>
      <w:tr w14:paraId="38665FBF">
        <w:tblPrEx>
          <w:tblCellMar>
            <w:top w:w="0" w:type="dxa"/>
            <w:left w:w="108" w:type="dxa"/>
            <w:bottom w:w="0" w:type="dxa"/>
            <w:right w:w="108" w:type="dxa"/>
          </w:tblCellMar>
        </w:tblPrEx>
        <w:trPr>
          <w:cantSplit/>
          <w:trHeight w:val="283" w:hRule="atLeast"/>
          <w:jc w:val="center"/>
        </w:trPr>
        <w:tc>
          <w:tcPr>
            <w:tcW w:w="4339" w:type="dxa"/>
            <w:tcBorders>
              <w:top w:val="single" w:color="auto" w:sz="4" w:space="0"/>
              <w:left w:val="single" w:color="auto" w:sz="4" w:space="0"/>
              <w:bottom w:val="nil"/>
              <w:right w:val="nil"/>
            </w:tcBorders>
            <w:tcMar>
              <w:top w:w="-1" w:type="dxa"/>
              <w:left w:w="-1" w:type="dxa"/>
              <w:bottom w:w="-1" w:type="dxa"/>
              <w:right w:w="-1" w:type="dxa"/>
            </w:tcMar>
            <w:vAlign w:val="center"/>
          </w:tcPr>
          <w:p w14:paraId="7B8FE05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Effective sample size of weighted controls</w:t>
            </w:r>
          </w:p>
        </w:tc>
        <w:tc>
          <w:tcPr>
            <w:tcW w:w="1683" w:type="dxa"/>
            <w:tcBorders>
              <w:top w:val="single" w:color="auto" w:sz="4" w:space="0"/>
              <w:left w:val="single" w:color="auto" w:sz="4" w:space="0"/>
              <w:bottom w:val="nil"/>
              <w:right w:val="nil"/>
            </w:tcBorders>
            <w:tcMar>
              <w:top w:w="-1" w:type="dxa"/>
              <w:left w:w="-1" w:type="dxa"/>
              <w:bottom w:w="-1" w:type="dxa"/>
              <w:right w:w="-1" w:type="dxa"/>
            </w:tcMar>
            <w:vAlign w:val="center"/>
          </w:tcPr>
          <w:p w14:paraId="5F0C91E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5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B65E74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28,577</w:t>
            </w:r>
          </w:p>
        </w:tc>
      </w:tr>
      <w:tr w14:paraId="4BF9C1C1">
        <w:tblPrEx>
          <w:tblCellMar>
            <w:top w:w="0" w:type="dxa"/>
            <w:left w:w="108" w:type="dxa"/>
            <w:bottom w:w="0" w:type="dxa"/>
            <w:right w:w="108" w:type="dxa"/>
          </w:tblCellMar>
        </w:tblPrEx>
        <w:trPr>
          <w:cantSplit/>
          <w:trHeight w:val="283" w:hRule="atLeast"/>
          <w:jc w:val="center"/>
        </w:trPr>
        <w:tc>
          <w:tcPr>
            <w:tcW w:w="4339" w:type="dxa"/>
            <w:tcBorders>
              <w:top w:val="single" w:color="auto" w:sz="4" w:space="0"/>
              <w:left w:val="single" w:color="auto" w:sz="4" w:space="0"/>
              <w:bottom w:val="nil"/>
              <w:right w:val="nil"/>
            </w:tcBorders>
            <w:tcMar>
              <w:top w:w="-1" w:type="dxa"/>
              <w:left w:w="-1" w:type="dxa"/>
              <w:bottom w:w="-1" w:type="dxa"/>
              <w:right w:w="-1" w:type="dxa"/>
            </w:tcMar>
            <w:vAlign w:val="center"/>
          </w:tcPr>
          <w:p w14:paraId="18ABC0F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Mean absolute standardized difference</w:t>
            </w:r>
          </w:p>
        </w:tc>
        <w:tc>
          <w:tcPr>
            <w:tcW w:w="1683" w:type="dxa"/>
            <w:tcBorders>
              <w:top w:val="single" w:color="auto" w:sz="4" w:space="0"/>
              <w:left w:val="single" w:color="auto" w:sz="4" w:space="0"/>
              <w:bottom w:val="nil"/>
              <w:right w:val="nil"/>
            </w:tcBorders>
            <w:tcMar>
              <w:top w:w="-1" w:type="dxa"/>
              <w:left w:w="-1" w:type="dxa"/>
              <w:bottom w:w="-1" w:type="dxa"/>
              <w:right w:w="-1" w:type="dxa"/>
            </w:tcMar>
            <w:vAlign w:val="center"/>
          </w:tcPr>
          <w:p w14:paraId="47B010B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0.029</w:t>
            </w:r>
          </w:p>
        </w:tc>
        <w:tc>
          <w:tcPr>
            <w:tcW w:w="155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3EFD40E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0.000</w:t>
            </w:r>
          </w:p>
        </w:tc>
      </w:tr>
      <w:tr w14:paraId="4CB4AAA7">
        <w:tblPrEx>
          <w:tblCellMar>
            <w:top w:w="0" w:type="dxa"/>
            <w:left w:w="108" w:type="dxa"/>
            <w:bottom w:w="0" w:type="dxa"/>
            <w:right w:w="108" w:type="dxa"/>
          </w:tblCellMar>
        </w:tblPrEx>
        <w:trPr>
          <w:cantSplit/>
          <w:trHeight w:val="283" w:hRule="atLeast"/>
          <w:jc w:val="center"/>
        </w:trPr>
        <w:tc>
          <w:tcPr>
            <w:tcW w:w="4339" w:type="dxa"/>
            <w:tcBorders>
              <w:top w:val="single" w:color="auto" w:sz="4" w:space="0"/>
              <w:left w:val="single" w:color="auto" w:sz="4" w:space="0"/>
              <w:bottom w:val="nil"/>
              <w:right w:val="nil"/>
            </w:tcBorders>
            <w:tcMar>
              <w:top w:w="-1" w:type="dxa"/>
              <w:left w:w="-1" w:type="dxa"/>
              <w:bottom w:w="-1" w:type="dxa"/>
              <w:right w:w="-1" w:type="dxa"/>
            </w:tcMar>
            <w:vAlign w:val="center"/>
          </w:tcPr>
          <w:p w14:paraId="0E73766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Maximum absolute standardized difference</w:t>
            </w:r>
          </w:p>
        </w:tc>
        <w:tc>
          <w:tcPr>
            <w:tcW w:w="1683" w:type="dxa"/>
            <w:tcBorders>
              <w:top w:val="single" w:color="auto" w:sz="4" w:space="0"/>
              <w:left w:val="single" w:color="auto" w:sz="4" w:space="0"/>
              <w:bottom w:val="nil"/>
              <w:right w:val="nil"/>
            </w:tcBorders>
            <w:tcMar>
              <w:top w:w="-1" w:type="dxa"/>
              <w:left w:w="-1" w:type="dxa"/>
              <w:bottom w:w="-1" w:type="dxa"/>
              <w:right w:w="-1" w:type="dxa"/>
            </w:tcMar>
            <w:vAlign w:val="center"/>
          </w:tcPr>
          <w:p w14:paraId="24E69DC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0.096</w:t>
            </w:r>
          </w:p>
        </w:tc>
        <w:tc>
          <w:tcPr>
            <w:tcW w:w="1557"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A3B08A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0.000</w:t>
            </w:r>
          </w:p>
        </w:tc>
      </w:tr>
      <w:tr w14:paraId="18AB294B">
        <w:tblPrEx>
          <w:tblCellMar>
            <w:top w:w="0" w:type="dxa"/>
            <w:left w:w="108" w:type="dxa"/>
            <w:bottom w:w="0" w:type="dxa"/>
            <w:right w:w="108" w:type="dxa"/>
          </w:tblCellMar>
        </w:tblPrEx>
        <w:trPr>
          <w:cantSplit/>
          <w:trHeight w:val="283" w:hRule="atLeast"/>
          <w:jc w:val="center"/>
        </w:trPr>
        <w:tc>
          <w:tcPr>
            <w:tcW w:w="4339"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84AC97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Percentage of covariates with |SMD| &lt; 0.10</w:t>
            </w:r>
          </w:p>
        </w:tc>
        <w:tc>
          <w:tcPr>
            <w:tcW w:w="1683"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69E4FB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100.0</w:t>
            </w:r>
          </w:p>
        </w:tc>
        <w:tc>
          <w:tcPr>
            <w:tcW w:w="1557"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53D76A0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100.0</w:t>
            </w:r>
          </w:p>
        </w:tc>
      </w:tr>
    </w:tbl>
    <w:p w14:paraId="3E43CED8">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E. Sensitivity analyses</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7"/>
        <w:gridCol w:w="2483"/>
        <w:gridCol w:w="776"/>
        <w:gridCol w:w="1279"/>
        <w:gridCol w:w="984"/>
        <w:gridCol w:w="1058"/>
      </w:tblGrid>
      <w:tr w14:paraId="673A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blHeader/>
          <w:jc w:val="center"/>
        </w:trPr>
        <w:tc>
          <w:tcPr>
            <w:tcW w:w="2257" w:type="dxa"/>
            <w:vAlign w:val="center"/>
          </w:tcPr>
          <w:p w14:paraId="1E127449">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Specification</w:t>
            </w:r>
          </w:p>
        </w:tc>
        <w:tc>
          <w:tcPr>
            <w:tcW w:w="2483" w:type="dxa"/>
            <w:vAlign w:val="center"/>
          </w:tcPr>
          <w:p w14:paraId="4D9F9F57">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Matching/adjustment variables</w:t>
            </w:r>
          </w:p>
        </w:tc>
        <w:tc>
          <w:tcPr>
            <w:tcW w:w="776" w:type="dxa"/>
            <w:vAlign w:val="center"/>
          </w:tcPr>
          <w:p w14:paraId="501242F3">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ATT (pp)</w:t>
            </w:r>
          </w:p>
        </w:tc>
        <w:tc>
          <w:tcPr>
            <w:tcW w:w="1279" w:type="dxa"/>
            <w:vAlign w:val="center"/>
          </w:tcPr>
          <w:p w14:paraId="408BD5C0">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95% CI</w:t>
            </w:r>
          </w:p>
        </w:tc>
        <w:tc>
          <w:tcPr>
            <w:tcW w:w="984" w:type="dxa"/>
            <w:vAlign w:val="center"/>
          </w:tcPr>
          <w:p w14:paraId="65696A69">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p-value</w:t>
            </w:r>
          </w:p>
        </w:tc>
        <w:tc>
          <w:tcPr>
            <w:tcW w:w="1058" w:type="dxa"/>
            <w:vAlign w:val="center"/>
          </w:tcPr>
          <w:p w14:paraId="0AD654F4">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Treated retention (%)</w:t>
            </w:r>
          </w:p>
        </w:tc>
      </w:tr>
      <w:tr w14:paraId="7D90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23258AB4">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Main exact-matching model</w:t>
            </w:r>
          </w:p>
        </w:tc>
        <w:tc>
          <w:tcPr>
            <w:tcW w:w="2483" w:type="dxa"/>
            <w:vAlign w:val="center"/>
          </w:tcPr>
          <w:p w14:paraId="29D93350">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Gender, industry, first observed year</w:t>
            </w:r>
          </w:p>
        </w:tc>
        <w:tc>
          <w:tcPr>
            <w:tcW w:w="776" w:type="dxa"/>
            <w:vAlign w:val="center"/>
          </w:tcPr>
          <w:p w14:paraId="6B95C862">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2.23</w:t>
            </w:r>
          </w:p>
        </w:tc>
        <w:tc>
          <w:tcPr>
            <w:tcW w:w="1279" w:type="dxa"/>
            <w:vAlign w:val="center"/>
          </w:tcPr>
          <w:p w14:paraId="21FAD18E">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[1.44, 3.02]</w:t>
            </w:r>
          </w:p>
        </w:tc>
        <w:tc>
          <w:tcPr>
            <w:tcW w:w="984" w:type="dxa"/>
            <w:vAlign w:val="center"/>
          </w:tcPr>
          <w:p w14:paraId="3F5B04FD">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&lt;0.001</w:t>
            </w:r>
          </w:p>
        </w:tc>
        <w:tc>
          <w:tcPr>
            <w:tcW w:w="1058" w:type="dxa"/>
            <w:vAlign w:val="center"/>
          </w:tcPr>
          <w:p w14:paraId="58431C16">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99.92</w:t>
            </w:r>
          </w:p>
        </w:tc>
      </w:tr>
      <w:tr w14:paraId="42E3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3385D8D4">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Additional age adjustment</w:t>
            </w:r>
          </w:p>
        </w:tc>
        <w:tc>
          <w:tcPr>
            <w:tcW w:w="2483" w:type="dxa"/>
            <w:vAlign w:val="center"/>
          </w:tcPr>
          <w:p w14:paraId="42B2F996">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Main variables + age at first observation, grouped in five-year bands</w:t>
            </w:r>
          </w:p>
        </w:tc>
        <w:tc>
          <w:tcPr>
            <w:tcW w:w="776" w:type="dxa"/>
            <w:vAlign w:val="center"/>
          </w:tcPr>
          <w:p w14:paraId="41E784E6">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1.65</w:t>
            </w:r>
          </w:p>
        </w:tc>
        <w:tc>
          <w:tcPr>
            <w:tcW w:w="1279" w:type="dxa"/>
            <w:vAlign w:val="center"/>
          </w:tcPr>
          <w:p w14:paraId="0C6AED02">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[0.86, 2.44]</w:t>
            </w:r>
          </w:p>
        </w:tc>
        <w:tc>
          <w:tcPr>
            <w:tcW w:w="984" w:type="dxa"/>
            <w:vAlign w:val="center"/>
          </w:tcPr>
          <w:p w14:paraId="45BFFA26">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0610DA0E">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97.41</w:t>
            </w:r>
          </w:p>
        </w:tc>
      </w:tr>
      <w:tr w14:paraId="61EB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73C62C64">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Additional initial-position adjustment</w:t>
            </w:r>
          </w:p>
        </w:tc>
        <w:tc>
          <w:tcPr>
            <w:tcW w:w="2483" w:type="dxa"/>
            <w:vAlign w:val="center"/>
          </w:tcPr>
          <w:p w14:paraId="2E1B8D84">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Main variables + position category at first observation</w:t>
            </w:r>
          </w:p>
        </w:tc>
        <w:tc>
          <w:tcPr>
            <w:tcW w:w="776" w:type="dxa"/>
            <w:vAlign w:val="center"/>
          </w:tcPr>
          <w:p w14:paraId="7CEBEC47">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0.44</w:t>
            </w:r>
          </w:p>
        </w:tc>
        <w:tc>
          <w:tcPr>
            <w:tcW w:w="1279" w:type="dxa"/>
            <w:vAlign w:val="center"/>
          </w:tcPr>
          <w:p w14:paraId="013CACFB">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[0.17, 0.71]</w:t>
            </w:r>
          </w:p>
        </w:tc>
        <w:tc>
          <w:tcPr>
            <w:tcW w:w="984" w:type="dxa"/>
            <w:vAlign w:val="center"/>
          </w:tcPr>
          <w:p w14:paraId="2F0C7D66">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0.002</w:t>
            </w:r>
          </w:p>
        </w:tc>
        <w:tc>
          <w:tcPr>
            <w:tcW w:w="1058" w:type="dxa"/>
            <w:vAlign w:val="center"/>
          </w:tcPr>
          <w:p w14:paraId="71104184">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99.10</w:t>
            </w:r>
          </w:p>
        </w:tc>
      </w:tr>
      <w:tr w14:paraId="34D3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188D34AD">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Observation-window adjustment</w:t>
            </w:r>
          </w:p>
        </w:tc>
        <w:tc>
          <w:tcPr>
            <w:tcW w:w="2483" w:type="dxa"/>
            <w:vAlign w:val="center"/>
          </w:tcPr>
          <w:p w14:paraId="622A2057">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Main variables + number of observed years</w:t>
            </w:r>
          </w:p>
        </w:tc>
        <w:tc>
          <w:tcPr>
            <w:tcW w:w="776" w:type="dxa"/>
            <w:vAlign w:val="center"/>
          </w:tcPr>
          <w:p w14:paraId="3F36DA96">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1.76</w:t>
            </w:r>
          </w:p>
        </w:tc>
        <w:tc>
          <w:tcPr>
            <w:tcW w:w="1279" w:type="dxa"/>
            <w:vAlign w:val="center"/>
          </w:tcPr>
          <w:p w14:paraId="229AF02A">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[0.98, 2.54]</w:t>
            </w:r>
          </w:p>
        </w:tc>
        <w:tc>
          <w:tcPr>
            <w:tcW w:w="984" w:type="dxa"/>
            <w:vAlign w:val="center"/>
          </w:tcPr>
          <w:p w14:paraId="03B55BE3">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685E9C3D">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99.56</w:t>
            </w:r>
          </w:p>
        </w:tc>
      </w:tr>
      <w:tr w14:paraId="70CE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2364933B">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Complete five-year observation window</w:t>
            </w:r>
          </w:p>
        </w:tc>
        <w:tc>
          <w:tcPr>
            <w:tcW w:w="2483" w:type="dxa"/>
            <w:vAlign w:val="center"/>
          </w:tcPr>
          <w:p w14:paraId="13ADBE80">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Outcome defined within five years after first observation</w:t>
            </w:r>
          </w:p>
        </w:tc>
        <w:tc>
          <w:tcPr>
            <w:tcW w:w="776" w:type="dxa"/>
            <w:vAlign w:val="center"/>
          </w:tcPr>
          <w:p w14:paraId="385A5CC4">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5.42</w:t>
            </w:r>
          </w:p>
        </w:tc>
        <w:tc>
          <w:tcPr>
            <w:tcW w:w="1279" w:type="dxa"/>
            <w:vAlign w:val="center"/>
          </w:tcPr>
          <w:p w14:paraId="0A2F2EE5">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[3.44, 7.39]</w:t>
            </w:r>
          </w:p>
        </w:tc>
        <w:tc>
          <w:tcPr>
            <w:tcW w:w="984" w:type="dxa"/>
            <w:vAlign w:val="center"/>
          </w:tcPr>
          <w:p w14:paraId="4B05C1FA">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00884431">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99.19</w:t>
            </w:r>
          </w:p>
        </w:tc>
      </w:tr>
      <w:tr w14:paraId="2D20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0E8CE2AD">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Person-clustered standard errors</w:t>
            </w:r>
          </w:p>
        </w:tc>
        <w:tc>
          <w:tcPr>
            <w:tcW w:w="2483" w:type="dxa"/>
            <w:vAlign w:val="center"/>
          </w:tcPr>
          <w:p w14:paraId="28FC4059">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Main exact-matching specification</w:t>
            </w:r>
          </w:p>
        </w:tc>
        <w:tc>
          <w:tcPr>
            <w:tcW w:w="776" w:type="dxa"/>
            <w:vAlign w:val="center"/>
          </w:tcPr>
          <w:p w14:paraId="7E0647A5">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2.23</w:t>
            </w:r>
          </w:p>
        </w:tc>
        <w:tc>
          <w:tcPr>
            <w:tcW w:w="1279" w:type="dxa"/>
            <w:vAlign w:val="center"/>
          </w:tcPr>
          <w:p w14:paraId="011E61ED">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[1.32, 3.14]</w:t>
            </w:r>
          </w:p>
        </w:tc>
        <w:tc>
          <w:tcPr>
            <w:tcW w:w="984" w:type="dxa"/>
            <w:vAlign w:val="center"/>
          </w:tcPr>
          <w:p w14:paraId="0942A465">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05B37E6F">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99.92</w:t>
            </w:r>
          </w:p>
        </w:tc>
      </w:tr>
      <w:tr w14:paraId="64F6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6EF4F43F">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Alternative weighting estimator</w:t>
            </w:r>
          </w:p>
        </w:tc>
        <w:tc>
          <w:tcPr>
            <w:tcW w:w="2483" w:type="dxa"/>
            <w:vAlign w:val="center"/>
          </w:tcPr>
          <w:p w14:paraId="020F9AEE">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IPWRA or entropy balancing</w:t>
            </w:r>
          </w:p>
        </w:tc>
        <w:tc>
          <w:tcPr>
            <w:tcW w:w="776" w:type="dxa"/>
            <w:vAlign w:val="center"/>
          </w:tcPr>
          <w:p w14:paraId="05C623EB">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2.26</w:t>
            </w:r>
          </w:p>
        </w:tc>
        <w:tc>
          <w:tcPr>
            <w:tcW w:w="1279" w:type="dxa"/>
            <w:vAlign w:val="center"/>
          </w:tcPr>
          <w:p w14:paraId="4AA695E9">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[1.47, 3.05]</w:t>
            </w:r>
          </w:p>
        </w:tc>
        <w:tc>
          <w:tcPr>
            <w:tcW w:w="984" w:type="dxa"/>
            <w:vAlign w:val="center"/>
          </w:tcPr>
          <w:p w14:paraId="21C16F97">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61B02635">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100.00</w:t>
            </w:r>
          </w:p>
        </w:tc>
      </w:tr>
    </w:tbl>
    <w:p w14:paraId="3521047E">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The unit of analysis is the executive-firm, with one observation per executive in each listed company. The executive-year panel is collapsed to the executive-firm level to avoid repeated annual observations of the same executive within the same company. Treatment is an elite bachelor’s degree. The outcome equals one if the executive ever held at least one core executive position—chairperson, general manager, president, CEO, or CFO—during the observation window. Exact-matching strata in the main specification are defined by gender, industry, and first observed year. The ATT is aggregated across strata containing both treated and control observations using the distribution of treated executives. Outcome means are reported as percentages, and differences and standard errors are reported in percentage points. Small industries—accommodation, residential services, education, and health—are grouped as “Other industries.” Because the same PersonID may appear in more than one company, standard errors are clustered by PersonID. Subgroup-specific estimates are obtained by re-estimating the matching procedure within each subgroup. *** p&lt;0.001, ** p&lt;0.01, * p&lt;0.05.</w:t>
      </w:r>
    </w:p>
    <w:p w14:paraId="65821123">
      <w:pPr>
        <w:keepNext w:val="0"/>
        <w:keepLines w:val="0"/>
        <w:pageBreakBefore w:val="0"/>
        <w:widowControl w:val="0"/>
        <w:kinsoku/>
        <w:wordWrap/>
        <w:overflowPunct/>
        <w:topLinePunct w:val="0"/>
        <w:autoSpaceDE/>
        <w:autoSpaceDN/>
        <w:bidi w:val="0"/>
        <w:adjustRightInd/>
        <w:snapToGrid/>
        <w:spacing w:after="157" w:afterLines="50" w:line="300" w:lineRule="auto"/>
        <w:textAlignment w:val="auto"/>
        <w:rPr>
          <w:rFonts w:hint="default" w:ascii="Times New Roman" w:hAnsi="Times New Roman" w:eastAsia="宋体" w:cs="Times New Roman"/>
          <w:b/>
          <w:bCs/>
          <w:sz w:val="21"/>
          <w:szCs w:val="21"/>
          <w:lang w:bidi="ar"/>
        </w:rPr>
      </w:pPr>
    </w:p>
    <w:p w14:paraId="0129792F">
      <w:pPr>
        <w:spacing w:line="300" w:lineRule="auto"/>
        <w:rPr>
          <w:rFonts w:hint="default" w:ascii="Times New Roman" w:hAnsi="Times New Roman" w:eastAsia="宋体" w:cs="Times New Roman"/>
          <w:b/>
          <w:bCs/>
          <w:sz w:val="24"/>
          <w:lang w:bidi="ar"/>
        </w:rPr>
      </w:pPr>
    </w:p>
    <w:p w14:paraId="3837C7B8">
      <w:pPr>
        <w:rPr>
          <w:rFonts w:hint="default" w:ascii="Times New Roman" w:hAnsi="Times New Roman" w:cs="Times New Roman"/>
          <w:szCs w:val="22"/>
        </w:rPr>
      </w:pPr>
      <w:r>
        <w:rPr>
          <w:rFonts w:hint="default" w:ascii="Times New Roman" w:hAnsi="Times New Roman" w:cs="Times New Roman"/>
          <w:szCs w:val="22"/>
        </w:rPr>
        <w:br w:type="page"/>
      </w:r>
    </w:p>
    <w:p w14:paraId="0CBC96F3">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lang w:val="en-US" w:eastAsia="zh-CN"/>
        </w:rPr>
      </w:pPr>
      <w:r>
        <w:rPr>
          <w:rFonts w:hint="default" w:ascii="Times New Roman" w:hAnsi="Times New Roman" w:cs="Times New Roman"/>
          <w:i w:val="0"/>
          <w:sz w:val="22"/>
          <w:szCs w:val="22"/>
        </w:rPr>
        <w:t xml:space="preserve">Appendix Table 23. Exact-matching estimates of elite government position attainment in </w:t>
      </w:r>
      <w:r>
        <w:rPr>
          <w:rFonts w:hint="default" w:ascii="Times New Roman" w:hAnsi="Times New Roman" w:cs="Times New Roman"/>
          <w:i w:val="0"/>
          <w:sz w:val="22"/>
          <w:szCs w:val="22"/>
          <w:lang w:val="en-US" w:eastAsia="zh-CN"/>
        </w:rPr>
        <w:t>the LinkedIn public-administration sample</w:t>
      </w:r>
    </w:p>
    <w:p w14:paraId="517373DB">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A. Full-sample estimate</w:t>
      </w:r>
    </w:p>
    <w:tbl>
      <w:tblPr>
        <w:tblStyle w:val="5"/>
        <w:tblW w:w="9155" w:type="dxa"/>
        <w:jc w:val="center"/>
        <w:tblLayout w:type="fixed"/>
        <w:tblCellMar>
          <w:top w:w="0" w:type="dxa"/>
          <w:left w:w="108" w:type="dxa"/>
          <w:bottom w:w="0" w:type="dxa"/>
          <w:right w:w="108" w:type="dxa"/>
        </w:tblCellMar>
      </w:tblPr>
      <w:tblGrid>
        <w:gridCol w:w="891"/>
        <w:gridCol w:w="905"/>
        <w:gridCol w:w="830"/>
        <w:gridCol w:w="1117"/>
        <w:gridCol w:w="997"/>
        <w:gridCol w:w="988"/>
        <w:gridCol w:w="730"/>
        <w:gridCol w:w="672"/>
        <w:gridCol w:w="975"/>
        <w:gridCol w:w="1050"/>
      </w:tblGrid>
      <w:tr w14:paraId="452AF815">
        <w:tblPrEx>
          <w:tblCellMar>
            <w:top w:w="0" w:type="dxa"/>
            <w:left w:w="108" w:type="dxa"/>
            <w:bottom w:w="0" w:type="dxa"/>
            <w:right w:w="108" w:type="dxa"/>
          </w:tblCellMar>
        </w:tblPrEx>
        <w:trPr>
          <w:cantSplit/>
          <w:trHeight w:val="881" w:hRule="atLeast"/>
          <w:tblHeader/>
          <w:jc w:val="center"/>
        </w:trPr>
        <w:tc>
          <w:tcPr>
            <w:tcW w:w="891" w:type="dxa"/>
            <w:tcBorders>
              <w:top w:val="single" w:color="auto" w:sz="4" w:space="0"/>
              <w:left w:val="single" w:color="auto" w:sz="4" w:space="0"/>
              <w:bottom w:val="nil"/>
              <w:right w:val="nil"/>
            </w:tcBorders>
            <w:tcMar>
              <w:top w:w="-1" w:type="dxa"/>
              <w:left w:w="-1" w:type="dxa"/>
              <w:bottom w:w="-1" w:type="dxa"/>
              <w:right w:w="-1" w:type="dxa"/>
            </w:tcMar>
            <w:vAlign w:val="center"/>
          </w:tcPr>
          <w:p w14:paraId="1A2D6009">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Sample</w:t>
            </w:r>
          </w:p>
        </w:tc>
        <w:tc>
          <w:tcPr>
            <w:tcW w:w="905" w:type="dxa"/>
            <w:tcBorders>
              <w:top w:val="single" w:color="auto" w:sz="4" w:space="0"/>
              <w:left w:val="single" w:color="auto" w:sz="4" w:space="0"/>
              <w:bottom w:val="nil"/>
              <w:right w:val="nil"/>
            </w:tcBorders>
            <w:tcMar>
              <w:top w:w="-1" w:type="dxa"/>
              <w:left w:w="-1" w:type="dxa"/>
              <w:bottom w:w="-1" w:type="dxa"/>
              <w:right w:w="-1" w:type="dxa"/>
            </w:tcMar>
            <w:vAlign w:val="center"/>
          </w:tcPr>
          <w:p w14:paraId="5A47635A">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treated </w:t>
            </w:r>
          </w:p>
          <w:p w14:paraId="607F8F15">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830" w:type="dxa"/>
            <w:tcBorders>
              <w:top w:val="single" w:color="auto" w:sz="4" w:space="0"/>
              <w:left w:val="single" w:color="auto" w:sz="4" w:space="0"/>
              <w:bottom w:val="nil"/>
              <w:right w:val="nil"/>
            </w:tcBorders>
            <w:tcMar>
              <w:top w:w="-1" w:type="dxa"/>
              <w:left w:w="-1" w:type="dxa"/>
              <w:bottom w:w="-1" w:type="dxa"/>
              <w:right w:w="-1" w:type="dxa"/>
            </w:tcMar>
            <w:vAlign w:val="center"/>
          </w:tcPr>
          <w:p w14:paraId="7104C65A">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control </w:t>
            </w:r>
          </w:p>
          <w:p w14:paraId="3C227748">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1117" w:type="dxa"/>
            <w:tcBorders>
              <w:top w:val="single" w:color="auto" w:sz="4" w:space="0"/>
              <w:left w:val="single" w:color="auto" w:sz="4" w:space="0"/>
              <w:bottom w:val="nil"/>
              <w:right w:val="nil"/>
            </w:tcBorders>
            <w:tcMar>
              <w:top w:w="-1" w:type="dxa"/>
              <w:left w:w="-1" w:type="dxa"/>
              <w:bottom w:w="-1" w:type="dxa"/>
              <w:right w:w="-1" w:type="dxa"/>
            </w:tcMar>
            <w:vAlign w:val="center"/>
          </w:tcPr>
          <w:p w14:paraId="4059D4E6">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difference </w:t>
            </w:r>
          </w:p>
          <w:p w14:paraId="6F29811C">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997" w:type="dxa"/>
            <w:tcBorders>
              <w:top w:val="single" w:color="auto" w:sz="4" w:space="0"/>
              <w:left w:val="single" w:color="auto" w:sz="4" w:space="0"/>
              <w:bottom w:val="nil"/>
              <w:right w:val="nil"/>
            </w:tcBorders>
            <w:tcMar>
              <w:top w:w="-1" w:type="dxa"/>
              <w:left w:w="-1" w:type="dxa"/>
              <w:bottom w:w="-1" w:type="dxa"/>
              <w:right w:w="-1" w:type="dxa"/>
            </w:tcMar>
            <w:vAlign w:val="center"/>
          </w:tcPr>
          <w:p w14:paraId="09E707A1">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Matched treated </w:t>
            </w:r>
          </w:p>
          <w:p w14:paraId="6CFA8D89">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988" w:type="dxa"/>
            <w:tcBorders>
              <w:top w:val="single" w:color="auto" w:sz="4" w:space="0"/>
              <w:left w:val="single" w:color="auto" w:sz="4" w:space="0"/>
              <w:bottom w:val="nil"/>
              <w:right w:val="nil"/>
            </w:tcBorders>
            <w:tcMar>
              <w:top w:w="-1" w:type="dxa"/>
              <w:left w:w="-1" w:type="dxa"/>
              <w:bottom w:w="-1" w:type="dxa"/>
              <w:right w:w="-1" w:type="dxa"/>
            </w:tcMar>
            <w:vAlign w:val="center"/>
          </w:tcPr>
          <w:p w14:paraId="2F2C90C5">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Matched control </w:t>
            </w:r>
          </w:p>
          <w:p w14:paraId="01A2E634">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730" w:type="dxa"/>
            <w:tcBorders>
              <w:top w:val="single" w:color="auto" w:sz="4" w:space="0"/>
              <w:left w:val="single" w:color="auto" w:sz="4" w:space="0"/>
              <w:bottom w:val="nil"/>
              <w:right w:val="nil"/>
            </w:tcBorders>
            <w:tcMar>
              <w:top w:w="-1" w:type="dxa"/>
              <w:left w:w="-1" w:type="dxa"/>
              <w:bottom w:w="-1" w:type="dxa"/>
              <w:right w:w="-1" w:type="dxa"/>
            </w:tcMar>
            <w:vAlign w:val="center"/>
          </w:tcPr>
          <w:p w14:paraId="694661F6">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ATT </w:t>
            </w:r>
          </w:p>
          <w:p w14:paraId="6A5230CF">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672" w:type="dxa"/>
            <w:tcBorders>
              <w:top w:val="single" w:color="auto" w:sz="4" w:space="0"/>
              <w:left w:val="single" w:color="auto" w:sz="4" w:space="0"/>
              <w:bottom w:val="nil"/>
              <w:right w:val="nil"/>
            </w:tcBorders>
            <w:tcMar>
              <w:top w:w="-1" w:type="dxa"/>
              <w:left w:w="-1" w:type="dxa"/>
              <w:bottom w:w="-1" w:type="dxa"/>
              <w:right w:w="-1" w:type="dxa"/>
            </w:tcMar>
            <w:vAlign w:val="center"/>
          </w:tcPr>
          <w:p w14:paraId="7978DDE7">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SE </w:t>
            </w:r>
          </w:p>
          <w:p w14:paraId="20819DD0">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975" w:type="dxa"/>
            <w:tcBorders>
              <w:top w:val="single" w:color="auto" w:sz="4" w:space="0"/>
              <w:left w:val="single" w:color="auto" w:sz="4" w:space="0"/>
              <w:bottom w:val="nil"/>
              <w:right w:val="nil"/>
            </w:tcBorders>
            <w:tcMar>
              <w:top w:w="-1" w:type="dxa"/>
              <w:left w:w="-1" w:type="dxa"/>
              <w:bottom w:w="-1" w:type="dxa"/>
              <w:right w:w="-1" w:type="dxa"/>
            </w:tcMar>
            <w:vAlign w:val="center"/>
          </w:tcPr>
          <w:p w14:paraId="55C0A3E7">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p-value</w:t>
            </w:r>
          </w:p>
        </w:tc>
        <w:tc>
          <w:tcPr>
            <w:tcW w:w="1050"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AC83899">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Total N</w:t>
            </w:r>
          </w:p>
        </w:tc>
      </w:tr>
      <w:tr w14:paraId="5D2E22D3">
        <w:tblPrEx>
          <w:tblCellMar>
            <w:top w:w="0" w:type="dxa"/>
            <w:left w:w="108" w:type="dxa"/>
            <w:bottom w:w="0" w:type="dxa"/>
            <w:right w:w="108" w:type="dxa"/>
          </w:tblCellMar>
        </w:tblPrEx>
        <w:trPr>
          <w:cantSplit/>
          <w:trHeight w:val="281" w:hRule="atLeast"/>
          <w:jc w:val="center"/>
        </w:trPr>
        <w:tc>
          <w:tcPr>
            <w:tcW w:w="891"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09658C7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All sample</w:t>
            </w:r>
          </w:p>
        </w:tc>
        <w:tc>
          <w:tcPr>
            <w:tcW w:w="90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6EBC02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2.50</w:t>
            </w:r>
          </w:p>
        </w:tc>
        <w:tc>
          <w:tcPr>
            <w:tcW w:w="83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5B09C9A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2.37</w:t>
            </w:r>
          </w:p>
        </w:tc>
        <w:tc>
          <w:tcPr>
            <w:tcW w:w="111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7BC4551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0.12</w:t>
            </w:r>
          </w:p>
        </w:tc>
        <w:tc>
          <w:tcPr>
            <w:tcW w:w="997"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397E44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2.50</w:t>
            </w:r>
          </w:p>
        </w:tc>
        <w:tc>
          <w:tcPr>
            <w:tcW w:w="988"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60F663A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2.38</w:t>
            </w:r>
          </w:p>
        </w:tc>
        <w:tc>
          <w:tcPr>
            <w:tcW w:w="730"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33432F5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0.12</w:t>
            </w:r>
          </w:p>
        </w:tc>
        <w:tc>
          <w:tcPr>
            <w:tcW w:w="67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EBD49D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0.02</w:t>
            </w:r>
          </w:p>
        </w:tc>
        <w:tc>
          <w:tcPr>
            <w:tcW w:w="975"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C04168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50"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90F63D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2,358,987</w:t>
            </w:r>
          </w:p>
        </w:tc>
      </w:tr>
    </w:tbl>
    <w:p w14:paraId="778AC7D6">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B. Estimates by gender</w:t>
      </w:r>
    </w:p>
    <w:tbl>
      <w:tblPr>
        <w:tblStyle w:val="5"/>
        <w:tblW w:w="9154" w:type="dxa"/>
        <w:jc w:val="center"/>
        <w:tblLayout w:type="fixed"/>
        <w:tblCellMar>
          <w:top w:w="0" w:type="dxa"/>
          <w:left w:w="108" w:type="dxa"/>
          <w:bottom w:w="0" w:type="dxa"/>
          <w:right w:w="108" w:type="dxa"/>
        </w:tblCellMar>
      </w:tblPr>
      <w:tblGrid>
        <w:gridCol w:w="959"/>
        <w:gridCol w:w="824"/>
        <w:gridCol w:w="826"/>
        <w:gridCol w:w="1124"/>
        <w:gridCol w:w="1025"/>
        <w:gridCol w:w="978"/>
        <w:gridCol w:w="702"/>
        <w:gridCol w:w="692"/>
        <w:gridCol w:w="960"/>
        <w:gridCol w:w="1064"/>
      </w:tblGrid>
      <w:tr w14:paraId="17A70171">
        <w:tblPrEx>
          <w:tblCellMar>
            <w:top w:w="0" w:type="dxa"/>
            <w:left w:w="108" w:type="dxa"/>
            <w:bottom w:w="0" w:type="dxa"/>
            <w:right w:w="108" w:type="dxa"/>
          </w:tblCellMar>
        </w:tblPrEx>
        <w:trPr>
          <w:cantSplit/>
          <w:trHeight w:val="283" w:hRule="atLeast"/>
          <w:tblHeader/>
          <w:jc w:val="center"/>
        </w:trPr>
        <w:tc>
          <w:tcPr>
            <w:tcW w:w="959"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73D0F61">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Group</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1EC16">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treated </w:t>
            </w:r>
          </w:p>
          <w:p w14:paraId="615DF126">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A39F1">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control </w:t>
            </w:r>
          </w:p>
          <w:p w14:paraId="0BA473B0">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11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11C67">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difference </w:t>
            </w:r>
          </w:p>
          <w:p w14:paraId="00831765">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8F50FB">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Matched treated </w:t>
            </w:r>
          </w:p>
          <w:p w14:paraId="2FF5588F">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9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7564E">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Matched control </w:t>
            </w:r>
          </w:p>
          <w:p w14:paraId="6C1B2E1E">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7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E3FD3D">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ATT </w:t>
            </w:r>
          </w:p>
          <w:p w14:paraId="5A6C523A">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39E98">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SE </w:t>
            </w:r>
          </w:p>
          <w:p w14:paraId="0241ED77">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69207">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p-value</w:t>
            </w:r>
          </w:p>
        </w:tc>
        <w:tc>
          <w:tcPr>
            <w:tcW w:w="1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86C1B5">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Total N</w:t>
            </w:r>
          </w:p>
        </w:tc>
      </w:tr>
      <w:tr w14:paraId="51BCC1F3">
        <w:tblPrEx>
          <w:tblCellMar>
            <w:top w:w="0" w:type="dxa"/>
            <w:left w:w="108" w:type="dxa"/>
            <w:bottom w:w="0" w:type="dxa"/>
            <w:right w:w="108" w:type="dxa"/>
          </w:tblCellMar>
        </w:tblPrEx>
        <w:trPr>
          <w:cantSplit/>
          <w:trHeight w:val="283"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379E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Male</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FC942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3.38</w:t>
            </w:r>
          </w:p>
        </w:tc>
        <w:tc>
          <w:tcPr>
            <w:tcW w:w="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C5C7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3.45</w:t>
            </w:r>
          </w:p>
        </w:tc>
        <w:tc>
          <w:tcPr>
            <w:tcW w:w="11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09843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-0.07</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AFE7D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3.38</w:t>
            </w:r>
          </w:p>
        </w:tc>
        <w:tc>
          <w:tcPr>
            <w:tcW w:w="9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18B2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3.33</w:t>
            </w:r>
          </w:p>
        </w:tc>
        <w:tc>
          <w:tcPr>
            <w:tcW w:w="7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D0EE7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0.05</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39922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0.04</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77B0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0.246</w:t>
            </w:r>
          </w:p>
        </w:tc>
        <w:tc>
          <w:tcPr>
            <w:tcW w:w="1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D3BE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1,019,103</w:t>
            </w:r>
          </w:p>
        </w:tc>
      </w:tr>
      <w:tr w14:paraId="17B51DB1">
        <w:tblPrEx>
          <w:tblCellMar>
            <w:top w:w="0" w:type="dxa"/>
            <w:left w:w="108" w:type="dxa"/>
            <w:bottom w:w="0" w:type="dxa"/>
            <w:right w:w="108" w:type="dxa"/>
          </w:tblCellMar>
        </w:tblPrEx>
        <w:trPr>
          <w:cantSplit/>
          <w:trHeight w:val="283" w:hRule="atLeast"/>
          <w:jc w:val="center"/>
        </w:trPr>
        <w:tc>
          <w:tcPr>
            <w:tcW w:w="9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992F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Female</w:t>
            </w:r>
          </w:p>
        </w:tc>
        <w:tc>
          <w:tcPr>
            <w:tcW w:w="8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6B63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1.87</w:t>
            </w:r>
          </w:p>
        </w:tc>
        <w:tc>
          <w:tcPr>
            <w:tcW w:w="8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E18C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1.53</w:t>
            </w:r>
          </w:p>
        </w:tc>
        <w:tc>
          <w:tcPr>
            <w:tcW w:w="11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46C1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0.34</w:t>
            </w:r>
          </w:p>
        </w:tc>
        <w:tc>
          <w:tcPr>
            <w:tcW w:w="10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B1B5B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1.87</w:t>
            </w:r>
          </w:p>
        </w:tc>
        <w:tc>
          <w:tcPr>
            <w:tcW w:w="97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7E15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1.70</w:t>
            </w:r>
          </w:p>
        </w:tc>
        <w:tc>
          <w:tcPr>
            <w:tcW w:w="7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412B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0.17</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12FB8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0.03</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ED4F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2369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1,339,884</w:t>
            </w:r>
          </w:p>
        </w:tc>
      </w:tr>
    </w:tbl>
    <w:p w14:paraId="0CF779C1">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C. Estimates by country</w:t>
      </w:r>
    </w:p>
    <w:tbl>
      <w:tblPr>
        <w:tblStyle w:val="5"/>
        <w:tblW w:w="9380" w:type="dxa"/>
        <w:jc w:val="center"/>
        <w:tblLayout w:type="fixed"/>
        <w:tblCellMar>
          <w:top w:w="0" w:type="dxa"/>
          <w:left w:w="108" w:type="dxa"/>
          <w:bottom w:w="0" w:type="dxa"/>
          <w:right w:w="108" w:type="dxa"/>
        </w:tblCellMar>
      </w:tblPr>
      <w:tblGrid>
        <w:gridCol w:w="1230"/>
        <w:gridCol w:w="830"/>
        <w:gridCol w:w="896"/>
        <w:gridCol w:w="1117"/>
        <w:gridCol w:w="997"/>
        <w:gridCol w:w="997"/>
        <w:gridCol w:w="692"/>
        <w:gridCol w:w="628"/>
        <w:gridCol w:w="913"/>
        <w:gridCol w:w="1080"/>
      </w:tblGrid>
      <w:tr w14:paraId="59D67FB5">
        <w:tblPrEx>
          <w:tblCellMar>
            <w:top w:w="0" w:type="dxa"/>
            <w:left w:w="108" w:type="dxa"/>
            <w:bottom w:w="0" w:type="dxa"/>
            <w:right w:w="108" w:type="dxa"/>
          </w:tblCellMar>
        </w:tblPrEx>
        <w:trPr>
          <w:cantSplit/>
          <w:trHeight w:val="911" w:hRule="atLeast"/>
          <w:tblHeader/>
          <w:jc w:val="center"/>
        </w:trPr>
        <w:tc>
          <w:tcPr>
            <w:tcW w:w="1230"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6716819B">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Country</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3B05C0">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treated </w:t>
            </w:r>
          </w:p>
          <w:p w14:paraId="1CED702C">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07D44">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control </w:t>
            </w:r>
          </w:p>
          <w:p w14:paraId="4BF77C6B">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FE5A06">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Raw difference </w:t>
            </w:r>
          </w:p>
          <w:p w14:paraId="43C08D0D">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E1B02">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Matched treated </w:t>
            </w:r>
          </w:p>
          <w:p w14:paraId="29F8B4AC">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E5875">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Matched control </w:t>
            </w:r>
          </w:p>
          <w:p w14:paraId="544DEBCD">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D1EF79">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ATT </w:t>
            </w:r>
          </w:p>
          <w:p w14:paraId="13D294C8">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BCF16">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 xml:space="preserve">SE </w:t>
            </w:r>
          </w:p>
          <w:p w14:paraId="71F266CB">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(pp)</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11FC1">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p-value</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522AF">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Total N</w:t>
            </w:r>
          </w:p>
        </w:tc>
      </w:tr>
      <w:tr w14:paraId="62AE4E8B">
        <w:tblPrEx>
          <w:tblCellMar>
            <w:top w:w="0" w:type="dxa"/>
            <w:left w:w="108" w:type="dxa"/>
            <w:bottom w:w="0" w:type="dxa"/>
            <w:right w:w="108" w:type="dxa"/>
          </w:tblCellMar>
        </w:tblPrEx>
        <w:trPr>
          <w:cantSplit/>
          <w:trHeight w:val="460"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D7E8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United States</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BFA4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2.44</w:t>
            </w:r>
          </w:p>
        </w:tc>
        <w:tc>
          <w:tcPr>
            <w:tcW w:w="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EC65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2.50</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DA30C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-0.06</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1C05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2.44</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563E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2.43</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F0E0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0.01</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9329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0.03</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4509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0.624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9821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1,755,669</w:t>
            </w:r>
          </w:p>
        </w:tc>
      </w:tr>
      <w:tr w14:paraId="0623F361">
        <w:tblPrEx>
          <w:tblCellMar>
            <w:top w:w="0" w:type="dxa"/>
            <w:left w:w="108" w:type="dxa"/>
            <w:bottom w:w="0" w:type="dxa"/>
            <w:right w:w="108" w:type="dxa"/>
          </w:tblCellMar>
        </w:tblPrEx>
        <w:trPr>
          <w:cantSplit/>
          <w:trHeight w:val="460"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72D9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United Kingdom</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3FAB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2.16</w:t>
            </w:r>
          </w:p>
        </w:tc>
        <w:tc>
          <w:tcPr>
            <w:tcW w:w="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69AB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1.71</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EC1B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0.45</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B5BD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2.16</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C0F7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1.70</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45283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0.47</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CC04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0.07</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CBD5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0B15F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147,472</w:t>
            </w:r>
          </w:p>
        </w:tc>
      </w:tr>
      <w:tr w14:paraId="62D9C72E">
        <w:tblPrEx>
          <w:tblCellMar>
            <w:top w:w="0" w:type="dxa"/>
            <w:left w:w="108" w:type="dxa"/>
            <w:bottom w:w="0" w:type="dxa"/>
            <w:right w:w="108" w:type="dxa"/>
          </w:tblCellMar>
        </w:tblPrEx>
        <w:trPr>
          <w:cantSplit/>
          <w:trHeight w:val="288"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6CDA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Canada</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ADE44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2.54</w:t>
            </w:r>
          </w:p>
        </w:tc>
        <w:tc>
          <w:tcPr>
            <w:tcW w:w="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E188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2.28</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1795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0.26</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1F193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2.54</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181B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2.40</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1918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0.14</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BBA87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0.09</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73DC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0.119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38A2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129,323</w:t>
            </w:r>
          </w:p>
        </w:tc>
      </w:tr>
      <w:tr w14:paraId="22DD678D">
        <w:tblPrEx>
          <w:tblCellMar>
            <w:top w:w="0" w:type="dxa"/>
            <w:left w:w="108" w:type="dxa"/>
            <w:bottom w:w="0" w:type="dxa"/>
            <w:right w:w="108" w:type="dxa"/>
          </w:tblCellMar>
        </w:tblPrEx>
        <w:trPr>
          <w:cantSplit/>
          <w:trHeight w:val="288"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AE54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Australia</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B1A8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3.76</w:t>
            </w:r>
          </w:p>
        </w:tc>
        <w:tc>
          <w:tcPr>
            <w:tcW w:w="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17E7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3.16</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9FC37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0.60</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A165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3.76</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23362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3.21</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D9C7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0.55</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2E87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0.12</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72AD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&lt;0.001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D628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107,028</w:t>
            </w:r>
          </w:p>
        </w:tc>
      </w:tr>
      <w:tr w14:paraId="710A9B9C">
        <w:tblPrEx>
          <w:tblCellMar>
            <w:top w:w="0" w:type="dxa"/>
            <w:left w:w="108" w:type="dxa"/>
            <w:bottom w:w="0" w:type="dxa"/>
            <w:right w:w="108" w:type="dxa"/>
          </w:tblCellMar>
        </w:tblPrEx>
        <w:trPr>
          <w:cantSplit/>
          <w:trHeight w:val="288"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5D96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Netherlands</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3ECD3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2.02</w:t>
            </w:r>
          </w:p>
        </w:tc>
        <w:tc>
          <w:tcPr>
            <w:tcW w:w="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3A3F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2.12</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9B8F1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-0.10</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E4ADC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2.02</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7E3A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1.92</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A8E5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0.10</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7BB1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0.13</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35BD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0.445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B76B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47,082</w:t>
            </w:r>
          </w:p>
        </w:tc>
      </w:tr>
      <w:tr w14:paraId="5FEDE7E2">
        <w:tblPrEx>
          <w:tblCellMar>
            <w:top w:w="0" w:type="dxa"/>
            <w:left w:w="108" w:type="dxa"/>
            <w:bottom w:w="0" w:type="dxa"/>
            <w:right w:w="108" w:type="dxa"/>
          </w:tblCellMar>
        </w:tblPrEx>
        <w:trPr>
          <w:cantSplit/>
          <w:trHeight w:val="288"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3301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India</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0D0E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2.24</w:t>
            </w:r>
          </w:p>
        </w:tc>
        <w:tc>
          <w:tcPr>
            <w:tcW w:w="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2F3FA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1.83</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E9788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0.41</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85FD1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2.24</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DDCE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1.79</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D16B5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0.44</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B627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0.32</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C628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0.168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2C99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47,654</w:t>
            </w:r>
          </w:p>
        </w:tc>
      </w:tr>
      <w:tr w14:paraId="57606CBC">
        <w:tblPrEx>
          <w:tblCellMar>
            <w:top w:w="0" w:type="dxa"/>
            <w:left w:w="108" w:type="dxa"/>
            <w:bottom w:w="0" w:type="dxa"/>
            <w:right w:w="108" w:type="dxa"/>
          </w:tblCellMar>
        </w:tblPrEx>
        <w:trPr>
          <w:cantSplit/>
          <w:trHeight w:val="288"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63D5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Germany</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6B45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2.03</w:t>
            </w:r>
          </w:p>
        </w:tc>
        <w:tc>
          <w:tcPr>
            <w:tcW w:w="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35911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2.03</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694F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-0.00</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21C5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2.03</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DF33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1.96</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1BD3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0.06</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ABCD9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0.17</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1EFE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0.707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9A42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37,557</w:t>
            </w:r>
          </w:p>
        </w:tc>
      </w:tr>
      <w:tr w14:paraId="2D18986F">
        <w:tblPrEx>
          <w:tblCellMar>
            <w:top w:w="0" w:type="dxa"/>
            <w:left w:w="108" w:type="dxa"/>
            <w:bottom w:w="0" w:type="dxa"/>
            <w:right w:w="108" w:type="dxa"/>
          </w:tblCellMar>
        </w:tblPrEx>
        <w:trPr>
          <w:cantSplit/>
          <w:trHeight w:val="288"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A5DD4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Italy</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35E3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0.88</w:t>
            </w:r>
          </w:p>
        </w:tc>
        <w:tc>
          <w:tcPr>
            <w:tcW w:w="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039C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1.02</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809F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-0.14</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782DF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0.88</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4EF8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1.02</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F07E4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-0.14</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ADE383">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0.11</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E590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0.225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2F2DC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39,740</w:t>
            </w:r>
          </w:p>
        </w:tc>
      </w:tr>
      <w:tr w14:paraId="5292714A">
        <w:tblPrEx>
          <w:tblCellMar>
            <w:top w:w="0" w:type="dxa"/>
            <w:left w:w="108" w:type="dxa"/>
            <w:bottom w:w="0" w:type="dxa"/>
            <w:right w:w="108" w:type="dxa"/>
          </w:tblCellMar>
        </w:tblPrEx>
        <w:trPr>
          <w:cantSplit/>
          <w:trHeight w:val="288"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2B77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France</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4658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0.85</w:t>
            </w:r>
          </w:p>
        </w:tc>
        <w:tc>
          <w:tcPr>
            <w:tcW w:w="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171C8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0.80</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2DE7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0.06</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9231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0.85</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5432F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0.84</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87F2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0.01</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C1BF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0.12</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0F42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0.912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06C0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32,630</w:t>
            </w:r>
          </w:p>
        </w:tc>
      </w:tr>
      <w:tr w14:paraId="31155312">
        <w:tblPrEx>
          <w:tblCellMar>
            <w:top w:w="0" w:type="dxa"/>
            <w:left w:w="108" w:type="dxa"/>
            <w:bottom w:w="0" w:type="dxa"/>
            <w:right w:w="108" w:type="dxa"/>
          </w:tblCellMar>
        </w:tblPrEx>
        <w:trPr>
          <w:cantSplit/>
          <w:trHeight w:val="298"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2647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Spain</w:t>
            </w:r>
          </w:p>
        </w:tc>
        <w:tc>
          <w:tcPr>
            <w:tcW w:w="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C593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0.76</w:t>
            </w:r>
          </w:p>
        </w:tc>
        <w:tc>
          <w:tcPr>
            <w:tcW w:w="8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62F55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1.12</w:t>
            </w:r>
          </w:p>
        </w:tc>
        <w:tc>
          <w:tcPr>
            <w:tcW w:w="11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A147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-0.36</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5B59D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0.76</w:t>
            </w:r>
          </w:p>
        </w:tc>
        <w:tc>
          <w:tcPr>
            <w:tcW w:w="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3F38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1.05</w:t>
            </w:r>
          </w:p>
        </w:tc>
        <w:tc>
          <w:tcPr>
            <w:tcW w:w="6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7BF3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-0.29</w:t>
            </w:r>
          </w:p>
        </w:tc>
        <w:tc>
          <w:tcPr>
            <w:tcW w:w="6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FCA4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0.17</w:t>
            </w:r>
          </w:p>
        </w:tc>
        <w:tc>
          <w:tcPr>
            <w:tcW w:w="9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9747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0.082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79AC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14,832</w:t>
            </w:r>
          </w:p>
        </w:tc>
      </w:tr>
    </w:tbl>
    <w:p w14:paraId="66D3EBAD">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D. Matching and common-support diagnostics</w:t>
      </w:r>
    </w:p>
    <w:tbl>
      <w:tblPr>
        <w:tblStyle w:val="5"/>
        <w:tblW w:w="0" w:type="auto"/>
        <w:jc w:val="center"/>
        <w:tblLayout w:type="fixed"/>
        <w:tblCellMar>
          <w:top w:w="0" w:type="dxa"/>
          <w:left w:w="108" w:type="dxa"/>
          <w:bottom w:w="0" w:type="dxa"/>
          <w:right w:w="108" w:type="dxa"/>
        </w:tblCellMar>
      </w:tblPr>
      <w:tblGrid>
        <w:gridCol w:w="4672"/>
        <w:gridCol w:w="1634"/>
        <w:gridCol w:w="1513"/>
      </w:tblGrid>
      <w:tr w14:paraId="554D517D">
        <w:tblPrEx>
          <w:tblCellMar>
            <w:top w:w="0" w:type="dxa"/>
            <w:left w:w="108" w:type="dxa"/>
            <w:bottom w:w="0" w:type="dxa"/>
            <w:right w:w="108" w:type="dxa"/>
          </w:tblCellMar>
        </w:tblPrEx>
        <w:trPr>
          <w:cantSplit/>
          <w:trHeight w:val="283" w:hRule="atLeast"/>
          <w:tblHeader/>
          <w:jc w:val="center"/>
        </w:trPr>
        <w:tc>
          <w:tcPr>
            <w:tcW w:w="4672" w:type="dxa"/>
            <w:tcBorders>
              <w:top w:val="single" w:color="auto" w:sz="4" w:space="0"/>
              <w:left w:val="single" w:color="auto" w:sz="4" w:space="0"/>
              <w:bottom w:val="nil"/>
              <w:right w:val="nil"/>
            </w:tcBorders>
            <w:tcMar>
              <w:top w:w="-1" w:type="dxa"/>
              <w:left w:w="-1" w:type="dxa"/>
              <w:bottom w:w="-1" w:type="dxa"/>
              <w:right w:w="-1" w:type="dxa"/>
            </w:tcMar>
            <w:vAlign w:val="center"/>
          </w:tcPr>
          <w:p w14:paraId="57B764D8">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Diagnostic</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159E0D88">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Before matching</w:t>
            </w:r>
          </w:p>
        </w:tc>
        <w:tc>
          <w:tcPr>
            <w:tcW w:w="151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21A1226C">
            <w:pPr>
              <w:snapToGrid w:val="0"/>
              <w:spacing w:before="0" w:after="0" w:line="240" w:lineRule="auto"/>
              <w:jc w:val="center"/>
              <w:textAlignment w:val="center"/>
              <w:rPr>
                <w:rFonts w:hint="default" w:ascii="Times New Roman" w:hAnsi="Times New Roman" w:eastAsia="宋体" w:cs="Times New Roman"/>
                <w:b/>
                <w:bCs/>
                <w:sz w:val="20"/>
                <w:szCs w:val="20"/>
                <w:lang w:bidi="ar"/>
              </w:rPr>
            </w:pPr>
            <w:r>
              <w:rPr>
                <w:rFonts w:hint="default" w:ascii="Times New Roman" w:hAnsi="Times New Roman" w:eastAsia="宋体" w:cs="Times New Roman"/>
                <w:b/>
                <w:bCs/>
                <w:sz w:val="20"/>
                <w:szCs w:val="20"/>
                <w:lang w:bidi="ar"/>
              </w:rPr>
              <w:t>After matching</w:t>
            </w:r>
          </w:p>
        </w:tc>
      </w:tr>
      <w:tr w14:paraId="58944567">
        <w:tblPrEx>
          <w:tblCellMar>
            <w:top w:w="0" w:type="dxa"/>
            <w:left w:w="108" w:type="dxa"/>
            <w:bottom w:w="0" w:type="dxa"/>
            <w:right w:w="108" w:type="dxa"/>
          </w:tblCellMar>
        </w:tblPrEx>
        <w:trPr>
          <w:cantSplit/>
          <w:trHeight w:val="283" w:hRule="atLeast"/>
          <w:jc w:val="center"/>
        </w:trPr>
        <w:tc>
          <w:tcPr>
            <w:tcW w:w="4672" w:type="dxa"/>
            <w:tcBorders>
              <w:top w:val="single" w:color="auto" w:sz="4" w:space="0"/>
              <w:left w:val="single" w:color="auto" w:sz="4" w:space="0"/>
              <w:bottom w:val="nil"/>
              <w:right w:val="nil"/>
            </w:tcBorders>
            <w:tcMar>
              <w:top w:w="-1" w:type="dxa"/>
              <w:left w:w="-1" w:type="dxa"/>
              <w:bottom w:w="-1" w:type="dxa"/>
              <w:right w:w="-1" w:type="dxa"/>
            </w:tcMar>
            <w:vAlign w:val="center"/>
          </w:tcPr>
          <w:p w14:paraId="6EE5EE4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Treated observations</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393903F6">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730,771</w:t>
            </w:r>
          </w:p>
        </w:tc>
        <w:tc>
          <w:tcPr>
            <w:tcW w:w="151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EF4A3B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730,764</w:t>
            </w:r>
          </w:p>
        </w:tc>
      </w:tr>
      <w:tr w14:paraId="7FB71BE9">
        <w:tblPrEx>
          <w:tblCellMar>
            <w:top w:w="0" w:type="dxa"/>
            <w:left w:w="108" w:type="dxa"/>
            <w:bottom w:w="0" w:type="dxa"/>
            <w:right w:w="108" w:type="dxa"/>
          </w:tblCellMar>
        </w:tblPrEx>
        <w:trPr>
          <w:cantSplit/>
          <w:trHeight w:val="283" w:hRule="atLeast"/>
          <w:jc w:val="center"/>
        </w:trPr>
        <w:tc>
          <w:tcPr>
            <w:tcW w:w="4672" w:type="dxa"/>
            <w:tcBorders>
              <w:top w:val="single" w:color="auto" w:sz="4" w:space="0"/>
              <w:left w:val="single" w:color="auto" w:sz="4" w:space="0"/>
              <w:bottom w:val="nil"/>
              <w:right w:val="nil"/>
            </w:tcBorders>
            <w:tcMar>
              <w:top w:w="-1" w:type="dxa"/>
              <w:left w:w="-1" w:type="dxa"/>
              <w:bottom w:w="-1" w:type="dxa"/>
              <w:right w:w="-1" w:type="dxa"/>
            </w:tcMar>
            <w:vAlign w:val="center"/>
          </w:tcPr>
          <w:p w14:paraId="252529A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Control observations</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75F767D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1,628,216</w:t>
            </w:r>
          </w:p>
        </w:tc>
        <w:tc>
          <w:tcPr>
            <w:tcW w:w="151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214208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1,628,012</w:t>
            </w:r>
          </w:p>
        </w:tc>
      </w:tr>
      <w:tr w14:paraId="59F473FE">
        <w:tblPrEx>
          <w:tblCellMar>
            <w:top w:w="0" w:type="dxa"/>
            <w:left w:w="108" w:type="dxa"/>
            <w:bottom w:w="0" w:type="dxa"/>
            <w:right w:w="108" w:type="dxa"/>
          </w:tblCellMar>
        </w:tblPrEx>
        <w:trPr>
          <w:cantSplit/>
          <w:trHeight w:val="283" w:hRule="atLeast"/>
          <w:jc w:val="center"/>
        </w:trPr>
        <w:tc>
          <w:tcPr>
            <w:tcW w:w="4672" w:type="dxa"/>
            <w:tcBorders>
              <w:top w:val="single" w:color="auto" w:sz="4" w:space="0"/>
              <w:left w:val="single" w:color="auto" w:sz="4" w:space="0"/>
              <w:bottom w:val="nil"/>
              <w:right w:val="nil"/>
            </w:tcBorders>
            <w:tcMar>
              <w:top w:w="-1" w:type="dxa"/>
              <w:left w:w="-1" w:type="dxa"/>
              <w:bottom w:w="-1" w:type="dxa"/>
              <w:right w:w="-1" w:type="dxa"/>
            </w:tcMar>
            <w:vAlign w:val="center"/>
          </w:tcPr>
          <w:p w14:paraId="4A9E73B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Treated observations retained</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07892662">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1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FC83C1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730,764</w:t>
            </w:r>
          </w:p>
        </w:tc>
      </w:tr>
      <w:tr w14:paraId="2B7F52CB">
        <w:tblPrEx>
          <w:tblCellMar>
            <w:top w:w="0" w:type="dxa"/>
            <w:left w:w="108" w:type="dxa"/>
            <w:bottom w:w="0" w:type="dxa"/>
            <w:right w:w="108" w:type="dxa"/>
          </w:tblCellMar>
        </w:tblPrEx>
        <w:trPr>
          <w:cantSplit/>
          <w:trHeight w:val="283" w:hRule="atLeast"/>
          <w:jc w:val="center"/>
        </w:trPr>
        <w:tc>
          <w:tcPr>
            <w:tcW w:w="4672" w:type="dxa"/>
            <w:tcBorders>
              <w:top w:val="single" w:color="auto" w:sz="4" w:space="0"/>
              <w:left w:val="single" w:color="auto" w:sz="4" w:space="0"/>
              <w:bottom w:val="nil"/>
              <w:right w:val="nil"/>
            </w:tcBorders>
            <w:tcMar>
              <w:top w:w="-1" w:type="dxa"/>
              <w:left w:w="-1" w:type="dxa"/>
              <w:bottom w:w="-1" w:type="dxa"/>
              <w:right w:w="-1" w:type="dxa"/>
            </w:tcMar>
            <w:vAlign w:val="center"/>
          </w:tcPr>
          <w:p w14:paraId="4B2CFF9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Treated retention rate (%)</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6904406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1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0E905C6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100.00</w:t>
            </w:r>
          </w:p>
        </w:tc>
      </w:tr>
      <w:tr w14:paraId="5D8953BA">
        <w:tblPrEx>
          <w:tblCellMar>
            <w:top w:w="0" w:type="dxa"/>
            <w:left w:w="108" w:type="dxa"/>
            <w:bottom w:w="0" w:type="dxa"/>
            <w:right w:w="108" w:type="dxa"/>
          </w:tblCellMar>
        </w:tblPrEx>
        <w:trPr>
          <w:cantSplit/>
          <w:trHeight w:val="283" w:hRule="atLeast"/>
          <w:jc w:val="center"/>
        </w:trPr>
        <w:tc>
          <w:tcPr>
            <w:tcW w:w="4672" w:type="dxa"/>
            <w:tcBorders>
              <w:top w:val="single" w:color="auto" w:sz="4" w:space="0"/>
              <w:left w:val="single" w:color="auto" w:sz="4" w:space="0"/>
              <w:bottom w:val="nil"/>
              <w:right w:val="nil"/>
            </w:tcBorders>
            <w:tcMar>
              <w:top w:w="-1" w:type="dxa"/>
              <w:left w:w="-1" w:type="dxa"/>
              <w:bottom w:w="-1" w:type="dxa"/>
              <w:right w:w="-1" w:type="dxa"/>
            </w:tcMar>
            <w:vAlign w:val="center"/>
          </w:tcPr>
          <w:p w14:paraId="14651C5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Control observations receiving positive weight</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395C1B6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1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4A97C3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1,628,012</w:t>
            </w:r>
          </w:p>
        </w:tc>
      </w:tr>
      <w:tr w14:paraId="38247D3B">
        <w:tblPrEx>
          <w:tblCellMar>
            <w:top w:w="0" w:type="dxa"/>
            <w:left w:w="108" w:type="dxa"/>
            <w:bottom w:w="0" w:type="dxa"/>
            <w:right w:w="108" w:type="dxa"/>
          </w:tblCellMar>
        </w:tblPrEx>
        <w:trPr>
          <w:cantSplit/>
          <w:trHeight w:val="283" w:hRule="atLeast"/>
          <w:jc w:val="center"/>
        </w:trPr>
        <w:tc>
          <w:tcPr>
            <w:tcW w:w="4672" w:type="dxa"/>
            <w:tcBorders>
              <w:top w:val="single" w:color="auto" w:sz="4" w:space="0"/>
              <w:left w:val="single" w:color="auto" w:sz="4" w:space="0"/>
              <w:bottom w:val="nil"/>
              <w:right w:val="nil"/>
            </w:tcBorders>
            <w:tcMar>
              <w:top w:w="-1" w:type="dxa"/>
              <w:left w:w="-1" w:type="dxa"/>
              <w:bottom w:w="-1" w:type="dxa"/>
              <w:right w:w="-1" w:type="dxa"/>
            </w:tcMar>
            <w:vAlign w:val="center"/>
          </w:tcPr>
          <w:p w14:paraId="6FFF7E1F">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Exact-matching strata containing both groups</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59B76D0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1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16FD868">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885</w:t>
            </w:r>
          </w:p>
        </w:tc>
      </w:tr>
      <w:tr w14:paraId="3BB53DC6">
        <w:tblPrEx>
          <w:tblCellMar>
            <w:top w:w="0" w:type="dxa"/>
            <w:left w:w="108" w:type="dxa"/>
            <w:bottom w:w="0" w:type="dxa"/>
            <w:right w:w="108" w:type="dxa"/>
          </w:tblCellMar>
        </w:tblPrEx>
        <w:trPr>
          <w:cantSplit/>
          <w:trHeight w:val="283" w:hRule="atLeast"/>
          <w:jc w:val="center"/>
        </w:trPr>
        <w:tc>
          <w:tcPr>
            <w:tcW w:w="4672" w:type="dxa"/>
            <w:tcBorders>
              <w:top w:val="single" w:color="auto" w:sz="4" w:space="0"/>
              <w:left w:val="single" w:color="auto" w:sz="4" w:space="0"/>
              <w:bottom w:val="nil"/>
              <w:right w:val="nil"/>
            </w:tcBorders>
            <w:tcMar>
              <w:top w:w="-1" w:type="dxa"/>
              <w:left w:w="-1" w:type="dxa"/>
              <w:bottom w:w="-1" w:type="dxa"/>
              <w:right w:w="-1" w:type="dxa"/>
            </w:tcMar>
            <w:vAlign w:val="center"/>
          </w:tcPr>
          <w:p w14:paraId="0808483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Average number of controls per treated observation</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7F83215C">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1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7B8A824B">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2.23</w:t>
            </w:r>
          </w:p>
        </w:tc>
      </w:tr>
      <w:tr w14:paraId="5AA7C8CA">
        <w:tblPrEx>
          <w:tblCellMar>
            <w:top w:w="0" w:type="dxa"/>
            <w:left w:w="108" w:type="dxa"/>
            <w:bottom w:w="0" w:type="dxa"/>
            <w:right w:w="108" w:type="dxa"/>
          </w:tblCellMar>
        </w:tblPrEx>
        <w:trPr>
          <w:cantSplit/>
          <w:trHeight w:val="283" w:hRule="atLeast"/>
          <w:jc w:val="center"/>
        </w:trPr>
        <w:tc>
          <w:tcPr>
            <w:tcW w:w="4672" w:type="dxa"/>
            <w:tcBorders>
              <w:top w:val="single" w:color="auto" w:sz="4" w:space="0"/>
              <w:left w:val="single" w:color="auto" w:sz="4" w:space="0"/>
              <w:bottom w:val="nil"/>
              <w:right w:val="nil"/>
            </w:tcBorders>
            <w:tcMar>
              <w:top w:w="-1" w:type="dxa"/>
              <w:left w:w="-1" w:type="dxa"/>
              <w:bottom w:w="-1" w:type="dxa"/>
              <w:right w:w="-1" w:type="dxa"/>
            </w:tcMar>
            <w:vAlign w:val="center"/>
          </w:tcPr>
          <w:p w14:paraId="1715C154">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Effective sample size of weighted controls</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6A2127AE">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w:t>
            </w:r>
          </w:p>
        </w:tc>
        <w:tc>
          <w:tcPr>
            <w:tcW w:w="151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624C808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1,037,006</w:t>
            </w:r>
          </w:p>
        </w:tc>
      </w:tr>
      <w:tr w14:paraId="231BED40">
        <w:tblPrEx>
          <w:tblCellMar>
            <w:top w:w="0" w:type="dxa"/>
            <w:left w:w="108" w:type="dxa"/>
            <w:bottom w:w="0" w:type="dxa"/>
            <w:right w:w="108" w:type="dxa"/>
          </w:tblCellMar>
        </w:tblPrEx>
        <w:trPr>
          <w:cantSplit/>
          <w:trHeight w:val="283" w:hRule="atLeast"/>
          <w:jc w:val="center"/>
        </w:trPr>
        <w:tc>
          <w:tcPr>
            <w:tcW w:w="4672" w:type="dxa"/>
            <w:tcBorders>
              <w:top w:val="single" w:color="auto" w:sz="4" w:space="0"/>
              <w:left w:val="single" w:color="auto" w:sz="4" w:space="0"/>
              <w:bottom w:val="nil"/>
              <w:right w:val="nil"/>
            </w:tcBorders>
            <w:tcMar>
              <w:top w:w="-1" w:type="dxa"/>
              <w:left w:w="-1" w:type="dxa"/>
              <w:bottom w:w="-1" w:type="dxa"/>
              <w:right w:w="-1" w:type="dxa"/>
            </w:tcMar>
            <w:vAlign w:val="center"/>
          </w:tcPr>
          <w:p w14:paraId="77576169">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Mean absolute standardized difference</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7FB92175">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0.140</w:t>
            </w:r>
          </w:p>
        </w:tc>
        <w:tc>
          <w:tcPr>
            <w:tcW w:w="151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5E8EA497">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0.000</w:t>
            </w:r>
          </w:p>
        </w:tc>
      </w:tr>
      <w:tr w14:paraId="3F0AB1B8">
        <w:tblPrEx>
          <w:tblCellMar>
            <w:top w:w="0" w:type="dxa"/>
            <w:left w:w="108" w:type="dxa"/>
            <w:bottom w:w="0" w:type="dxa"/>
            <w:right w:w="108" w:type="dxa"/>
          </w:tblCellMar>
        </w:tblPrEx>
        <w:trPr>
          <w:cantSplit/>
          <w:trHeight w:val="283" w:hRule="atLeast"/>
          <w:jc w:val="center"/>
        </w:trPr>
        <w:tc>
          <w:tcPr>
            <w:tcW w:w="4672" w:type="dxa"/>
            <w:tcBorders>
              <w:top w:val="single" w:color="auto" w:sz="4" w:space="0"/>
              <w:left w:val="single" w:color="auto" w:sz="4" w:space="0"/>
              <w:bottom w:val="nil"/>
              <w:right w:val="nil"/>
            </w:tcBorders>
            <w:tcMar>
              <w:top w:w="-1" w:type="dxa"/>
              <w:left w:w="-1" w:type="dxa"/>
              <w:bottom w:w="-1" w:type="dxa"/>
              <w:right w:w="-1" w:type="dxa"/>
            </w:tcMar>
            <w:vAlign w:val="center"/>
          </w:tcPr>
          <w:p w14:paraId="55CFD991">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Maximum absolute standardized difference</w:t>
            </w:r>
          </w:p>
        </w:tc>
        <w:tc>
          <w:tcPr>
            <w:tcW w:w="1634" w:type="dxa"/>
            <w:tcBorders>
              <w:top w:val="single" w:color="auto" w:sz="4" w:space="0"/>
              <w:left w:val="single" w:color="auto" w:sz="4" w:space="0"/>
              <w:bottom w:val="nil"/>
              <w:right w:val="nil"/>
            </w:tcBorders>
            <w:tcMar>
              <w:top w:w="-1" w:type="dxa"/>
              <w:left w:w="-1" w:type="dxa"/>
              <w:bottom w:w="-1" w:type="dxa"/>
              <w:right w:w="-1" w:type="dxa"/>
            </w:tcMar>
            <w:vAlign w:val="center"/>
          </w:tcPr>
          <w:p w14:paraId="23994000">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0.343</w:t>
            </w:r>
          </w:p>
        </w:tc>
        <w:tc>
          <w:tcPr>
            <w:tcW w:w="1513" w:type="dxa"/>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18D3261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0.000</w:t>
            </w:r>
          </w:p>
        </w:tc>
      </w:tr>
      <w:tr w14:paraId="6C474297">
        <w:tblPrEx>
          <w:tblCellMar>
            <w:top w:w="0" w:type="dxa"/>
            <w:left w:w="108" w:type="dxa"/>
            <w:bottom w:w="0" w:type="dxa"/>
            <w:right w:w="108" w:type="dxa"/>
          </w:tblCellMar>
        </w:tblPrEx>
        <w:trPr>
          <w:cantSplit/>
          <w:trHeight w:val="283" w:hRule="atLeast"/>
          <w:jc w:val="center"/>
        </w:trPr>
        <w:tc>
          <w:tcPr>
            <w:tcW w:w="4672"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15B1AE8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0"/>
                <w:lang w:bidi="ar"/>
              </w:rPr>
              <w:t>Percentage of covariates with |SMD| &lt; 0.10</w:t>
            </w:r>
          </w:p>
        </w:tc>
        <w:tc>
          <w:tcPr>
            <w:tcW w:w="1634" w:type="dxa"/>
            <w:tcBorders>
              <w:top w:val="single" w:color="auto" w:sz="4" w:space="0"/>
              <w:left w:val="single" w:color="auto" w:sz="4" w:space="0"/>
              <w:bottom w:val="single" w:color="auto" w:sz="4" w:space="0"/>
              <w:right w:val="nil"/>
            </w:tcBorders>
            <w:tcMar>
              <w:top w:w="-1" w:type="dxa"/>
              <w:left w:w="-1" w:type="dxa"/>
              <w:bottom w:w="-1" w:type="dxa"/>
              <w:right w:w="-1" w:type="dxa"/>
            </w:tcMar>
            <w:vAlign w:val="center"/>
          </w:tcPr>
          <w:p w14:paraId="457EA28D">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50.0</w:t>
            </w:r>
          </w:p>
        </w:tc>
        <w:tc>
          <w:tcPr>
            <w:tcW w:w="1513" w:type="dxa"/>
            <w:tcBorders>
              <w:top w:val="single" w:color="auto" w:sz="4" w:space="0"/>
              <w:left w:val="single" w:color="auto" w:sz="4" w:space="0"/>
              <w:bottom w:val="single" w:color="auto" w:sz="4" w:space="0"/>
              <w:right w:val="single" w:color="auto" w:sz="4" w:space="0"/>
            </w:tcBorders>
            <w:tcMar>
              <w:top w:w="-1" w:type="dxa"/>
              <w:left w:w="-1" w:type="dxa"/>
              <w:bottom w:w="-1" w:type="dxa"/>
              <w:right w:w="-1" w:type="dxa"/>
            </w:tcMar>
            <w:vAlign w:val="center"/>
          </w:tcPr>
          <w:p w14:paraId="01659CEA">
            <w:pPr>
              <w:snapToGrid w:val="0"/>
              <w:spacing w:before="0" w:after="0" w:line="240" w:lineRule="auto"/>
              <w:jc w:val="center"/>
              <w:textAlignment w:val="center"/>
              <w:rPr>
                <w:rFonts w:hint="default" w:ascii="Times New Roman" w:hAnsi="Times New Roman" w:eastAsia="宋体" w:cs="Times New Roman"/>
                <w:sz w:val="20"/>
                <w:szCs w:val="20"/>
                <w:lang w:bidi="ar"/>
              </w:rPr>
            </w:pPr>
            <w:r>
              <w:rPr>
                <w:rFonts w:hint="default" w:ascii="Times New Roman" w:hAnsi="Times New Roman" w:eastAsia="宋体" w:cs="Times New Roman"/>
                <w:sz w:val="20"/>
                <w:szCs w:val="22"/>
              </w:rPr>
              <w:t>100.0</w:t>
            </w:r>
          </w:p>
        </w:tc>
      </w:tr>
    </w:tbl>
    <w:p w14:paraId="23E0449B">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E. Sensitivity analyses</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7"/>
        <w:gridCol w:w="2483"/>
        <w:gridCol w:w="776"/>
        <w:gridCol w:w="1279"/>
        <w:gridCol w:w="984"/>
        <w:gridCol w:w="1058"/>
      </w:tblGrid>
      <w:tr w14:paraId="71F9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blHeader/>
          <w:jc w:val="center"/>
        </w:trPr>
        <w:tc>
          <w:tcPr>
            <w:tcW w:w="2257" w:type="dxa"/>
            <w:vAlign w:val="center"/>
          </w:tcPr>
          <w:p w14:paraId="02F7B4D9">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Specification</w:t>
            </w:r>
          </w:p>
        </w:tc>
        <w:tc>
          <w:tcPr>
            <w:tcW w:w="2483" w:type="dxa"/>
            <w:vAlign w:val="center"/>
          </w:tcPr>
          <w:p w14:paraId="27F46E75">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Matching/adjustment variables</w:t>
            </w:r>
          </w:p>
        </w:tc>
        <w:tc>
          <w:tcPr>
            <w:tcW w:w="776" w:type="dxa"/>
            <w:vAlign w:val="center"/>
          </w:tcPr>
          <w:p w14:paraId="1102607E">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ATT (pp)</w:t>
            </w:r>
          </w:p>
        </w:tc>
        <w:tc>
          <w:tcPr>
            <w:tcW w:w="1279" w:type="dxa"/>
            <w:vAlign w:val="center"/>
          </w:tcPr>
          <w:p w14:paraId="53DFBFA7">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95% CI</w:t>
            </w:r>
          </w:p>
        </w:tc>
        <w:tc>
          <w:tcPr>
            <w:tcW w:w="984" w:type="dxa"/>
            <w:vAlign w:val="center"/>
          </w:tcPr>
          <w:p w14:paraId="3E962884">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p-value</w:t>
            </w:r>
          </w:p>
        </w:tc>
        <w:tc>
          <w:tcPr>
            <w:tcW w:w="1058" w:type="dxa"/>
            <w:vAlign w:val="center"/>
          </w:tcPr>
          <w:p w14:paraId="627115ED">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b/>
                <w:sz w:val="20"/>
                <w:szCs w:val="20"/>
                <w:lang w:bidi="ar"/>
              </w:rPr>
              <w:t>Treated retention (%)</w:t>
            </w:r>
          </w:p>
        </w:tc>
      </w:tr>
      <w:tr w14:paraId="23C6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472A3D05">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Main exact-matching model</w:t>
            </w:r>
          </w:p>
        </w:tc>
        <w:tc>
          <w:tcPr>
            <w:tcW w:w="2483" w:type="dxa"/>
            <w:vAlign w:val="center"/>
          </w:tcPr>
          <w:p w14:paraId="3162C6E6">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Gender, country, graduation year</w:t>
            </w:r>
          </w:p>
        </w:tc>
        <w:tc>
          <w:tcPr>
            <w:tcW w:w="776" w:type="dxa"/>
            <w:vAlign w:val="center"/>
          </w:tcPr>
          <w:p w14:paraId="4AC4815C">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0.12</w:t>
            </w:r>
          </w:p>
        </w:tc>
        <w:tc>
          <w:tcPr>
            <w:tcW w:w="1279" w:type="dxa"/>
            <w:vAlign w:val="center"/>
          </w:tcPr>
          <w:p w14:paraId="7B7C55B8">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[0.07, 0.17]</w:t>
            </w:r>
          </w:p>
        </w:tc>
        <w:tc>
          <w:tcPr>
            <w:tcW w:w="984" w:type="dxa"/>
            <w:vAlign w:val="center"/>
          </w:tcPr>
          <w:p w14:paraId="57864E51">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&lt;0.001</w:t>
            </w:r>
          </w:p>
        </w:tc>
        <w:tc>
          <w:tcPr>
            <w:tcW w:w="1058" w:type="dxa"/>
            <w:vAlign w:val="center"/>
          </w:tcPr>
          <w:p w14:paraId="50270D01">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100.00</w:t>
            </w:r>
          </w:p>
        </w:tc>
      </w:tr>
      <w:tr w14:paraId="2C5B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4B7EAAE7">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Additional public-sector career-stage adjustment</w:t>
            </w:r>
          </w:p>
        </w:tc>
        <w:tc>
          <w:tcPr>
            <w:tcW w:w="2483" w:type="dxa"/>
            <w:vAlign w:val="center"/>
          </w:tcPr>
          <w:p w14:paraId="682D2B32">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Main variables + first observed public-administration year</w:t>
            </w:r>
          </w:p>
        </w:tc>
        <w:tc>
          <w:tcPr>
            <w:tcW w:w="776" w:type="dxa"/>
            <w:vAlign w:val="center"/>
          </w:tcPr>
          <w:p w14:paraId="0826E17E">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0.15</w:t>
            </w:r>
          </w:p>
        </w:tc>
        <w:tc>
          <w:tcPr>
            <w:tcW w:w="1279" w:type="dxa"/>
            <w:vAlign w:val="center"/>
          </w:tcPr>
          <w:p w14:paraId="1EA659B8">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[0.10, 0.19]</w:t>
            </w:r>
          </w:p>
        </w:tc>
        <w:tc>
          <w:tcPr>
            <w:tcW w:w="984" w:type="dxa"/>
            <w:vAlign w:val="center"/>
          </w:tcPr>
          <w:p w14:paraId="273323C2">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78697F58">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99.70</w:t>
            </w:r>
          </w:p>
        </w:tc>
      </w:tr>
      <w:tr w14:paraId="5C01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1DD7B955">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Additional observable career-length adjustment</w:t>
            </w:r>
          </w:p>
        </w:tc>
        <w:tc>
          <w:tcPr>
            <w:tcW w:w="2483" w:type="dxa"/>
            <w:vAlign w:val="center"/>
          </w:tcPr>
          <w:p w14:paraId="39F9ABD2">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Main variables + observable career-length category</w:t>
            </w:r>
          </w:p>
        </w:tc>
        <w:tc>
          <w:tcPr>
            <w:tcW w:w="776" w:type="dxa"/>
            <w:vAlign w:val="center"/>
          </w:tcPr>
          <w:p w14:paraId="78576472">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0.17</w:t>
            </w:r>
          </w:p>
        </w:tc>
        <w:tc>
          <w:tcPr>
            <w:tcW w:w="1279" w:type="dxa"/>
            <w:vAlign w:val="center"/>
          </w:tcPr>
          <w:p w14:paraId="0E313AD3">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[0.12, 0.21]</w:t>
            </w:r>
          </w:p>
        </w:tc>
        <w:tc>
          <w:tcPr>
            <w:tcW w:w="984" w:type="dxa"/>
            <w:vAlign w:val="center"/>
          </w:tcPr>
          <w:p w14:paraId="294A4D9A">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4EED08FC">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99.99</w:t>
            </w:r>
          </w:p>
        </w:tc>
      </w:tr>
      <w:tr w14:paraId="1930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116BB8AD">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Complete 10-year observation window</w:t>
            </w:r>
          </w:p>
        </w:tc>
        <w:tc>
          <w:tcPr>
            <w:tcW w:w="2483" w:type="dxa"/>
            <w:vAlign w:val="center"/>
          </w:tcPr>
          <w:p w14:paraId="046F7578">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Outcome defined within 10 years of first observed public-administration employment</w:t>
            </w:r>
          </w:p>
        </w:tc>
        <w:tc>
          <w:tcPr>
            <w:tcW w:w="776" w:type="dxa"/>
            <w:vAlign w:val="center"/>
          </w:tcPr>
          <w:p w14:paraId="560E0F8A">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0.21</w:t>
            </w:r>
          </w:p>
        </w:tc>
        <w:tc>
          <w:tcPr>
            <w:tcW w:w="1279" w:type="dxa"/>
            <w:vAlign w:val="center"/>
          </w:tcPr>
          <w:p w14:paraId="25FCC411">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[0.05, 0.36]</w:t>
            </w:r>
          </w:p>
        </w:tc>
        <w:tc>
          <w:tcPr>
            <w:tcW w:w="984" w:type="dxa"/>
            <w:vAlign w:val="center"/>
          </w:tcPr>
          <w:p w14:paraId="0713211A">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0.008</w:t>
            </w:r>
          </w:p>
        </w:tc>
        <w:tc>
          <w:tcPr>
            <w:tcW w:w="1058" w:type="dxa"/>
            <w:vAlign w:val="center"/>
          </w:tcPr>
          <w:p w14:paraId="42830D4F">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99.99</w:t>
            </w:r>
          </w:p>
        </w:tc>
      </w:tr>
      <w:tr w14:paraId="09B7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3F18DD23">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Alternative weighting estimator</w:t>
            </w:r>
          </w:p>
        </w:tc>
        <w:tc>
          <w:tcPr>
            <w:tcW w:w="2483" w:type="dxa"/>
            <w:vAlign w:val="center"/>
          </w:tcPr>
          <w:p w14:paraId="2D9DCEEF">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IPWRA or entropy balancing</w:t>
            </w:r>
          </w:p>
        </w:tc>
        <w:tc>
          <w:tcPr>
            <w:tcW w:w="776" w:type="dxa"/>
            <w:vAlign w:val="center"/>
          </w:tcPr>
          <w:p w14:paraId="0E08371E">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0.10</w:t>
            </w:r>
          </w:p>
        </w:tc>
        <w:tc>
          <w:tcPr>
            <w:tcW w:w="1279" w:type="dxa"/>
            <w:vAlign w:val="center"/>
          </w:tcPr>
          <w:p w14:paraId="56C93BDE">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[0.05, 0.14]</w:t>
            </w:r>
          </w:p>
        </w:tc>
        <w:tc>
          <w:tcPr>
            <w:tcW w:w="984" w:type="dxa"/>
            <w:vAlign w:val="center"/>
          </w:tcPr>
          <w:p w14:paraId="7314BBDC">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6588C1F3">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100.00</w:t>
            </w:r>
          </w:p>
        </w:tc>
      </w:tr>
      <w:tr w14:paraId="34D5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12F0BF73">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Elite university threshold: Top 100</w:t>
            </w:r>
          </w:p>
        </w:tc>
        <w:tc>
          <w:tcPr>
            <w:tcW w:w="2483" w:type="dxa"/>
            <w:vAlign w:val="center"/>
          </w:tcPr>
          <w:p w14:paraId="58EF4847">
            <w:pPr>
              <w:snapToGrid w:val="0"/>
              <w:spacing w:before="0" w:after="0" w:line="240" w:lineRule="auto"/>
              <w:jc w:val="center"/>
              <w:textAlignment w:val="center"/>
              <w:rPr>
                <w:rStyle w:val="8"/>
                <w:rFonts w:hint="default" w:ascii="Times New Roman" w:hAnsi="Times New Roman" w:eastAsia="宋体" w:cs="Times New Roman"/>
                <w:b w:val="0"/>
                <w:sz w:val="20"/>
                <w:szCs w:val="20"/>
              </w:rPr>
            </w:pPr>
          </w:p>
        </w:tc>
        <w:tc>
          <w:tcPr>
            <w:tcW w:w="776" w:type="dxa"/>
            <w:vAlign w:val="center"/>
          </w:tcPr>
          <w:p w14:paraId="63ED8EE2">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0.19</w:t>
            </w:r>
          </w:p>
        </w:tc>
        <w:tc>
          <w:tcPr>
            <w:tcW w:w="1279" w:type="dxa"/>
            <w:vAlign w:val="center"/>
          </w:tcPr>
          <w:p w14:paraId="57D7A69B">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[0.12, 0.25]</w:t>
            </w:r>
          </w:p>
        </w:tc>
        <w:tc>
          <w:tcPr>
            <w:tcW w:w="984" w:type="dxa"/>
            <w:vAlign w:val="center"/>
          </w:tcPr>
          <w:p w14:paraId="6207100D">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53D8A3EA">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100.00</w:t>
            </w:r>
          </w:p>
        </w:tc>
      </w:tr>
      <w:tr w14:paraId="0AF9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257" w:type="dxa"/>
            <w:vAlign w:val="center"/>
          </w:tcPr>
          <w:p w14:paraId="23004C2A">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0"/>
                <w:lang w:bidi="ar"/>
              </w:rPr>
              <w:t>Elite university threshold: Top 1000</w:t>
            </w:r>
          </w:p>
        </w:tc>
        <w:tc>
          <w:tcPr>
            <w:tcW w:w="2483" w:type="dxa"/>
            <w:vAlign w:val="center"/>
          </w:tcPr>
          <w:p w14:paraId="18BFC100">
            <w:pPr>
              <w:snapToGrid w:val="0"/>
              <w:spacing w:before="0" w:after="0" w:line="240" w:lineRule="auto"/>
              <w:jc w:val="center"/>
              <w:textAlignment w:val="center"/>
              <w:rPr>
                <w:rStyle w:val="8"/>
                <w:rFonts w:hint="default" w:ascii="Times New Roman" w:hAnsi="Times New Roman" w:eastAsia="宋体" w:cs="Times New Roman"/>
                <w:b w:val="0"/>
                <w:sz w:val="20"/>
                <w:szCs w:val="20"/>
              </w:rPr>
            </w:pPr>
          </w:p>
        </w:tc>
        <w:tc>
          <w:tcPr>
            <w:tcW w:w="776" w:type="dxa"/>
            <w:vAlign w:val="center"/>
          </w:tcPr>
          <w:p w14:paraId="6A717540">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0.12</w:t>
            </w:r>
          </w:p>
        </w:tc>
        <w:tc>
          <w:tcPr>
            <w:tcW w:w="1279" w:type="dxa"/>
            <w:vAlign w:val="center"/>
          </w:tcPr>
          <w:p w14:paraId="11824E5F">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[0.07, 0.16]</w:t>
            </w:r>
          </w:p>
        </w:tc>
        <w:tc>
          <w:tcPr>
            <w:tcW w:w="984" w:type="dxa"/>
            <w:vAlign w:val="center"/>
          </w:tcPr>
          <w:p w14:paraId="7149D43E">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&lt;0.001</w:t>
            </w:r>
          </w:p>
        </w:tc>
        <w:tc>
          <w:tcPr>
            <w:tcW w:w="1058" w:type="dxa"/>
            <w:vAlign w:val="center"/>
          </w:tcPr>
          <w:p w14:paraId="5EBE2953">
            <w:pPr>
              <w:snapToGrid w:val="0"/>
              <w:spacing w:before="0" w:after="0" w:line="240" w:lineRule="auto"/>
              <w:jc w:val="center"/>
              <w:textAlignment w:val="center"/>
              <w:rPr>
                <w:rStyle w:val="8"/>
                <w:rFonts w:hint="default" w:ascii="Times New Roman" w:hAnsi="Times New Roman" w:eastAsia="宋体" w:cs="Times New Roman"/>
                <w:b w:val="0"/>
                <w:sz w:val="20"/>
                <w:szCs w:val="20"/>
              </w:rPr>
            </w:pPr>
            <w:r>
              <w:rPr>
                <w:rFonts w:hint="default" w:ascii="Times New Roman" w:hAnsi="Times New Roman" w:eastAsia="宋体" w:cs="Times New Roman"/>
                <w:sz w:val="20"/>
                <w:szCs w:val="22"/>
              </w:rPr>
              <w:t>100.00</w:t>
            </w:r>
          </w:p>
        </w:tc>
      </w:tr>
    </w:tbl>
    <w:p w14:paraId="4A312235">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The unit of analysis is one individual per LinkedIn user. The sample is restricted to public administration (NAICS 92). Treatment is an elite bachelor’s degree, defined as graduation from a global top-500 university. The outcome equals one if the individual attained a government position with Revelio seniority 6-7. Exact-matching strata in the main specification are defined by gender, country, and graduation year; industry is not included because all observations belong to public administration. The ATT is calculated within exact-matching strata containing both treated and control observations and aggregated using the distribution of treated individuals. Outcome means are reported as percentages, and differences and standard errors are reported in percentage points. Subgroup-specific estimates are obtained by re-estimating matching within each subgroup. Standard errors are clustered by user ID when more than one observation per user remains. *** p&lt;0.001，** p&lt;0.01，* p&lt;0.05.</w:t>
      </w:r>
    </w:p>
    <w:p w14:paraId="50C7217A">
      <w:pPr>
        <w:rPr>
          <w:rFonts w:hint="default" w:ascii="Times New Roman" w:hAnsi="Times New Roman" w:cs="Times New Roman"/>
          <w:b/>
        </w:rPr>
      </w:pPr>
      <w:r>
        <w:rPr>
          <w:rFonts w:hint="default" w:ascii="Times New Roman" w:hAnsi="Times New Roman" w:cs="Times New Roman"/>
          <w:b/>
        </w:rPr>
        <w:br w:type="page"/>
      </w:r>
    </w:p>
    <w:p w14:paraId="24BA6E20">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24. Elite doctoral education and retraction outcomes by current university status</w:t>
      </w:r>
    </w:p>
    <w:p w14:paraId="5B6EA89C">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A. Observed retraction rates by doctoral and current university status</w:t>
      </w:r>
    </w:p>
    <w:tbl>
      <w:tblPr>
        <w:tblStyle w:val="5"/>
        <w:tblW w:w="84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70"/>
        <w:gridCol w:w="1449"/>
        <w:gridCol w:w="1228"/>
        <w:gridCol w:w="1403"/>
        <w:gridCol w:w="1782"/>
        <w:gridCol w:w="1306"/>
      </w:tblGrid>
      <w:tr w14:paraId="58C34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83" w:hRule="atLeast"/>
          <w:tblHeader/>
          <w:jc w:val="center"/>
        </w:trPr>
        <w:tc>
          <w:tcPr>
            <w:tcW w:w="1270"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7F50910">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bCs w:val="0"/>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Current university</w:t>
            </w:r>
          </w:p>
        </w:tc>
        <w:tc>
          <w:tcPr>
            <w:tcW w:w="1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8CAA1">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bCs w:val="0"/>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Doctoral background</w:t>
            </w:r>
          </w:p>
        </w:tc>
        <w:tc>
          <w:tcPr>
            <w:tcW w:w="12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3F3C6">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bCs w:val="0"/>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Total</w:t>
            </w:r>
          </w:p>
        </w:tc>
        <w:tc>
          <w:tcPr>
            <w:tcW w:w="1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526AD">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bCs w:val="0"/>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Authors with retraction experience</w:t>
            </w:r>
          </w:p>
        </w:tc>
        <w:tc>
          <w:tcPr>
            <w:tcW w:w="1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3AADF">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bCs w:val="0"/>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Authors without retraction experience</w:t>
            </w:r>
          </w:p>
        </w:tc>
        <w:tc>
          <w:tcPr>
            <w:tcW w:w="13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6A080">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bCs w:val="0"/>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Retraction rate</w:t>
            </w:r>
          </w:p>
        </w:tc>
      </w:tr>
      <w:tr w14:paraId="2059C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83" w:hRule="atLeast"/>
          <w:jc w:val="center"/>
        </w:trPr>
        <w:tc>
          <w:tcPr>
            <w:tcW w:w="12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AF308">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Non-elite university</w:t>
            </w:r>
          </w:p>
        </w:tc>
        <w:tc>
          <w:tcPr>
            <w:tcW w:w="1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F8CA1">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Non-elite doctorate</w:t>
            </w:r>
          </w:p>
        </w:tc>
        <w:tc>
          <w:tcPr>
            <w:tcW w:w="12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5FBC5">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5,206,371</w:t>
            </w:r>
          </w:p>
        </w:tc>
        <w:tc>
          <w:tcPr>
            <w:tcW w:w="1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86889">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44,817</w:t>
            </w:r>
          </w:p>
        </w:tc>
        <w:tc>
          <w:tcPr>
            <w:tcW w:w="1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6C684">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5,161,554</w:t>
            </w:r>
          </w:p>
        </w:tc>
        <w:tc>
          <w:tcPr>
            <w:tcW w:w="13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BFD09">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0.86%</w:t>
            </w:r>
          </w:p>
        </w:tc>
      </w:tr>
      <w:tr w14:paraId="270A4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83" w:hRule="atLeast"/>
          <w:jc w:val="center"/>
        </w:trPr>
        <w:tc>
          <w:tcPr>
            <w:tcW w:w="12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37EFEA">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Non-elite university</w:t>
            </w:r>
          </w:p>
        </w:tc>
        <w:tc>
          <w:tcPr>
            <w:tcW w:w="1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E5E07A">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Elite doctorate</w:t>
            </w:r>
          </w:p>
        </w:tc>
        <w:tc>
          <w:tcPr>
            <w:tcW w:w="12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5925F">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415,169</w:t>
            </w:r>
          </w:p>
        </w:tc>
        <w:tc>
          <w:tcPr>
            <w:tcW w:w="1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D77AD">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10,907</w:t>
            </w:r>
          </w:p>
        </w:tc>
        <w:tc>
          <w:tcPr>
            <w:tcW w:w="1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89191">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404,262</w:t>
            </w:r>
          </w:p>
        </w:tc>
        <w:tc>
          <w:tcPr>
            <w:tcW w:w="13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F4EA3">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2.63%</w:t>
            </w:r>
          </w:p>
        </w:tc>
      </w:tr>
      <w:tr w14:paraId="418A4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83" w:hRule="atLeast"/>
          <w:jc w:val="center"/>
        </w:trPr>
        <w:tc>
          <w:tcPr>
            <w:tcW w:w="12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2A252">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Elite university</w:t>
            </w:r>
          </w:p>
        </w:tc>
        <w:tc>
          <w:tcPr>
            <w:tcW w:w="1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158A0">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Non-elite doctorate</w:t>
            </w:r>
          </w:p>
        </w:tc>
        <w:tc>
          <w:tcPr>
            <w:tcW w:w="12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8F4B9">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4,290,958</w:t>
            </w:r>
          </w:p>
        </w:tc>
        <w:tc>
          <w:tcPr>
            <w:tcW w:w="1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9E2B9">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27,046</w:t>
            </w:r>
          </w:p>
        </w:tc>
        <w:tc>
          <w:tcPr>
            <w:tcW w:w="1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FF303">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4,263,912</w:t>
            </w:r>
          </w:p>
        </w:tc>
        <w:tc>
          <w:tcPr>
            <w:tcW w:w="13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82CD06">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0.63%</w:t>
            </w:r>
          </w:p>
        </w:tc>
      </w:tr>
      <w:tr w14:paraId="39AEA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83" w:hRule="atLeast"/>
          <w:jc w:val="center"/>
        </w:trPr>
        <w:tc>
          <w:tcPr>
            <w:tcW w:w="12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4173E">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Elite university</w:t>
            </w:r>
          </w:p>
        </w:tc>
        <w:tc>
          <w:tcPr>
            <w:tcW w:w="1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67701">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Elite doctorate</w:t>
            </w:r>
          </w:p>
        </w:tc>
        <w:tc>
          <w:tcPr>
            <w:tcW w:w="12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EB56B">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694,661</w:t>
            </w:r>
          </w:p>
        </w:tc>
        <w:tc>
          <w:tcPr>
            <w:tcW w:w="1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F1C90">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10,899</w:t>
            </w:r>
          </w:p>
        </w:tc>
        <w:tc>
          <w:tcPr>
            <w:tcW w:w="1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DA012F">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683,762</w:t>
            </w:r>
          </w:p>
        </w:tc>
        <w:tc>
          <w:tcPr>
            <w:tcW w:w="13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2E3CC">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1.57%</w:t>
            </w:r>
          </w:p>
        </w:tc>
      </w:tr>
      <w:tr w14:paraId="62A6C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83" w:hRule="atLeast"/>
          <w:jc w:val="center"/>
        </w:trPr>
        <w:tc>
          <w:tcPr>
            <w:tcW w:w="12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A5C8C">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Total</w:t>
            </w:r>
          </w:p>
        </w:tc>
        <w:tc>
          <w:tcPr>
            <w:tcW w:w="14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29C2C8">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114D7C">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10,607,159</w:t>
            </w:r>
          </w:p>
        </w:tc>
        <w:tc>
          <w:tcPr>
            <w:tcW w:w="14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DA929">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93,669</w:t>
            </w:r>
          </w:p>
        </w:tc>
        <w:tc>
          <w:tcPr>
            <w:tcW w:w="17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6339E">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10,513,490</w:t>
            </w:r>
          </w:p>
        </w:tc>
        <w:tc>
          <w:tcPr>
            <w:tcW w:w="13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96FCDF">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0.88%</w:t>
            </w:r>
          </w:p>
        </w:tc>
      </w:tr>
    </w:tbl>
    <w:p w14:paraId="6BF00895">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B. Logistic regression predicting retraction experience</w:t>
      </w:r>
    </w:p>
    <w:tbl>
      <w:tblPr>
        <w:tblStyle w:val="5"/>
        <w:tblW w:w="88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11"/>
        <w:gridCol w:w="1532"/>
        <w:gridCol w:w="1717"/>
        <w:gridCol w:w="1652"/>
      </w:tblGrid>
      <w:tr w14:paraId="282A9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tblHeader/>
          <w:jc w:val="center"/>
        </w:trPr>
        <w:tc>
          <w:tcPr>
            <w:tcW w:w="3911"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B2CB54A">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bCs w:val="0"/>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Variable</w:t>
            </w: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36BA5">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bCs w:val="0"/>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Model 1</w:t>
            </w: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E57A5">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bCs w:val="0"/>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Model 2</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9E983">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bCs w:val="0"/>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Model 3</w:t>
            </w:r>
          </w:p>
        </w:tc>
      </w:tr>
      <w:tr w14:paraId="74A63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B2815">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Elite doctorate</w:t>
            </w: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1ECA6F">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3.107***</w:t>
            </w: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513C46">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1.901***</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A4BBD">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1.069***</w:t>
            </w:r>
          </w:p>
        </w:tc>
      </w:tr>
      <w:tr w14:paraId="50498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73246">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8B265">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-0.034</w:t>
            </w: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C29E18">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-0.021</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A421E">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-0.013</w:t>
            </w:r>
          </w:p>
        </w:tc>
      </w:tr>
      <w:tr w14:paraId="72D98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12F57">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Current elite university</w:t>
            </w: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A8E878">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0.731***</w:t>
            </w: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D97BF">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0.861***</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7DB82">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0.835***</w:t>
            </w:r>
          </w:p>
        </w:tc>
      </w:tr>
      <w:tr w14:paraId="3AD11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6F3A5">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558AE1">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-0.006</w:t>
            </w: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E1FB6">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-0.008</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FE525">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-0.007</w:t>
            </w:r>
          </w:p>
        </w:tc>
      </w:tr>
      <w:tr w14:paraId="131DD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3B04A">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Elite doctorate × current elite university</w:t>
            </w: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9F955B">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0.809***</w:t>
            </w: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7A45FB">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1.147***</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8F3AC">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1.042*</w:t>
            </w:r>
          </w:p>
        </w:tc>
      </w:tr>
      <w:tr w14:paraId="59156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F3887">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122A3">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-0.013</w:t>
            </w: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56864">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-0.018</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BA343">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-0.017</w:t>
            </w:r>
          </w:p>
        </w:tc>
      </w:tr>
      <w:tr w14:paraId="0F228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D8177">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ln(Publication count + 1)</w:t>
            </w: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D811E2">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w:t>
            </w: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BCFEF">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31920">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2.646***</w:t>
            </w:r>
          </w:p>
        </w:tc>
      </w:tr>
      <w:tr w14:paraId="66A77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12D418">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7EFCB">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9AEC31">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DF237">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-0.008</w:t>
            </w:r>
          </w:p>
        </w:tc>
      </w:tr>
      <w:tr w14:paraId="2DE30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6541F">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Female</w:t>
            </w: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EB2A71">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w:t>
            </w: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18175">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1.051***</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1ED23C">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0.973***</w:t>
            </w:r>
          </w:p>
        </w:tc>
      </w:tr>
      <w:tr w14:paraId="19609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BDA59">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5D105">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4BF58">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-0.007</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4F1F77">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-0.007</w:t>
            </w:r>
          </w:p>
        </w:tc>
      </w:tr>
      <w:tr w14:paraId="75B58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9A0687">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Academic age</w:t>
            </w: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7FE37">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w:t>
            </w: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DBC88E">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1.022***</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D1BF1">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0.987***</w:t>
            </w:r>
          </w:p>
        </w:tc>
      </w:tr>
      <w:tr w14:paraId="0E289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C401A">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27E2FD">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CB2A6">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-0.0002</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FD721">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-0.0003</w:t>
            </w:r>
          </w:p>
        </w:tc>
      </w:tr>
      <w:tr w14:paraId="486EE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7AF1E">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Subject fixed effects</w:t>
            </w: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0E421">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No</w:t>
            </w: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4AC3A">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Yes</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D30DE">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Yes</w:t>
            </w:r>
          </w:p>
        </w:tc>
      </w:tr>
      <w:tr w14:paraId="4CE56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C88CE2">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Country fixed effects</w:t>
            </w: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FDE60">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No</w:t>
            </w: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0584F">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Yes</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908ACD">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Yes</w:t>
            </w:r>
          </w:p>
        </w:tc>
      </w:tr>
      <w:tr w14:paraId="07902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796F3">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w:t>
            </w: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A831D">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10,607,159</w:t>
            </w: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C0D37">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10,602,786</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D9400">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10,602,786</w:t>
            </w:r>
          </w:p>
        </w:tc>
      </w:tr>
      <w:tr w14:paraId="5F9A2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0" w:hRule="atLeast"/>
          <w:jc w:val="center"/>
        </w:trPr>
        <w:tc>
          <w:tcPr>
            <w:tcW w:w="39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76B8C">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Pseudo R²</w:t>
            </w:r>
          </w:p>
        </w:tc>
        <w:tc>
          <w:tcPr>
            <w:tcW w:w="15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3AA63">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0.0149</w:t>
            </w:r>
          </w:p>
        </w:tc>
        <w:tc>
          <w:tcPr>
            <w:tcW w:w="1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97B41">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0.0899</w:t>
            </w:r>
          </w:p>
        </w:tc>
        <w:tc>
          <w:tcPr>
            <w:tcW w:w="165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8CD76">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0.1946</w:t>
            </w:r>
          </w:p>
        </w:tc>
      </w:tr>
    </w:tbl>
    <w:p w14:paraId="522C65BA">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C. Adjusted probabilities and average marginal effects</w:t>
      </w:r>
    </w:p>
    <w:tbl>
      <w:tblPr>
        <w:tblStyle w:val="5"/>
        <w:tblW w:w="76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02"/>
        <w:gridCol w:w="1453"/>
        <w:gridCol w:w="1732"/>
      </w:tblGrid>
      <w:tr w14:paraId="7F5C1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502"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7EF5D42">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bCs w:val="0"/>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Current university and doctoral background</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C13A1">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bCs w:val="0"/>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Model 2</w:t>
            </w:r>
          </w:p>
        </w:tc>
        <w:tc>
          <w:tcPr>
            <w:tcW w:w="1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FDC698">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bCs w:val="0"/>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Model 3</w:t>
            </w:r>
          </w:p>
        </w:tc>
      </w:tr>
      <w:tr w14:paraId="02472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0FDFD">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Current non-elite university</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0B6DF4">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3FC32">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r>
      <w:tr w14:paraId="4D62D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5B24D">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Non-elite doctorate: predicted probability</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296D1">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0.83%</w:t>
            </w:r>
          </w:p>
        </w:tc>
        <w:tc>
          <w:tcPr>
            <w:tcW w:w="1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CA7F5">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0.93%</w:t>
            </w:r>
          </w:p>
        </w:tc>
      </w:tr>
      <w:tr w14:paraId="2CA44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76A40">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Elite doctorate: predicted probability</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5EFC6">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1.55%</w:t>
            </w:r>
          </w:p>
        </w:tc>
        <w:tc>
          <w:tcPr>
            <w:tcW w:w="1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65E4DA">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0.99%</w:t>
            </w:r>
          </w:p>
        </w:tc>
      </w:tr>
      <w:tr w14:paraId="72B5B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B836B3">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Elite doctorate AME</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2AE82">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0.722 pp***</w:t>
            </w:r>
          </w:p>
        </w:tc>
        <w:tc>
          <w:tcPr>
            <w:tcW w:w="1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E20BB1">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0.061 pp***</w:t>
            </w:r>
          </w:p>
        </w:tc>
      </w:tr>
      <w:tr w14:paraId="458F4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5CE33">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38DCC">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-0.016</w:t>
            </w:r>
          </w:p>
        </w:tc>
        <w:tc>
          <w:tcPr>
            <w:tcW w:w="1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806CB">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-0.011</w:t>
            </w:r>
          </w:p>
        </w:tc>
      </w:tr>
      <w:tr w14:paraId="0C378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EA276">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bCs w:val="0"/>
                <w:i w:val="0"/>
                <w:iCs w:val="0"/>
                <w:color w:val="000000"/>
                <w:kern w:val="0"/>
                <w:sz w:val="21"/>
                <w:szCs w:val="21"/>
                <w:u w:val="none"/>
                <w:lang w:val="en-US" w:eastAsia="zh-CN" w:bidi="ar"/>
              </w:rPr>
              <w:t>Current elite university</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E8140">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c>
          <w:tcPr>
            <w:tcW w:w="1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3DDDB6">
            <w:pPr>
              <w:keepNext w:val="0"/>
              <w:keepLines w:val="0"/>
              <w:pageBreakBefore w:val="0"/>
              <w:widowControl/>
              <w:kinsoku/>
              <w:wordWrap/>
              <w:overflowPunct/>
              <w:topLinePunct w:val="0"/>
              <w:autoSpaceDE/>
              <w:autoSpaceDN/>
              <w:bidi w:val="0"/>
              <w:adjustRightInd/>
              <w:snapToGrid/>
              <w:spacing w:before="0" w:after="0" w:line="240" w:lineRule="auto"/>
              <w:jc w:val="center"/>
              <w:rPr>
                <w:rFonts w:hint="default" w:ascii="Times New Roman" w:hAnsi="Times New Roman" w:eastAsia="宋体" w:cs="Times New Roman"/>
                <w:b w:val="0"/>
                <w:i w:val="0"/>
                <w:iCs w:val="0"/>
                <w:color w:val="000000"/>
                <w:sz w:val="21"/>
                <w:szCs w:val="21"/>
                <w:u w:val="none"/>
              </w:rPr>
            </w:pPr>
          </w:p>
        </w:tc>
      </w:tr>
      <w:tr w14:paraId="35E49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E7CA8">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Non-elite doctorate: predicted probability</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D8563">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0.72%</w:t>
            </w:r>
          </w:p>
        </w:tc>
        <w:tc>
          <w:tcPr>
            <w:tcW w:w="1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874EB">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0.79%</w:t>
            </w:r>
          </w:p>
        </w:tc>
      </w:tr>
      <w:tr w14:paraId="55678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073D8">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Elite doctorate: predicted probability</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740535">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1.53%</w:t>
            </w:r>
          </w:p>
        </w:tc>
        <w:tc>
          <w:tcPr>
            <w:tcW w:w="1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DF6AF">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0.87%</w:t>
            </w:r>
          </w:p>
        </w:tc>
      </w:tr>
      <w:tr w14:paraId="61F92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jc w:val="center"/>
        </w:trPr>
        <w:tc>
          <w:tcPr>
            <w:tcW w:w="4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655AF3">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Elite doctorate AME</w:t>
            </w: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0C135">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0.817 pp***</w:t>
            </w:r>
          </w:p>
        </w:tc>
        <w:tc>
          <w:tcPr>
            <w:tcW w:w="1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459CFD">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0.084 pp***</w:t>
            </w:r>
          </w:p>
        </w:tc>
      </w:tr>
      <w:tr w14:paraId="546A6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450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5B4E4">
            <w:pPr>
              <w:keepNext w:val="0"/>
              <w:keepLines w:val="0"/>
              <w:pageBreakBefore w:val="0"/>
              <w:widowControl/>
              <w:kinsoku/>
              <w:wordWrap/>
              <w:overflowPunct/>
              <w:topLinePunct w:val="0"/>
              <w:autoSpaceDE/>
              <w:autoSpaceDN/>
              <w:bidi w:val="0"/>
              <w:adjustRightInd/>
              <w:snapToGrid/>
              <w:spacing w:before="0" w:after="0" w:line="240" w:lineRule="auto"/>
              <w:rPr>
                <w:rFonts w:hint="default" w:ascii="Times New Roman" w:hAnsi="Times New Roman" w:eastAsia="宋体" w:cs="Times New Roman"/>
                <w:b w:val="0"/>
                <w:i w:val="0"/>
                <w:iCs w:val="0"/>
                <w:color w:val="000000"/>
                <w:sz w:val="21"/>
                <w:szCs w:val="21"/>
                <w:u w:val="none"/>
              </w:rPr>
            </w:pPr>
          </w:p>
        </w:tc>
        <w:tc>
          <w:tcPr>
            <w:tcW w:w="14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D72C2F">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-0.015</w:t>
            </w:r>
          </w:p>
        </w:tc>
        <w:tc>
          <w:tcPr>
            <w:tcW w:w="17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821BF">
            <w:pPr>
              <w:keepNext w:val="0"/>
              <w:keepLines w:val="0"/>
              <w:pageBreakBefore w:val="0"/>
              <w:widowControl/>
              <w:suppressLineNumbers w:val="0"/>
              <w:kinsoku/>
              <w:wordWrap/>
              <w:overflowPunct/>
              <w:topLinePunct w:val="0"/>
              <w:autoSpaceDE/>
              <w:autoSpaceDN/>
              <w:bidi w:val="0"/>
              <w:adjustRightInd/>
              <w:snapToGrid/>
              <w:spacing w:before="0" w:after="0" w:line="240" w:lineRule="auto"/>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-0.01</w:t>
            </w:r>
          </w:p>
        </w:tc>
      </w:tr>
    </w:tbl>
    <w:p w14:paraId="1E95EBEF">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Panel B reports odds ratios, with robust standard errors in parentheses. The dependent variable equals one when an author has at least one retracted publication. Model 1 includes doctoral background, current university status, and their interaction. Model 2 additionally controls for gender, academic age, subject fixed effects, and country fixed effects. Model 3 further controls for the logarithm of total publication output. Because the models include an interaction term, the elite-doctorate coefficient represents the association among authors currently employed at non-elite universities, whereas the current-elite-university coefficient represents the association among authors with non-elite doctorates. In Models 2 and 3, 4,373 observations are excluded because several small country categories perfectly predict the absence of retraction. AMEs are reported in percentage points. p &lt; 0.05, p &lt; 0.01, p &lt; 0.001.</w:t>
      </w:r>
    </w:p>
    <w:p w14:paraId="0B32AF7A">
      <w:pPr>
        <w:widowControl/>
        <w:jc w:val="left"/>
        <w:rPr>
          <w:rFonts w:hint="default" w:ascii="Times New Roman" w:hAnsi="Times New Roman" w:eastAsia="宋体" w:cs="Times New Roman"/>
          <w:kern w:val="0"/>
          <w:sz w:val="24"/>
          <w:lang w:bidi="ar"/>
        </w:rPr>
      </w:pPr>
    </w:p>
    <w:p w14:paraId="4F31CFAB">
      <w:pPr>
        <w:widowControl/>
        <w:jc w:val="left"/>
        <w:rPr>
          <w:rFonts w:hint="default" w:ascii="Times New Roman" w:hAnsi="Times New Roman" w:eastAsia="宋体" w:cs="Times New Roman"/>
          <w:kern w:val="0"/>
          <w:sz w:val="24"/>
          <w:lang w:bidi="ar"/>
        </w:rPr>
      </w:pPr>
    </w:p>
    <w:p w14:paraId="18DC6465">
      <w:pPr>
        <w:rPr>
          <w:rFonts w:hint="default" w:ascii="Times New Roman" w:hAnsi="Times New Roman" w:cs="Times New Roman"/>
          <w:b/>
          <w:sz w:val="22"/>
          <w:szCs w:val="22"/>
        </w:rPr>
      </w:pPr>
      <w:r>
        <w:rPr>
          <w:rFonts w:hint="default" w:ascii="Times New Roman" w:hAnsi="Times New Roman" w:cs="Times New Roman"/>
          <w:b/>
          <w:sz w:val="22"/>
          <w:szCs w:val="22"/>
        </w:rPr>
        <w:br w:type="page"/>
      </w:r>
    </w:p>
    <w:p w14:paraId="6C6669BC">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rPr>
      </w:pPr>
      <w:r>
        <w:rPr>
          <w:rFonts w:hint="default" w:ascii="Times New Roman" w:hAnsi="Times New Roman" w:cs="Times New Roman"/>
          <w:i w:val="0"/>
          <w:sz w:val="22"/>
          <w:szCs w:val="22"/>
        </w:rPr>
        <w:t>Appendix Table 25. Educational backgrounds of Chinese political elites investigated for corruption: overall composition and central–local differences</w:t>
      </w:r>
    </w:p>
    <w:p w14:paraId="56FDD92A">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A. Overall educational-background composition</w:t>
      </w:r>
    </w:p>
    <w:tbl>
      <w:tblPr>
        <w:tblStyle w:val="5"/>
        <w:tblW w:w="0" w:type="auto"/>
        <w:jc w:val="center"/>
        <w:tblLayout w:type="fixed"/>
        <w:tblCellMar>
          <w:top w:w="0" w:type="dxa"/>
          <w:left w:w="108" w:type="dxa"/>
          <w:bottom w:w="0" w:type="dxa"/>
          <w:right w:w="108" w:type="dxa"/>
        </w:tblCellMar>
      </w:tblPr>
      <w:tblGrid>
        <w:gridCol w:w="5880"/>
        <w:gridCol w:w="1182"/>
        <w:gridCol w:w="1705"/>
      </w:tblGrid>
      <w:tr w14:paraId="4B560350">
        <w:tblPrEx>
          <w:tblCellMar>
            <w:top w:w="0" w:type="dxa"/>
            <w:left w:w="108" w:type="dxa"/>
            <w:bottom w:w="0" w:type="dxa"/>
            <w:right w:w="108" w:type="dxa"/>
          </w:tblCellMar>
        </w:tblPrEx>
        <w:trPr>
          <w:cantSplit/>
          <w:trHeight w:val="319" w:hRule="atLeast"/>
          <w:tblHeader/>
          <w:jc w:val="center"/>
        </w:trPr>
        <w:tc>
          <w:tcPr>
            <w:tcW w:w="5880"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917D319">
            <w:pPr>
              <w:widowControl/>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Educational background</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4ECD1">
            <w:pPr>
              <w:widowControl/>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N</w:t>
            </w:r>
          </w:p>
        </w:tc>
        <w:tc>
          <w:tcPr>
            <w:tcW w:w="1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4C392">
            <w:pPr>
              <w:widowControl/>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Percentage (%)</w:t>
            </w:r>
          </w:p>
        </w:tc>
      </w:tr>
      <w:tr w14:paraId="5817C5D9">
        <w:tblPrEx>
          <w:tblCellMar>
            <w:top w:w="0" w:type="dxa"/>
            <w:left w:w="108" w:type="dxa"/>
            <w:bottom w:w="0" w:type="dxa"/>
            <w:right w:w="108" w:type="dxa"/>
          </w:tblCellMar>
        </w:tblPrEx>
        <w:trPr>
          <w:cantSplit/>
          <w:trHeight w:val="319" w:hRule="atLeast"/>
          <w:jc w:val="center"/>
        </w:trPr>
        <w:tc>
          <w:tcPr>
            <w:tcW w:w="5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B21F2">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Elite-university background at any educational stage</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AD38FF">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588</w:t>
            </w:r>
          </w:p>
        </w:tc>
        <w:tc>
          <w:tcPr>
            <w:tcW w:w="1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D29453">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29.4</w:t>
            </w:r>
          </w:p>
        </w:tc>
      </w:tr>
      <w:tr w14:paraId="154F32E6">
        <w:tblPrEx>
          <w:tblCellMar>
            <w:top w:w="0" w:type="dxa"/>
            <w:left w:w="108" w:type="dxa"/>
            <w:bottom w:w="0" w:type="dxa"/>
            <w:right w:w="108" w:type="dxa"/>
          </w:tblCellMar>
        </w:tblPrEx>
        <w:trPr>
          <w:cantSplit/>
          <w:trHeight w:val="319" w:hRule="atLeast"/>
          <w:jc w:val="center"/>
        </w:trPr>
        <w:tc>
          <w:tcPr>
            <w:tcW w:w="5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D1B61">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Party-school background without elite-university education</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8BDAC">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666</w:t>
            </w:r>
          </w:p>
        </w:tc>
        <w:tc>
          <w:tcPr>
            <w:tcW w:w="1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81885">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33.3</w:t>
            </w:r>
          </w:p>
        </w:tc>
      </w:tr>
      <w:tr w14:paraId="542B7ADD">
        <w:tblPrEx>
          <w:tblCellMar>
            <w:top w:w="0" w:type="dxa"/>
            <w:left w:w="108" w:type="dxa"/>
            <w:bottom w:w="0" w:type="dxa"/>
            <w:right w:w="108" w:type="dxa"/>
          </w:tblCellMar>
        </w:tblPrEx>
        <w:trPr>
          <w:cantSplit/>
          <w:trHeight w:val="319" w:hRule="atLeast"/>
          <w:jc w:val="center"/>
        </w:trPr>
        <w:tc>
          <w:tcPr>
            <w:tcW w:w="5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269C7">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Other non-elite educational background</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7E5F16">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746</w:t>
            </w:r>
          </w:p>
        </w:tc>
        <w:tc>
          <w:tcPr>
            <w:tcW w:w="1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20FCEA">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37.3</w:t>
            </w:r>
          </w:p>
        </w:tc>
      </w:tr>
      <w:tr w14:paraId="11970595">
        <w:tblPrEx>
          <w:tblCellMar>
            <w:top w:w="0" w:type="dxa"/>
            <w:left w:w="108" w:type="dxa"/>
            <w:bottom w:w="0" w:type="dxa"/>
            <w:right w:w="108" w:type="dxa"/>
          </w:tblCellMar>
        </w:tblPrEx>
        <w:trPr>
          <w:cantSplit/>
          <w:trHeight w:val="329" w:hRule="atLeast"/>
          <w:jc w:val="center"/>
        </w:trPr>
        <w:tc>
          <w:tcPr>
            <w:tcW w:w="5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66A8E">
            <w:pPr>
              <w:widowControl/>
              <w:spacing w:before="0" w:after="0" w:line="240" w:lineRule="auto"/>
              <w:jc w:val="center"/>
              <w:textAlignment w:val="center"/>
              <w:rPr>
                <w:rFonts w:hint="default" w:ascii="Times New Roman" w:hAnsi="Times New Roman" w:eastAsia="宋体" w:cs="Times New Roman"/>
                <w:bCs/>
                <w:sz w:val="21"/>
                <w:szCs w:val="21"/>
              </w:rPr>
            </w:pPr>
            <w:r>
              <w:rPr>
                <w:rFonts w:hint="default" w:ascii="Times New Roman" w:hAnsi="Times New Roman" w:cs="Times New Roman"/>
              </w:rPr>
              <w:t>Total</w:t>
            </w:r>
          </w:p>
        </w:tc>
        <w:tc>
          <w:tcPr>
            <w:tcW w:w="11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1EBF98">
            <w:pPr>
              <w:widowControl/>
              <w:spacing w:before="0" w:after="0" w:line="240" w:lineRule="auto"/>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bCs/>
                <w:kern w:val="0"/>
                <w:sz w:val="21"/>
                <w:szCs w:val="21"/>
                <w:lang w:bidi="ar"/>
              </w:rPr>
              <w:t>2,000</w:t>
            </w:r>
          </w:p>
        </w:tc>
        <w:tc>
          <w:tcPr>
            <w:tcW w:w="1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7C4F3C">
            <w:pPr>
              <w:widowControl/>
              <w:spacing w:before="0" w:after="0" w:line="240" w:lineRule="auto"/>
              <w:jc w:val="center"/>
              <w:textAlignment w:val="center"/>
              <w:rPr>
                <w:rFonts w:hint="default" w:ascii="Times New Roman" w:hAnsi="Times New Roman" w:eastAsia="宋体" w:cs="Times New Roman"/>
                <w:bCs/>
                <w:sz w:val="21"/>
                <w:szCs w:val="21"/>
              </w:rPr>
            </w:pPr>
            <w:r>
              <w:rPr>
                <w:rFonts w:hint="default" w:ascii="Times New Roman" w:hAnsi="Times New Roman" w:eastAsia="宋体" w:cs="Times New Roman"/>
                <w:bCs/>
                <w:kern w:val="0"/>
                <w:sz w:val="21"/>
                <w:szCs w:val="21"/>
                <w:lang w:bidi="ar"/>
              </w:rPr>
              <w:t>100</w:t>
            </w:r>
          </w:p>
        </w:tc>
      </w:tr>
    </w:tbl>
    <w:p w14:paraId="5B4177B4">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B. Central-local differences in educational backgrounds</w:t>
      </w:r>
    </w:p>
    <w:tbl>
      <w:tblPr>
        <w:tblStyle w:val="5"/>
        <w:tblW w:w="0" w:type="auto"/>
        <w:tblInd w:w="96" w:type="dxa"/>
        <w:tblLayout w:type="fixed"/>
        <w:tblCellMar>
          <w:top w:w="0" w:type="dxa"/>
          <w:left w:w="108" w:type="dxa"/>
          <w:bottom w:w="0" w:type="dxa"/>
          <w:right w:w="108" w:type="dxa"/>
        </w:tblCellMar>
      </w:tblPr>
      <w:tblGrid>
        <w:gridCol w:w="1817"/>
        <w:gridCol w:w="1627"/>
        <w:gridCol w:w="1788"/>
        <w:gridCol w:w="1788"/>
        <w:gridCol w:w="2096"/>
      </w:tblGrid>
      <w:tr w14:paraId="5A892678">
        <w:tblPrEx>
          <w:tblCellMar>
            <w:top w:w="0" w:type="dxa"/>
            <w:left w:w="108" w:type="dxa"/>
            <w:bottom w:w="0" w:type="dxa"/>
            <w:right w:w="108" w:type="dxa"/>
          </w:tblCellMar>
        </w:tblPrEx>
        <w:trPr>
          <w:cantSplit/>
          <w:trHeight w:val="502" w:hRule="atLeast"/>
          <w:tblHeader/>
        </w:trPr>
        <w:tc>
          <w:tcPr>
            <w:tcW w:w="1817"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9661217">
            <w:pPr>
              <w:widowControl/>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Outcome</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048E3">
            <w:pPr>
              <w:widowControl/>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Local officials</w:t>
            </w:r>
          </w:p>
        </w:tc>
        <w:tc>
          <w:tcPr>
            <w:tcW w:w="17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DEA682">
            <w:pPr>
              <w:widowControl/>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Central-agency officials</w:t>
            </w:r>
          </w:p>
        </w:tc>
        <w:tc>
          <w:tcPr>
            <w:tcW w:w="17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BD2A0">
            <w:pPr>
              <w:widowControl/>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Adjusted OR</w:t>
            </w:r>
          </w:p>
        </w:tc>
        <w:tc>
          <w:tcPr>
            <w:tcW w:w="20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51963">
            <w:pPr>
              <w:widowControl/>
              <w:spacing w:before="0" w:after="0" w:line="240" w:lineRule="auto"/>
              <w:jc w:val="center"/>
              <w:textAlignment w:val="center"/>
              <w:rPr>
                <w:rFonts w:hint="default" w:ascii="Times New Roman" w:hAnsi="Times New Roman" w:eastAsia="宋体" w:cs="Times New Roman"/>
                <w:b/>
                <w:bCs/>
                <w:sz w:val="21"/>
                <w:szCs w:val="21"/>
              </w:rPr>
            </w:pPr>
            <w:r>
              <w:rPr>
                <w:rFonts w:hint="default" w:ascii="Times New Roman" w:hAnsi="Times New Roman" w:cs="Times New Roman"/>
                <w:b/>
                <w:bCs/>
              </w:rPr>
              <w:t>Adjusted probability difference (pp)</w:t>
            </w:r>
          </w:p>
        </w:tc>
      </w:tr>
      <w:tr w14:paraId="6C84DE2E">
        <w:tblPrEx>
          <w:tblCellMar>
            <w:top w:w="0" w:type="dxa"/>
            <w:left w:w="108" w:type="dxa"/>
            <w:bottom w:w="0" w:type="dxa"/>
            <w:right w:w="108" w:type="dxa"/>
          </w:tblCellMar>
        </w:tblPrEx>
        <w:trPr>
          <w:cantSplit/>
          <w:trHeight w:val="566" w:hRule="atLeast"/>
        </w:trPr>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C488B">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Elite-university background</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ED047">
            <w:pPr>
              <w:widowControl/>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27.92%</w:t>
            </w:r>
          </w:p>
          <w:p w14:paraId="28D09EC5">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（512/1,834）</w:t>
            </w:r>
          </w:p>
        </w:tc>
        <w:tc>
          <w:tcPr>
            <w:tcW w:w="17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479C5">
            <w:pPr>
              <w:widowControl/>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45.78%</w:t>
            </w:r>
          </w:p>
          <w:p w14:paraId="62B0C100">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（76/166）</w:t>
            </w:r>
          </w:p>
        </w:tc>
        <w:tc>
          <w:tcPr>
            <w:tcW w:w="17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D6B2A">
            <w:pPr>
              <w:widowControl/>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2.33***</w:t>
            </w:r>
          </w:p>
          <w:p w14:paraId="0D2F5E60">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[1.66, 3.28]</w:t>
            </w:r>
          </w:p>
        </w:tc>
        <w:tc>
          <w:tcPr>
            <w:tcW w:w="20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4BBB6">
            <w:pPr>
              <w:widowControl/>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+19.44***</w:t>
            </w:r>
          </w:p>
          <w:p w14:paraId="1A8DE11E">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[11.18, 27.69]</w:t>
            </w:r>
          </w:p>
        </w:tc>
      </w:tr>
      <w:tr w14:paraId="143E4591">
        <w:tblPrEx>
          <w:tblCellMar>
            <w:top w:w="0" w:type="dxa"/>
            <w:left w:w="108" w:type="dxa"/>
            <w:bottom w:w="0" w:type="dxa"/>
            <w:right w:w="108" w:type="dxa"/>
          </w:tblCellMar>
        </w:tblPrEx>
        <w:trPr>
          <w:cantSplit/>
          <w:trHeight w:val="575" w:hRule="atLeast"/>
        </w:trPr>
        <w:tc>
          <w:tcPr>
            <w:tcW w:w="1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61AC4">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cs="Times New Roman"/>
              </w:rPr>
              <w:t>Party-school background</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0805A">
            <w:pPr>
              <w:widowControl/>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48.41%</w:t>
            </w:r>
          </w:p>
          <w:p w14:paraId="5FBAF343">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（640/1,322）</w:t>
            </w:r>
          </w:p>
        </w:tc>
        <w:tc>
          <w:tcPr>
            <w:tcW w:w="17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73CD89">
            <w:pPr>
              <w:widowControl/>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28.89%</w:t>
            </w:r>
          </w:p>
          <w:p w14:paraId="24C2EE3E">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（26/90）</w:t>
            </w:r>
          </w:p>
        </w:tc>
        <w:tc>
          <w:tcPr>
            <w:tcW w:w="17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901A7">
            <w:pPr>
              <w:widowControl/>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0.39***</w:t>
            </w:r>
          </w:p>
          <w:p w14:paraId="0AB584CA">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[0.24, 0.64]</w:t>
            </w:r>
          </w:p>
        </w:tc>
        <w:tc>
          <w:tcPr>
            <w:tcW w:w="20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C11039">
            <w:pPr>
              <w:widowControl/>
              <w:spacing w:before="0" w:after="0" w:line="240" w:lineRule="auto"/>
              <w:jc w:val="center"/>
              <w:textAlignment w:val="center"/>
              <w:rPr>
                <w:rFonts w:hint="default" w:ascii="Times New Roman" w:hAnsi="Times New Roman" w:eastAsia="宋体" w:cs="Times New Roman"/>
                <w:kern w:val="0"/>
                <w:sz w:val="21"/>
                <w:szCs w:val="21"/>
                <w:lang w:bidi="ar"/>
              </w:rPr>
            </w:pPr>
            <w:r>
              <w:rPr>
                <w:rFonts w:hint="default" w:ascii="Times New Roman" w:hAnsi="Times New Roman" w:eastAsia="宋体" w:cs="Times New Roman"/>
                <w:kern w:val="0"/>
                <w:sz w:val="21"/>
                <w:szCs w:val="21"/>
                <w:lang w:bidi="ar"/>
              </w:rPr>
              <w:t>−22.08***</w:t>
            </w:r>
          </w:p>
          <w:p w14:paraId="3A05D856">
            <w:pPr>
              <w:widowControl/>
              <w:spacing w:before="0" w:after="0" w:line="240" w:lineRule="auto"/>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lang w:bidi="ar"/>
              </w:rPr>
              <w:t>[−32.52, −11.65]</w:t>
            </w:r>
          </w:p>
        </w:tc>
      </w:tr>
    </w:tbl>
    <w:p w14:paraId="58361B84">
      <w:pPr>
        <w:pStyle w:val="19"/>
        <w:widowControl/>
        <w:snapToGrid w:val="0"/>
        <w:textAlignment w:val="center"/>
        <w:rPr>
          <w:rFonts w:hint="default" w:ascii="Times New Roman" w:hAnsi="Times New Roman" w:eastAsia="宋体" w:cs="Times New Roman"/>
          <w:b w:val="0"/>
          <w:i w:val="0"/>
          <w:sz w:val="20"/>
          <w:szCs w:val="28"/>
          <w:lang w:val="en-US" w:eastAsia="zh-CN"/>
        </w:rPr>
      </w:pPr>
      <w:r>
        <w:rPr>
          <w:rFonts w:hint="default" w:ascii="Times New Roman" w:hAnsi="Times New Roman" w:cs="Times New Roman"/>
          <w:b w:val="0"/>
          <w:i w:val="0"/>
          <w:sz w:val="20"/>
          <w:szCs w:val="28"/>
        </w:rPr>
        <w:t>Note.  Elite-university background indicates attendance at an elite university at any identifiable educational stage. Party-school background is identified and compared only among officials without elite-university education. Adjusted odds ratios and average marginal effects control for gender and case type. N = 1,371 for the elite-university model and N = 961 for the party-school model. Brackets report 95% confidence intervals. *** p &lt; 0.001</w:t>
      </w:r>
      <w:r>
        <w:rPr>
          <w:rFonts w:hint="default" w:ascii="Times New Roman" w:hAnsi="Times New Roman" w:cs="Times New Roman"/>
          <w:b w:val="0"/>
          <w:i w:val="0"/>
          <w:sz w:val="20"/>
          <w:szCs w:val="28"/>
          <w:lang w:val="en-US" w:eastAsia="zh-CN"/>
        </w:rPr>
        <w:t>.</w:t>
      </w:r>
    </w:p>
    <w:p w14:paraId="1E585A4A">
      <w:pPr>
        <w:rPr>
          <w:rFonts w:hint="default" w:ascii="Times New Roman" w:hAnsi="Times New Roman" w:cs="Times New Roman"/>
        </w:rPr>
      </w:pPr>
      <w:r>
        <w:rPr>
          <w:rFonts w:hint="default" w:ascii="Times New Roman" w:hAnsi="Times New Roman" w:cs="Times New Roman"/>
        </w:rPr>
        <w:br w:type="page"/>
      </w:r>
    </w:p>
    <w:p w14:paraId="76B8076D">
      <w:pPr>
        <w:pStyle w:val="12"/>
        <w:rPr>
          <w:rFonts w:hint="default" w:ascii="Times New Roman" w:hAnsi="Times New Roman" w:cs="Times New Roman"/>
        </w:rPr>
      </w:pPr>
      <w:r>
        <w:rPr>
          <w:rFonts w:hint="default" w:ascii="Times New Roman" w:hAnsi="Times New Roman" w:cs="Times New Roman"/>
        </w:rPr>
        <w:t>Appendix C. Figures</w:t>
      </w:r>
    </w:p>
    <w:p w14:paraId="2C2643FD">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lang w:val="en-US" w:eastAsia="zh-CN"/>
        </w:rPr>
      </w:pPr>
      <w:r>
        <w:rPr>
          <w:rFonts w:hint="default" w:ascii="Times New Roman" w:hAnsi="Times New Roman" w:cs="Times New Roman"/>
          <w:i w:val="0"/>
          <w:sz w:val="22"/>
          <w:szCs w:val="22"/>
          <w:lang w:val="en-US" w:eastAsia="zh-CN"/>
        </w:rPr>
        <w:t>Appendix Figure 1. Sankey diagrams linking doctoral background to current university employment</w:t>
      </w:r>
    </w:p>
    <w:p w14:paraId="38CF82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2626995" cy="3066415"/>
            <wp:effectExtent l="0" t="0" r="9525"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7"/>
                    <a:stretch>
                      <a:fillRect/>
                    </a:stretch>
                  </pic:blipFill>
                  <pic:spPr>
                    <a:xfrm>
                      <a:off x="0" y="0"/>
                      <a:ext cx="2626995" cy="3066415"/>
                    </a:xfrm>
                    <a:prstGeom prst="rect">
                      <a:avLst/>
                    </a:prstGeom>
                  </pic:spPr>
                </pic:pic>
              </a:graphicData>
            </a:graphic>
          </wp:inline>
        </w:drawing>
      </w:r>
      <w:r>
        <w:rPr>
          <w:rFonts w:hint="default" w:ascii="Times New Roman" w:hAnsi="Times New Roman" w:cs="Times New Roman"/>
        </w:rPr>
        <w:drawing>
          <wp:inline distT="0" distB="0" distL="114300" distR="114300">
            <wp:extent cx="2600960" cy="3036570"/>
            <wp:effectExtent l="0" t="0" r="5080"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tretch>
                      <a:fillRect/>
                    </a:stretch>
                  </pic:blipFill>
                  <pic:spPr>
                    <a:xfrm>
                      <a:off x="0" y="0"/>
                      <a:ext cx="2600960" cy="3036570"/>
                    </a:xfrm>
                    <a:prstGeom prst="rect">
                      <a:avLst/>
                    </a:prstGeom>
                  </pic:spPr>
                </pic:pic>
              </a:graphicData>
            </a:graphic>
          </wp:inline>
        </w:drawing>
      </w:r>
    </w:p>
    <w:p w14:paraId="7E9C5A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sz w:val="18"/>
        </w:rPr>
      </w:pPr>
      <w:r>
        <w:rPr>
          <w:rFonts w:hint="default" w:ascii="Times New Roman" w:hAnsi="Times New Roman" w:cs="Times New Roman"/>
        </w:rPr>
        <w:drawing>
          <wp:inline distT="0" distB="0" distL="114300" distR="114300">
            <wp:extent cx="2684145" cy="3140075"/>
            <wp:effectExtent l="0" t="0" r="13335" b="146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9"/>
                    <a:stretch>
                      <a:fillRect/>
                    </a:stretch>
                  </pic:blipFill>
                  <pic:spPr>
                    <a:xfrm>
                      <a:off x="0" y="0"/>
                      <a:ext cx="2684145" cy="3140075"/>
                    </a:xfrm>
                    <a:prstGeom prst="rect">
                      <a:avLst/>
                    </a:prstGeom>
                  </pic:spPr>
                </pic:pic>
              </a:graphicData>
            </a:graphic>
          </wp:inline>
        </w:drawing>
      </w:r>
    </w:p>
    <w:p w14:paraId="06B41EB7">
      <w:pPr>
        <w:pStyle w:val="19"/>
        <w:widowControl/>
        <w:snapToGrid w:val="0"/>
        <w:textAlignment w:val="center"/>
        <w:rPr>
          <w:rFonts w:hint="default" w:ascii="Times New Roman" w:hAnsi="Times New Roman" w:cs="Times New Roman"/>
          <w:b w:val="0"/>
          <w:i w:val="0"/>
          <w:sz w:val="20"/>
          <w:szCs w:val="28"/>
          <w:lang w:val="en-US" w:eastAsia="zh-CN"/>
        </w:rPr>
      </w:pPr>
      <w:r>
        <w:rPr>
          <w:rFonts w:hint="default" w:ascii="Times New Roman" w:hAnsi="Times New Roman" w:cs="Times New Roman"/>
          <w:b w:val="0"/>
          <w:i w:val="0"/>
          <w:sz w:val="20"/>
          <w:szCs w:val="28"/>
        </w:rPr>
        <w:t>Note. Panels A–</w:t>
      </w:r>
      <w:r>
        <w:rPr>
          <w:rFonts w:hint="default" w:ascii="Times New Roman" w:hAnsi="Times New Roman" w:cs="Times New Roman"/>
          <w:b w:val="0"/>
          <w:i w:val="0"/>
          <w:sz w:val="20"/>
          <w:szCs w:val="28"/>
          <w:lang w:val="en-US" w:eastAsia="zh-CN"/>
        </w:rPr>
        <w:t>C</w:t>
      </w:r>
      <w:r>
        <w:rPr>
          <w:rFonts w:hint="default" w:ascii="Times New Roman" w:hAnsi="Times New Roman" w:cs="Times New Roman"/>
          <w:b w:val="0"/>
          <w:i w:val="0"/>
          <w:sz w:val="20"/>
          <w:szCs w:val="28"/>
        </w:rPr>
        <w:t xml:space="preserve"> present flows between doctoral-institution tier and current employing-university tier in the ORCID, OpenAlex, </w:t>
      </w:r>
      <w:r>
        <w:rPr>
          <w:rFonts w:hint="default" w:ascii="Times New Roman" w:hAnsi="Times New Roman" w:cs="Times New Roman"/>
          <w:b w:val="0"/>
          <w:i w:val="0"/>
          <w:sz w:val="20"/>
          <w:szCs w:val="28"/>
          <w:lang w:val="en-US" w:eastAsia="zh-CN"/>
        </w:rPr>
        <w:t xml:space="preserve">and </w:t>
      </w:r>
      <w:r>
        <w:rPr>
          <w:rFonts w:hint="default" w:ascii="Times New Roman" w:hAnsi="Times New Roman" w:cs="Times New Roman"/>
          <w:b w:val="0"/>
          <w:i w:val="0"/>
          <w:sz w:val="20"/>
          <w:szCs w:val="28"/>
        </w:rPr>
        <w:t>global faculty CV</w:t>
      </w:r>
      <w:r>
        <w:rPr>
          <w:rFonts w:hint="default" w:ascii="Times New Roman" w:hAnsi="Times New Roman" w:cs="Times New Roman"/>
          <w:b w:val="0"/>
          <w:i w:val="0"/>
          <w:sz w:val="20"/>
          <w:szCs w:val="28"/>
          <w:lang w:val="en-US" w:eastAsia="zh-CN"/>
        </w:rPr>
        <w:t xml:space="preserve"> </w:t>
      </w:r>
      <w:r>
        <w:rPr>
          <w:rFonts w:hint="default" w:ascii="Times New Roman" w:hAnsi="Times New Roman" w:cs="Times New Roman"/>
          <w:b w:val="0"/>
          <w:i w:val="0"/>
          <w:sz w:val="20"/>
          <w:szCs w:val="28"/>
        </w:rPr>
        <w:t>samples, respectively. Elite universities are defined using the study’s global Top 500 criterion. Band width is proportional to the number of faculty in each source–destination category.</w:t>
      </w:r>
    </w:p>
    <w:p w14:paraId="65A28300">
      <w:pPr>
        <w:rPr>
          <w:rFonts w:hint="default" w:ascii="Times New Roman" w:hAnsi="Times New Roman" w:cs="Times New Roman"/>
          <w:b/>
          <w:bCs/>
          <w:sz w:val="24"/>
          <w:szCs w:val="32"/>
          <w:highlight w:val="yellow"/>
          <w:lang w:val="en-US" w:eastAsia="zh-CN"/>
        </w:rPr>
      </w:pPr>
      <w:r>
        <w:rPr>
          <w:rFonts w:hint="default" w:ascii="Times New Roman" w:hAnsi="Times New Roman" w:cs="Times New Roman"/>
          <w:b/>
          <w:bCs/>
          <w:sz w:val="24"/>
          <w:szCs w:val="32"/>
          <w:highlight w:val="yellow"/>
          <w:lang w:val="en-US" w:eastAsia="zh-CN"/>
        </w:rPr>
        <w:br w:type="page"/>
      </w:r>
    </w:p>
    <w:p w14:paraId="2AA3FC93">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lang w:val="en-US" w:eastAsia="zh-CN"/>
        </w:rPr>
      </w:pPr>
      <w:r>
        <w:rPr>
          <w:rFonts w:hint="default" w:ascii="Times New Roman" w:hAnsi="Times New Roman" w:cs="Times New Roman"/>
          <w:i w:val="0"/>
          <w:sz w:val="22"/>
          <w:szCs w:val="22"/>
          <w:lang w:val="en-US" w:eastAsia="zh-CN"/>
        </w:rPr>
        <w:t>Appendix Figure 2. Trends in Gini coefficients and Theil indices of academic source-institution concentration in the OA sample</w:t>
      </w:r>
    </w:p>
    <w:p w14:paraId="5445E5AB">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A. Gini coefficients</w:t>
      </w:r>
    </w:p>
    <w:p w14:paraId="14FCEF06">
      <w:pPr>
        <w:spacing w:line="240" w:lineRule="auto"/>
        <w:jc w:val="center"/>
        <w:rPr>
          <w:rFonts w:hint="default" w:ascii="Times New Roman" w:hAnsi="Times New Roman" w:cs="Times New Roman"/>
          <w:sz w:val="24"/>
          <w:szCs w:val="32"/>
        </w:rPr>
      </w:pPr>
      <w:r>
        <w:rPr>
          <w:rFonts w:hint="default" w:ascii="Times New Roman" w:hAnsi="Times New Roman" w:cs="Times New Roman"/>
        </w:rPr>
        <w:drawing>
          <wp:inline distT="0" distB="0" distL="114300" distR="114300">
            <wp:extent cx="4406265" cy="2938780"/>
            <wp:effectExtent l="0" t="0" r="1333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4406265" cy="2938780"/>
                    </a:xfrm>
                    <a:prstGeom prst="rect">
                      <a:avLst/>
                    </a:prstGeom>
                    <a:noFill/>
                    <a:ln>
                      <a:noFill/>
                    </a:ln>
                  </pic:spPr>
                </pic:pic>
              </a:graphicData>
            </a:graphic>
          </wp:inline>
        </w:drawing>
      </w:r>
    </w:p>
    <w:p w14:paraId="29C5558C">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Panels A–D show the trends in the Gini coefficient for the full sample, by discipline, by gender, and by country, respectively.</w:t>
      </w:r>
    </w:p>
    <w:p w14:paraId="7C9A5935">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B. Theil indices</w:t>
      </w:r>
    </w:p>
    <w:p w14:paraId="442A5D7B">
      <w:pPr>
        <w:spacing w:before="156" w:beforeLines="50" w:line="240" w:lineRule="auto"/>
        <w:ind w:firstLine="420" w:firstLineChars="0"/>
        <w:jc w:val="center"/>
        <w:rPr>
          <w:rFonts w:hint="default" w:ascii="Times New Roman" w:hAnsi="Times New Roman" w:cs="Times New Roman"/>
        </w:rPr>
      </w:pPr>
      <w:r>
        <w:rPr>
          <w:rFonts w:hint="default" w:ascii="Times New Roman" w:hAnsi="Times New Roman" w:cs="Times New Roman"/>
        </w:rPr>
        <w:drawing>
          <wp:inline distT="0" distB="0" distL="114300" distR="114300">
            <wp:extent cx="3993515" cy="3835400"/>
            <wp:effectExtent l="0" t="0" r="14605" b="508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1"/>
                    <a:stretch>
                      <a:fillRect/>
                    </a:stretch>
                  </pic:blipFill>
                  <pic:spPr>
                    <a:xfrm>
                      <a:off x="0" y="0"/>
                      <a:ext cx="3993515" cy="3835400"/>
                    </a:xfrm>
                    <a:prstGeom prst="rect">
                      <a:avLst/>
                    </a:prstGeom>
                    <a:noFill/>
                    <a:ln>
                      <a:noFill/>
                    </a:ln>
                  </pic:spPr>
                </pic:pic>
              </a:graphicData>
            </a:graphic>
          </wp:inline>
        </w:drawing>
      </w:r>
    </w:p>
    <w:p w14:paraId="4B104315">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Panels A–D show the trends in the Theil index for the full sample, by gender, by discipline, and by country, respectively.</w:t>
      </w:r>
    </w:p>
    <w:p w14:paraId="650BA2DF">
      <w:pP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br w:type="page"/>
      </w:r>
    </w:p>
    <w:p w14:paraId="56094D5E">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lang w:val="en-US" w:eastAsia="zh-CN"/>
        </w:rPr>
      </w:pPr>
      <w:r>
        <w:rPr>
          <w:rFonts w:hint="default" w:ascii="Times New Roman" w:hAnsi="Times New Roman" w:cs="Times New Roman"/>
          <w:i w:val="0"/>
          <w:sz w:val="22"/>
          <w:szCs w:val="22"/>
          <w:lang w:val="en-US" w:eastAsia="zh-CN"/>
        </w:rPr>
        <w:t>Appendix Figure 3. Trends in Gini coefficients and Theil indices of academic source-institution concentration in the ORCID sample</w:t>
      </w:r>
    </w:p>
    <w:p w14:paraId="3EEE6677">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A. Gini coefficients</w:t>
      </w:r>
    </w:p>
    <w:p w14:paraId="0927BE45">
      <w:pPr>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313555" cy="2876550"/>
            <wp:effectExtent l="0" t="0" r="1460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4313555" cy="2876550"/>
                    </a:xfrm>
                    <a:prstGeom prst="rect">
                      <a:avLst/>
                    </a:prstGeom>
                    <a:noFill/>
                    <a:ln>
                      <a:noFill/>
                    </a:ln>
                  </pic:spPr>
                </pic:pic>
              </a:graphicData>
            </a:graphic>
          </wp:inline>
        </w:drawing>
      </w:r>
    </w:p>
    <w:p w14:paraId="2114DA25">
      <w:pPr>
        <w:pStyle w:val="19"/>
        <w:widowControl/>
        <w:snapToGrid w:val="0"/>
        <w:textAlignment w:val="center"/>
        <w:rPr>
          <w:rFonts w:hint="default" w:ascii="Times New Roman" w:hAnsi="Times New Roman" w:cs="Times New Roman"/>
          <w:b w:val="0"/>
          <w:i w:val="0"/>
          <w:sz w:val="20"/>
          <w:szCs w:val="28"/>
          <w:lang w:val="en-US" w:eastAsia="zh-CN"/>
        </w:rPr>
      </w:pPr>
      <w:r>
        <w:rPr>
          <w:rFonts w:hint="default" w:ascii="Times New Roman" w:hAnsi="Times New Roman" w:cs="Times New Roman"/>
          <w:b w:val="0"/>
          <w:i w:val="0"/>
          <w:sz w:val="20"/>
          <w:szCs w:val="28"/>
        </w:rPr>
        <w:t>Note. Panels A–D show the trends in the Gini coefficient for the full sample, by discipline, by gender, and by country, respectively.</w:t>
      </w:r>
    </w:p>
    <w:p w14:paraId="617026A4">
      <w:pPr>
        <w:pStyle w:val="17"/>
        <w:keepNext/>
        <w:spacing w:before="156" w:beforeLines="50" w:after="156" w:afterLines="50"/>
        <w:rPr>
          <w:rFonts w:hint="default" w:ascii="Times New Roman" w:hAnsi="Times New Roman" w:cs="Times New Roman"/>
          <w:i w:val="0"/>
          <w:sz w:val="22"/>
          <w:szCs w:val="36"/>
          <w:lang w:val="en-US" w:eastAsia="zh-CN"/>
        </w:rPr>
      </w:pPr>
      <w:r>
        <w:rPr>
          <w:rFonts w:hint="default" w:ascii="Times New Roman" w:hAnsi="Times New Roman" w:cs="Times New Roman"/>
          <w:i w:val="0"/>
          <w:sz w:val="22"/>
          <w:szCs w:val="36"/>
          <w:lang w:val="en-US" w:eastAsia="zh-CN"/>
        </w:rPr>
        <w:t>Panel B. Theil indices</w:t>
      </w:r>
    </w:p>
    <w:p w14:paraId="338281E9">
      <w:pPr>
        <w:spacing w:before="156" w:beforeLines="50" w:line="240" w:lineRule="auto"/>
        <w:jc w:val="center"/>
        <w:rPr>
          <w:rFonts w:hint="default" w:ascii="Times New Roman" w:hAnsi="Times New Roman" w:cs="Times New Roman"/>
        </w:rPr>
      </w:pPr>
      <w:r>
        <w:rPr>
          <w:rFonts w:hint="default" w:ascii="Times New Roman" w:hAnsi="Times New Roman" w:cs="Times New Roman"/>
        </w:rPr>
        <w:drawing>
          <wp:inline distT="0" distB="0" distL="114300" distR="114300">
            <wp:extent cx="4065905" cy="3908425"/>
            <wp:effectExtent l="0" t="0" r="3175" b="825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3"/>
                    <a:stretch>
                      <a:fillRect/>
                    </a:stretch>
                  </pic:blipFill>
                  <pic:spPr>
                    <a:xfrm>
                      <a:off x="0" y="0"/>
                      <a:ext cx="4065905" cy="3908425"/>
                    </a:xfrm>
                    <a:prstGeom prst="rect">
                      <a:avLst/>
                    </a:prstGeom>
                    <a:noFill/>
                    <a:ln>
                      <a:noFill/>
                    </a:ln>
                  </pic:spPr>
                </pic:pic>
              </a:graphicData>
            </a:graphic>
          </wp:inline>
        </w:drawing>
      </w:r>
    </w:p>
    <w:p w14:paraId="2502F131">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Panels A–D show the trends in the Theil index for the full sample, by gender, by discipline, and by country, respectively.</w:t>
      </w:r>
    </w:p>
    <w:p w14:paraId="4097F726">
      <w:pP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br w:type="page"/>
      </w:r>
    </w:p>
    <w:p w14:paraId="59743A1D">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lang w:val="en-US" w:eastAsia="zh-CN"/>
        </w:rPr>
      </w:pPr>
      <w:r>
        <w:rPr>
          <w:rFonts w:hint="default" w:ascii="Times New Roman" w:hAnsi="Times New Roman" w:cs="Times New Roman"/>
          <w:i w:val="0"/>
          <w:sz w:val="22"/>
          <w:szCs w:val="22"/>
          <w:lang w:val="en-US" w:eastAsia="zh-CN"/>
        </w:rPr>
        <w:t>Appendix Figure 4. Distribution of source institutions for elite positions across academic datasets</w:t>
      </w:r>
    </w:p>
    <w:p w14:paraId="31B2575A">
      <w:pPr>
        <w:spacing w:line="300" w:lineRule="auto"/>
        <w:rPr>
          <w:rFonts w:hint="default" w:ascii="Times New Roman" w:hAnsi="Times New Roman" w:cs="Times New Roman"/>
          <w:sz w:val="24"/>
        </w:rPr>
      </w:pPr>
      <w:r>
        <w:rPr>
          <w:rFonts w:hint="default" w:ascii="Times New Roman" w:hAnsi="Times New Roman" w:cs="Times New Roman"/>
        </w:rPr>
        <w:drawing>
          <wp:inline distT="0" distB="0" distL="114300" distR="114300">
            <wp:extent cx="6207125" cy="1764665"/>
            <wp:effectExtent l="0" t="0" r="10795" b="317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14"/>
                    <a:stretch>
                      <a:fillRect/>
                    </a:stretch>
                  </pic:blipFill>
                  <pic:spPr>
                    <a:xfrm>
                      <a:off x="0" y="0"/>
                      <a:ext cx="6207125" cy="1764665"/>
                    </a:xfrm>
                    <a:prstGeom prst="rect">
                      <a:avLst/>
                    </a:prstGeom>
                  </pic:spPr>
                </pic:pic>
              </a:graphicData>
            </a:graphic>
          </wp:inline>
        </w:drawing>
      </w:r>
    </w:p>
    <w:p w14:paraId="72245AD4">
      <w:pPr>
        <w:pStyle w:val="19"/>
        <w:widowControl/>
        <w:snapToGrid w:val="0"/>
        <w:textAlignment w:val="center"/>
        <w:rPr>
          <w:rFonts w:hint="default" w:ascii="Times New Roman" w:hAnsi="Times New Roman" w:cs="Times New Roman"/>
          <w:b w:val="0"/>
          <w:i w:val="0"/>
          <w:sz w:val="20"/>
          <w:szCs w:val="28"/>
        </w:rPr>
      </w:pPr>
      <w:r>
        <w:rPr>
          <w:rFonts w:hint="default" w:ascii="Times New Roman" w:hAnsi="Times New Roman" w:cs="Times New Roman"/>
          <w:b w:val="0"/>
          <w:i w:val="0"/>
          <w:sz w:val="20"/>
          <w:szCs w:val="28"/>
        </w:rPr>
        <w:t>Note. Panels (a)-(c) show elite-position holders across doctoral source institutions for ORCID, OA (OpenAlex), and the Global CV sample. x-axis = cumulative percentage of elite placements produced; y-axis = percentage of source universities. The number above each box is the count of source institutions accounting for each successive 20% of placements (fewer = more concentrated). Low-frequency institutions truncated: minimum placements of 20 (ORCID), 250 (OA), 100 (Global CV); retained samples ≈ 92.8%, 85.1%, 85%. Names cleaned/standardized.</w:t>
      </w:r>
    </w:p>
    <w:p w14:paraId="509917A4">
      <w:pPr>
        <w:rPr>
          <w:rFonts w:hint="default" w:ascii="Times New Roman" w:hAnsi="Times New Roman" w:cs="Times New Roman"/>
          <w:sz w:val="22"/>
          <w:szCs w:val="28"/>
          <w:lang w:val="en-US" w:eastAsia="zh-CN"/>
        </w:rPr>
      </w:pPr>
      <w:r>
        <w:rPr>
          <w:rFonts w:hint="default" w:ascii="Times New Roman" w:hAnsi="Times New Roman" w:cs="Times New Roman"/>
          <w:sz w:val="22"/>
          <w:szCs w:val="28"/>
          <w:lang w:val="en-US" w:eastAsia="zh-CN"/>
        </w:rPr>
        <w:br w:type="page"/>
      </w:r>
    </w:p>
    <w:p w14:paraId="24B619D3">
      <w:pPr>
        <w:pStyle w:val="15"/>
        <w:keepNext/>
        <w:keepLines w:val="0"/>
        <w:pageBreakBefore w:val="0"/>
        <w:widowControl/>
        <w:kinsoku/>
        <w:wordWrap/>
        <w:overflowPunct/>
        <w:topLinePunct w:val="0"/>
        <w:autoSpaceDE/>
        <w:autoSpaceDN/>
        <w:bidi w:val="0"/>
        <w:adjustRightInd/>
        <w:snapToGrid/>
        <w:spacing w:before="157" w:beforeLines="50" w:after="157" w:afterLines="50" w:line="300" w:lineRule="auto"/>
        <w:textAlignment w:val="auto"/>
        <w:rPr>
          <w:rFonts w:hint="default" w:ascii="Times New Roman" w:hAnsi="Times New Roman" w:cs="Times New Roman"/>
          <w:i w:val="0"/>
          <w:sz w:val="22"/>
          <w:szCs w:val="22"/>
          <w:lang w:val="en-US" w:eastAsia="zh-CN"/>
        </w:rPr>
      </w:pPr>
      <w:r>
        <w:rPr>
          <w:rFonts w:hint="default" w:ascii="Times New Roman" w:hAnsi="Times New Roman" w:cs="Times New Roman"/>
          <w:i w:val="0"/>
          <w:sz w:val="22"/>
          <w:szCs w:val="22"/>
          <w:lang w:val="en-US" w:eastAsia="zh-CN"/>
        </w:rPr>
        <w:t>Appendix Figure 5. Concentration of bachelor source institutions among elite corporate and government positions</w:t>
      </w:r>
    </w:p>
    <w:p w14:paraId="2E37479E">
      <w:pPr>
        <w:spacing w:before="156" w:beforeLines="50" w:line="300" w:lineRule="auto"/>
        <w:jc w:val="center"/>
        <w:rPr>
          <w:rFonts w:hint="default" w:ascii="Times New Roman" w:hAnsi="Times New Roman" w:cs="Times New Roman"/>
          <w:b/>
          <w:bCs/>
          <w:sz w:val="24"/>
          <w:szCs w:val="32"/>
          <w:highlight w:val="yellow"/>
          <w:lang w:val="en-US" w:eastAsia="zh-CN"/>
        </w:rPr>
      </w:pPr>
      <w:r>
        <w:rPr>
          <w:rFonts w:hint="default" w:ascii="Times New Roman" w:hAnsi="Times New Roman" w:cs="Times New Roman"/>
        </w:rPr>
        <w:drawing>
          <wp:inline distT="0" distB="0" distL="114300" distR="114300">
            <wp:extent cx="5292725" cy="2313305"/>
            <wp:effectExtent l="0" t="0" r="10795" b="317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pic:cNvPicPr>
                  </pic:nvPicPr>
                  <pic:blipFill>
                    <a:blip r:embed="rId15"/>
                    <a:srcRect l="19791" r="3094"/>
                    <a:stretch>
                      <a:fillRect/>
                    </a:stretch>
                  </pic:blipFill>
                  <pic:spPr>
                    <a:xfrm>
                      <a:off x="0" y="0"/>
                      <a:ext cx="5292725" cy="2313305"/>
                    </a:xfrm>
                    <a:prstGeom prst="rect">
                      <a:avLst/>
                    </a:prstGeom>
                  </pic:spPr>
                </pic:pic>
              </a:graphicData>
            </a:graphic>
          </wp:inline>
        </w:drawing>
      </w:r>
    </w:p>
    <w:p w14:paraId="4888BBD6">
      <w:pPr>
        <w:pStyle w:val="19"/>
        <w:widowControl/>
        <w:snapToGrid w:val="0"/>
        <w:textAlignment w:val="center"/>
        <w:rPr>
          <w:rFonts w:hint="default" w:ascii="Times New Roman" w:hAnsi="Times New Roman" w:cs="Times New Roman"/>
          <w:b w:val="0"/>
          <w:i w:val="0"/>
          <w:sz w:val="20"/>
          <w:szCs w:val="28"/>
          <w:lang w:val="en-US" w:eastAsia="zh-CN"/>
        </w:rPr>
      </w:pPr>
      <w:r>
        <w:rPr>
          <w:rFonts w:hint="default" w:ascii="Times New Roman" w:hAnsi="Times New Roman" w:cs="Times New Roman"/>
          <w:b w:val="0"/>
          <w:i w:val="0"/>
          <w:sz w:val="20"/>
          <w:szCs w:val="28"/>
        </w:rPr>
        <w:t>Note. Panels (a)–(b) show elite-position holders across bachelor-source institutions for corporate (government excluded) and government positions in LinkedIn. Axes and box numbers are defined as in Appendix Figure 4. Low-frequency institutions truncated: minimum placements of 100 (corporate), 20 (government); retained samples ≈ 93.7%, 91.9%.</w:t>
      </w:r>
    </w:p>
    <w:p w14:paraId="39499147">
      <w:pPr>
        <w:rPr>
          <w:rFonts w:hint="default" w:ascii="Times New Roman" w:hAnsi="Times New Roman" w:cs="Times New Roman"/>
        </w:rPr>
      </w:pPr>
    </w:p>
    <w:sectPr>
      <w:pgSz w:w="11906" w:h="16838"/>
      <w:pgMar w:top="1083" w:right="1083" w:bottom="1083" w:left="108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Times New Roman Regular">
    <w:altName w:val="Times New Roman"/>
    <w:panose1 w:val="00000000000000000000"/>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3B3F4">
    <w:pPr>
      <w:pStyle w:val="3"/>
      <w:jc w:val="center"/>
    </w:pPr>
    <w:r>
      <w:fldChar w:fldCharType="begin"/>
    </w:r>
    <w:r>
      <w:instrText xml:space="preserve">PAGE</w:instrText>
    </w:r>
    <w:r>
      <w:fldChar w:fldCharType="separate"/>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675341"/>
    <w:rsid w:val="001551DA"/>
    <w:rsid w:val="00C949C2"/>
    <w:rsid w:val="00E25EDF"/>
    <w:rsid w:val="04DE4FA5"/>
    <w:rsid w:val="0C563A1D"/>
    <w:rsid w:val="0C747355"/>
    <w:rsid w:val="0E611F33"/>
    <w:rsid w:val="0E7B4CEB"/>
    <w:rsid w:val="11014CEC"/>
    <w:rsid w:val="123077EA"/>
    <w:rsid w:val="126857B5"/>
    <w:rsid w:val="19433D4E"/>
    <w:rsid w:val="19AD13C3"/>
    <w:rsid w:val="19EC2DA2"/>
    <w:rsid w:val="1A83460D"/>
    <w:rsid w:val="21675341"/>
    <w:rsid w:val="220F58EE"/>
    <w:rsid w:val="249B54A4"/>
    <w:rsid w:val="27822A1D"/>
    <w:rsid w:val="2C491D5B"/>
    <w:rsid w:val="31271F3F"/>
    <w:rsid w:val="3734027D"/>
    <w:rsid w:val="3AF61300"/>
    <w:rsid w:val="3C0430B5"/>
    <w:rsid w:val="3FB377C0"/>
    <w:rsid w:val="424768D8"/>
    <w:rsid w:val="49551B8D"/>
    <w:rsid w:val="4D323E26"/>
    <w:rsid w:val="4F9842DC"/>
    <w:rsid w:val="50836016"/>
    <w:rsid w:val="60DB671F"/>
    <w:rsid w:val="63473BF7"/>
    <w:rsid w:val="6FF11ABB"/>
    <w:rsid w:val="7169065D"/>
    <w:rsid w:val="72200435"/>
    <w:rsid w:val="72CA5F97"/>
    <w:rsid w:val="72F53D6F"/>
    <w:rsid w:val="76DC5832"/>
    <w:rsid w:val="77E3618D"/>
    <w:rsid w:val="7AF31112"/>
    <w:rsid w:val="7CE51858"/>
    <w:rsid w:val="7E8818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60" w:line="240" w:lineRule="auto"/>
      <w:jc w:val="both"/>
    </w:pPr>
    <w:rPr>
      <w:rFonts w:asciiTheme="minorHAnsi" w:hAnsiTheme="minorHAnsi" w:eastAsiaTheme="minorEastAsia" w:cstheme="minorBidi"/>
      <w:color w:val="000000"/>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nhideWhenUsed/>
    <w:qFormat/>
    <w:uiPriority w:val="99"/>
    <w:pPr>
      <w:tabs>
        <w:tab w:val="center" w:pos="4680"/>
        <w:tab w:val="right" w:pos="9360"/>
      </w:tabs>
      <w:spacing w:after="0" w:line="240" w:lineRule="auto"/>
    </w:p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 w:type="character" w:styleId="10">
    <w:name w:val="annotation reference"/>
    <w:basedOn w:val="7"/>
    <w:qFormat/>
    <w:uiPriority w:val="0"/>
    <w:rPr>
      <w:sz w:val="16"/>
      <w:szCs w:val="16"/>
    </w:rPr>
  </w:style>
  <w:style w:type="paragraph" w:customStyle="1" w:styleId="11">
    <w:name w:val="Table Note"/>
    <w:qFormat/>
    <w:uiPriority w:val="0"/>
    <w:pPr>
      <w:spacing w:before="60" w:after="160" w:line="240" w:lineRule="auto"/>
    </w:pPr>
    <w:rPr>
      <w:rFonts w:ascii="Times New Roman" w:hAnsi="Times New Roman" w:eastAsia="Times New Roman" w:cstheme="minorBidi"/>
      <w:sz w:val="17"/>
      <w:szCs w:val="22"/>
      <w:lang w:val="en-US" w:eastAsia="en-US" w:bidi="ar-SA"/>
    </w:rPr>
  </w:style>
  <w:style w:type="paragraph" w:customStyle="1" w:styleId="12">
    <w:name w:val="heading 1"/>
    <w:basedOn w:val="1"/>
    <w:qFormat/>
    <w:uiPriority w:val="0"/>
    <w:pPr>
      <w:keepNext/>
      <w:keepLines/>
      <w:pageBreakBefore/>
      <w:spacing w:before="0" w:after="160"/>
    </w:pPr>
    <w:rPr>
      <w:rFonts w:ascii="Times New Roman" w:hAnsi="Times New Roman" w:eastAsia="宋体" w:cs="Times New Roman"/>
      <w:b/>
      <w:color w:val="000000"/>
      <w:sz w:val="28"/>
    </w:rPr>
  </w:style>
  <w:style w:type="paragraph" w:customStyle="1" w:styleId="13">
    <w:name w:val="heading 2"/>
    <w:basedOn w:val="1"/>
    <w:qFormat/>
    <w:uiPriority w:val="0"/>
    <w:pPr>
      <w:keepNext/>
      <w:keepLines/>
      <w:pageBreakBefore w:val="0"/>
      <w:spacing w:before="200" w:after="80"/>
    </w:pPr>
    <w:rPr>
      <w:rFonts w:ascii="Times New Roman" w:hAnsi="Times New Roman" w:eastAsia="宋体" w:cs="Times New Roman"/>
      <w:b/>
      <w:color w:val="000000"/>
      <w:sz w:val="22"/>
    </w:rPr>
  </w:style>
  <w:style w:type="paragraph" w:customStyle="1" w:styleId="14">
    <w:name w:val="heading 3"/>
    <w:basedOn w:val="1"/>
    <w:qFormat/>
    <w:uiPriority w:val="0"/>
    <w:pPr>
      <w:keepNext/>
      <w:keepLines/>
      <w:pageBreakBefore w:val="0"/>
      <w:spacing w:before="140" w:after="60"/>
    </w:pPr>
    <w:rPr>
      <w:rFonts w:ascii="Times New Roman" w:hAnsi="Times New Roman" w:eastAsia="宋体" w:cs="Times New Roman"/>
      <w:b/>
      <w:color w:val="000000"/>
      <w:sz w:val="21"/>
    </w:rPr>
  </w:style>
  <w:style w:type="paragraph" w:customStyle="1" w:styleId="15">
    <w:name w:val="Appendix Table Title"/>
    <w:basedOn w:val="1"/>
    <w:qFormat/>
    <w:uiPriority w:val="0"/>
    <w:pPr>
      <w:keepNext/>
      <w:keepLines/>
      <w:spacing w:before="160" w:after="60"/>
    </w:pPr>
    <w:rPr>
      <w:rFonts w:ascii="Times New Roman" w:hAnsi="Times New Roman" w:eastAsia="宋体" w:cs="Times New Roman"/>
      <w:b/>
      <w:color w:val="000000"/>
      <w:sz w:val="21"/>
    </w:rPr>
  </w:style>
  <w:style w:type="paragraph" w:customStyle="1" w:styleId="16">
    <w:name w:val="Appendix Figure Title"/>
    <w:basedOn w:val="1"/>
    <w:qFormat/>
    <w:uiPriority w:val="0"/>
    <w:pPr>
      <w:keepNext/>
      <w:keepLines/>
      <w:spacing w:before="200" w:after="80"/>
    </w:pPr>
    <w:rPr>
      <w:rFonts w:ascii="Times New Roman" w:hAnsi="Times New Roman" w:eastAsia="宋体" w:cs="Times New Roman"/>
      <w:b/>
      <w:color w:val="000000"/>
      <w:sz w:val="21"/>
    </w:rPr>
  </w:style>
  <w:style w:type="paragraph" w:customStyle="1" w:styleId="17">
    <w:name w:val="Panel Title"/>
    <w:basedOn w:val="1"/>
    <w:qFormat/>
    <w:uiPriority w:val="0"/>
    <w:pPr>
      <w:keepNext/>
      <w:keepLines/>
      <w:spacing w:before="100" w:after="40"/>
    </w:pPr>
    <w:rPr>
      <w:rFonts w:ascii="Times New Roman" w:hAnsi="Times New Roman" w:eastAsia="宋体" w:cs="Times New Roman"/>
      <w:b/>
      <w:color w:val="000000"/>
      <w:sz w:val="20"/>
    </w:rPr>
  </w:style>
  <w:style w:type="paragraph" w:customStyle="1" w:styleId="18">
    <w:name w:val="Subpanel Title"/>
    <w:basedOn w:val="1"/>
    <w:qFormat/>
    <w:uiPriority w:val="0"/>
    <w:pPr>
      <w:keepNext/>
      <w:keepLines/>
      <w:spacing w:before="80" w:after="20"/>
    </w:pPr>
    <w:rPr>
      <w:rFonts w:ascii="Times New Roman" w:hAnsi="Times New Roman" w:eastAsia="宋体" w:cs="Times New Roman"/>
      <w:b/>
      <w:color w:val="000000"/>
      <w:sz w:val="19"/>
    </w:rPr>
  </w:style>
  <w:style w:type="paragraph" w:customStyle="1" w:styleId="19">
    <w:name w:val="Appendix Note"/>
    <w:basedOn w:val="1"/>
    <w:qFormat/>
    <w:uiPriority w:val="0"/>
    <w:pPr>
      <w:spacing w:before="40" w:after="120" w:line="240" w:lineRule="auto"/>
    </w:pPr>
    <w:rPr>
      <w:rFonts w:ascii="Times New Roman" w:hAnsi="Times New Roman" w:eastAsia="宋体" w:cs="Times New Roman"/>
      <w:color w:val="000000"/>
      <w:sz w:val="18"/>
    </w:rPr>
  </w:style>
  <w:style w:type="paragraph" w:customStyle="1" w:styleId="20">
    <w:name w:val="Model Information"/>
    <w:basedOn w:val="1"/>
    <w:qFormat/>
    <w:uiPriority w:val="0"/>
    <w:pPr>
      <w:keepNext/>
      <w:spacing w:before="0" w:after="40"/>
    </w:pPr>
    <w:rPr>
      <w:rFonts w:ascii="Times New Roman" w:hAnsi="Times New Roman" w:eastAsia="宋体" w:cs="Times New Roman"/>
      <w:color w:val="000000"/>
      <w:sz w:val="19"/>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83</Pages>
  <Words>9311</Words>
  <Characters>61357</Characters>
  <Lines>645</Lines>
  <Paragraphs>181</Paragraphs>
  <TotalTime>11</TotalTime>
  <ScaleCrop>false</ScaleCrop>
  <LinksUpToDate>false</LinksUpToDate>
  <CharactersWithSpaces>70188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2026-07-23T07:05:00Z</dcterms:created>
  <dc:creator>LSY</dc:creator>
  <cp:lastModifiedBy>LSY</cp:lastModifiedBy>
  <dcterms:modified xsi:type="dcterms:W3CDTF">2026-08-02T12:04:00Z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D0B109B87D854FB79893A42D5F56C217_11</vt:lpwstr>
  </property>
  <property fmtid="{D5CDD505-2E9C-101B-9397-08002B2CF9AE}" pid="4" name="KSOTemplateDocerSaveRecord">
    <vt:lpwstr>eyJoZGlkIjoiZDkzNWI1YTY4OGNjYjg5MDQ0ODIyNmFlODNjYWMzMmEiLCJ1c2VySWQiOiIyNzUxNjUxMTgifQ==</vt:lpwstr>
  </property>
</Properties>
</file>