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3778B" w14:textId="77777777" w:rsidR="00455F0F" w:rsidRPr="00130F75" w:rsidRDefault="00455F0F" w:rsidP="00455F0F">
      <w:pPr>
        <w:pStyle w:val="Bibliography"/>
        <w:ind w:left="0" w:firstLine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8"/>
        <w:gridCol w:w="2224"/>
        <w:gridCol w:w="1838"/>
        <w:gridCol w:w="1681"/>
        <w:gridCol w:w="1819"/>
      </w:tblGrid>
      <w:tr w:rsidR="00455F0F" w:rsidRPr="00130F75" w14:paraId="1AA4AD02" w14:textId="77777777" w:rsidTr="00A7189C">
        <w:tc>
          <w:tcPr>
            <w:tcW w:w="2790" w:type="dxa"/>
          </w:tcPr>
          <w:p w14:paraId="1AFDEB49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Statement number</w:t>
            </w:r>
          </w:p>
        </w:tc>
        <w:tc>
          <w:tcPr>
            <w:tcW w:w="2790" w:type="dxa"/>
          </w:tcPr>
          <w:p w14:paraId="1A38168E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Statement (verbatim)</w:t>
            </w:r>
          </w:p>
        </w:tc>
        <w:tc>
          <w:tcPr>
            <w:tcW w:w="2790" w:type="dxa"/>
          </w:tcPr>
          <w:p w14:paraId="74C6008D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Agreement (%)</w:t>
            </w:r>
          </w:p>
        </w:tc>
        <w:tc>
          <w:tcPr>
            <w:tcW w:w="2790" w:type="dxa"/>
          </w:tcPr>
          <w:p w14:paraId="6B101F8D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Median (IQR)</w:t>
            </w:r>
          </w:p>
        </w:tc>
        <w:tc>
          <w:tcPr>
            <w:tcW w:w="2790" w:type="dxa"/>
          </w:tcPr>
          <w:p w14:paraId="649747A7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Consensus achieved</w:t>
            </w:r>
          </w:p>
        </w:tc>
      </w:tr>
      <w:tr w:rsidR="00455F0F" w:rsidRPr="00130F75" w14:paraId="616A6B07" w14:textId="77777777" w:rsidTr="00A7189C">
        <w:tc>
          <w:tcPr>
            <w:tcW w:w="2790" w:type="dxa"/>
          </w:tcPr>
          <w:p w14:paraId="3A8DE950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1</w:t>
            </w:r>
          </w:p>
        </w:tc>
        <w:tc>
          <w:tcPr>
            <w:tcW w:w="2790" w:type="dxa"/>
          </w:tcPr>
          <w:p w14:paraId="713C75C1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EBM training should be integrated into the ST3–ST8 General Surgery curriculum.</w:t>
            </w:r>
          </w:p>
        </w:tc>
        <w:tc>
          <w:tcPr>
            <w:tcW w:w="2790" w:type="dxa"/>
          </w:tcPr>
          <w:p w14:paraId="377E6932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94</w:t>
            </w:r>
          </w:p>
        </w:tc>
        <w:tc>
          <w:tcPr>
            <w:tcW w:w="2790" w:type="dxa"/>
          </w:tcPr>
          <w:p w14:paraId="07967537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5 (1)</w:t>
            </w:r>
          </w:p>
        </w:tc>
        <w:tc>
          <w:tcPr>
            <w:tcW w:w="2790" w:type="dxa"/>
          </w:tcPr>
          <w:p w14:paraId="321B6E7C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5BC3DF14" w14:textId="77777777" w:rsidTr="00A7189C">
        <w:tc>
          <w:tcPr>
            <w:tcW w:w="2790" w:type="dxa"/>
          </w:tcPr>
          <w:p w14:paraId="4A98DF88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2</w:t>
            </w:r>
          </w:p>
        </w:tc>
        <w:tc>
          <w:tcPr>
            <w:tcW w:w="2790" w:type="dxa"/>
          </w:tcPr>
          <w:p w14:paraId="65C44523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The “explain” component of the Core EBM competencies Consensus (table 2, page 7–8) should be taught during General Surgery training.</w:t>
            </w:r>
          </w:p>
        </w:tc>
        <w:tc>
          <w:tcPr>
            <w:tcW w:w="2790" w:type="dxa"/>
          </w:tcPr>
          <w:p w14:paraId="359D3CA9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89</w:t>
            </w:r>
          </w:p>
        </w:tc>
        <w:tc>
          <w:tcPr>
            <w:tcW w:w="2790" w:type="dxa"/>
          </w:tcPr>
          <w:p w14:paraId="6C2CFD47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4 (1)</w:t>
            </w:r>
          </w:p>
        </w:tc>
        <w:tc>
          <w:tcPr>
            <w:tcW w:w="2790" w:type="dxa"/>
          </w:tcPr>
          <w:p w14:paraId="14FD7D7D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76157C1C" w14:textId="77777777" w:rsidTr="00A7189C">
        <w:tc>
          <w:tcPr>
            <w:tcW w:w="2790" w:type="dxa"/>
          </w:tcPr>
          <w:p w14:paraId="0451E4BA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3</w:t>
            </w:r>
          </w:p>
        </w:tc>
        <w:tc>
          <w:tcPr>
            <w:tcW w:w="2790" w:type="dxa"/>
          </w:tcPr>
          <w:p w14:paraId="54C05A9B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The “mention” component of the Core EBM competencies Consensus (table 2, page 7–8) should be taught during General Surgery training.</w:t>
            </w:r>
          </w:p>
        </w:tc>
        <w:tc>
          <w:tcPr>
            <w:tcW w:w="2790" w:type="dxa"/>
          </w:tcPr>
          <w:p w14:paraId="7260DE7F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78</w:t>
            </w:r>
          </w:p>
        </w:tc>
        <w:tc>
          <w:tcPr>
            <w:tcW w:w="2790" w:type="dxa"/>
          </w:tcPr>
          <w:p w14:paraId="0944A773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4 (1)</w:t>
            </w:r>
          </w:p>
        </w:tc>
        <w:tc>
          <w:tcPr>
            <w:tcW w:w="2790" w:type="dxa"/>
          </w:tcPr>
          <w:p w14:paraId="29D89D40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6AE59FE6" w14:textId="77777777" w:rsidTr="00A7189C">
        <w:tc>
          <w:tcPr>
            <w:tcW w:w="2790" w:type="dxa"/>
          </w:tcPr>
          <w:p w14:paraId="31473289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4</w:t>
            </w:r>
          </w:p>
        </w:tc>
        <w:tc>
          <w:tcPr>
            <w:tcW w:w="2790" w:type="dxa"/>
          </w:tcPr>
          <w:p w14:paraId="136A8F0F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EBM should be taught throughout the six years of General Surgery training.</w:t>
            </w:r>
          </w:p>
        </w:tc>
        <w:tc>
          <w:tcPr>
            <w:tcW w:w="2790" w:type="dxa"/>
          </w:tcPr>
          <w:p w14:paraId="79FEEB64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97</w:t>
            </w:r>
          </w:p>
        </w:tc>
        <w:tc>
          <w:tcPr>
            <w:tcW w:w="2790" w:type="dxa"/>
          </w:tcPr>
          <w:p w14:paraId="43995D54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5 (1)</w:t>
            </w:r>
          </w:p>
        </w:tc>
        <w:tc>
          <w:tcPr>
            <w:tcW w:w="2790" w:type="dxa"/>
          </w:tcPr>
          <w:p w14:paraId="6D9E3F0C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4C358A14" w14:textId="77777777" w:rsidTr="00A7189C">
        <w:tc>
          <w:tcPr>
            <w:tcW w:w="2790" w:type="dxa"/>
          </w:tcPr>
          <w:p w14:paraId="0634342B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5</w:t>
            </w:r>
          </w:p>
        </w:tc>
        <w:tc>
          <w:tcPr>
            <w:tcW w:w="2790" w:type="dxa"/>
          </w:tcPr>
          <w:p w14:paraId="1BC2019B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Should a relevant General Surgery clinical question arise in the trainees’ surgical practice, they should be able to convert it into structured, answerable formats (i.e. Patient–Intervention–Comparison–Outcome [PICO]).</w:t>
            </w:r>
          </w:p>
        </w:tc>
        <w:tc>
          <w:tcPr>
            <w:tcW w:w="2790" w:type="dxa"/>
          </w:tcPr>
          <w:p w14:paraId="7CC462AF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81</w:t>
            </w:r>
          </w:p>
        </w:tc>
        <w:tc>
          <w:tcPr>
            <w:tcW w:w="2790" w:type="dxa"/>
          </w:tcPr>
          <w:p w14:paraId="150AC970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4 (1)</w:t>
            </w:r>
          </w:p>
        </w:tc>
        <w:tc>
          <w:tcPr>
            <w:tcW w:w="2790" w:type="dxa"/>
          </w:tcPr>
          <w:p w14:paraId="59DE9CE3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2EB4A967" w14:textId="77777777" w:rsidTr="00A7189C">
        <w:tc>
          <w:tcPr>
            <w:tcW w:w="2790" w:type="dxa"/>
          </w:tcPr>
          <w:p w14:paraId="3CFF0465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6.1</w:t>
            </w:r>
          </w:p>
        </w:tc>
        <w:tc>
          <w:tcPr>
            <w:tcW w:w="2790" w:type="dxa"/>
          </w:tcPr>
          <w:p w14:paraId="1E587C72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EBM teaching should be facilitated through regional teaching.</w:t>
            </w:r>
          </w:p>
        </w:tc>
        <w:tc>
          <w:tcPr>
            <w:tcW w:w="2790" w:type="dxa"/>
          </w:tcPr>
          <w:p w14:paraId="43AAEE84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86</w:t>
            </w:r>
          </w:p>
        </w:tc>
        <w:tc>
          <w:tcPr>
            <w:tcW w:w="2790" w:type="dxa"/>
          </w:tcPr>
          <w:p w14:paraId="0F8D1446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5 (1)</w:t>
            </w:r>
          </w:p>
        </w:tc>
        <w:tc>
          <w:tcPr>
            <w:tcW w:w="2790" w:type="dxa"/>
          </w:tcPr>
          <w:p w14:paraId="324F7E7F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235ED299" w14:textId="77777777" w:rsidTr="00A7189C">
        <w:tc>
          <w:tcPr>
            <w:tcW w:w="2790" w:type="dxa"/>
          </w:tcPr>
          <w:p w14:paraId="63D39108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6.2</w:t>
            </w:r>
          </w:p>
        </w:tc>
        <w:tc>
          <w:tcPr>
            <w:tcW w:w="2790" w:type="dxa"/>
          </w:tcPr>
          <w:p w14:paraId="466FDE16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EBM teaching should be facilitated through national teaching.</w:t>
            </w:r>
          </w:p>
        </w:tc>
        <w:tc>
          <w:tcPr>
            <w:tcW w:w="2790" w:type="dxa"/>
          </w:tcPr>
          <w:p w14:paraId="4CA7C756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81</w:t>
            </w:r>
          </w:p>
        </w:tc>
        <w:tc>
          <w:tcPr>
            <w:tcW w:w="2790" w:type="dxa"/>
          </w:tcPr>
          <w:p w14:paraId="5B9703CF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4 (1)</w:t>
            </w:r>
          </w:p>
        </w:tc>
        <w:tc>
          <w:tcPr>
            <w:tcW w:w="2790" w:type="dxa"/>
          </w:tcPr>
          <w:p w14:paraId="4B7A06AC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64766727" w14:textId="77777777" w:rsidTr="00A7189C">
        <w:tc>
          <w:tcPr>
            <w:tcW w:w="2790" w:type="dxa"/>
          </w:tcPr>
          <w:p w14:paraId="07C1F075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6.3</w:t>
            </w:r>
          </w:p>
        </w:tc>
        <w:tc>
          <w:tcPr>
            <w:tcW w:w="2790" w:type="dxa"/>
          </w:tcPr>
          <w:p w14:paraId="363266CF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EBM teaching should be facilitated through courses/workshops.</w:t>
            </w:r>
          </w:p>
        </w:tc>
        <w:tc>
          <w:tcPr>
            <w:tcW w:w="2790" w:type="dxa"/>
          </w:tcPr>
          <w:p w14:paraId="469EF6C7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86</w:t>
            </w:r>
          </w:p>
        </w:tc>
        <w:tc>
          <w:tcPr>
            <w:tcW w:w="2790" w:type="dxa"/>
          </w:tcPr>
          <w:p w14:paraId="5B6E197E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4 (1)</w:t>
            </w:r>
          </w:p>
        </w:tc>
        <w:tc>
          <w:tcPr>
            <w:tcW w:w="2790" w:type="dxa"/>
          </w:tcPr>
          <w:p w14:paraId="29D4D183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6D01D86F" w14:textId="77777777" w:rsidTr="00A7189C">
        <w:tc>
          <w:tcPr>
            <w:tcW w:w="2790" w:type="dxa"/>
          </w:tcPr>
          <w:p w14:paraId="2D6037D5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6.4</w:t>
            </w:r>
          </w:p>
        </w:tc>
        <w:tc>
          <w:tcPr>
            <w:tcW w:w="2790" w:type="dxa"/>
          </w:tcPr>
          <w:p w14:paraId="5F4AB919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EBM teaching should be facilitated through journal clubs.</w:t>
            </w:r>
          </w:p>
        </w:tc>
        <w:tc>
          <w:tcPr>
            <w:tcW w:w="2790" w:type="dxa"/>
          </w:tcPr>
          <w:p w14:paraId="50ABE24D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94</w:t>
            </w:r>
          </w:p>
        </w:tc>
        <w:tc>
          <w:tcPr>
            <w:tcW w:w="2790" w:type="dxa"/>
          </w:tcPr>
          <w:p w14:paraId="6D15853A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4.5 (1)</w:t>
            </w:r>
          </w:p>
        </w:tc>
        <w:tc>
          <w:tcPr>
            <w:tcW w:w="2790" w:type="dxa"/>
          </w:tcPr>
          <w:p w14:paraId="6DA4F96E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3FA1D6BF" w14:textId="77777777" w:rsidTr="00A7189C">
        <w:tc>
          <w:tcPr>
            <w:tcW w:w="2790" w:type="dxa"/>
          </w:tcPr>
          <w:p w14:paraId="7AD914AE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7</w:t>
            </w:r>
          </w:p>
        </w:tc>
        <w:tc>
          <w:tcPr>
            <w:tcW w:w="2790" w:type="dxa"/>
          </w:tcPr>
          <w:p w14:paraId="74FB48E0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 xml:space="preserve">The surgical trainee should be able to formulate clinical questions based on the clinical situation such as </w:t>
            </w:r>
            <w:r w:rsidRPr="00130F75">
              <w:rPr>
                <w:sz w:val="20"/>
                <w:szCs w:val="20"/>
              </w:rPr>
              <w:lastRenderedPageBreak/>
              <w:t>treatment, diagnosis, prognosis, or aetiology.</w:t>
            </w:r>
          </w:p>
        </w:tc>
        <w:tc>
          <w:tcPr>
            <w:tcW w:w="2790" w:type="dxa"/>
          </w:tcPr>
          <w:p w14:paraId="6727A857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lastRenderedPageBreak/>
              <w:t>97</w:t>
            </w:r>
          </w:p>
        </w:tc>
        <w:tc>
          <w:tcPr>
            <w:tcW w:w="2790" w:type="dxa"/>
          </w:tcPr>
          <w:p w14:paraId="77721241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5 (1)</w:t>
            </w:r>
          </w:p>
        </w:tc>
        <w:tc>
          <w:tcPr>
            <w:tcW w:w="2790" w:type="dxa"/>
          </w:tcPr>
          <w:p w14:paraId="6E334318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685950CD" w14:textId="77777777" w:rsidTr="00A7189C">
        <w:tc>
          <w:tcPr>
            <w:tcW w:w="2790" w:type="dxa"/>
          </w:tcPr>
          <w:p w14:paraId="3EB82DEF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8</w:t>
            </w:r>
          </w:p>
        </w:tc>
        <w:tc>
          <w:tcPr>
            <w:tcW w:w="2790" w:type="dxa"/>
          </w:tcPr>
          <w:p w14:paraId="3AC70DC7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The trainee should be able to easily access EBM resources.</w:t>
            </w:r>
          </w:p>
        </w:tc>
        <w:tc>
          <w:tcPr>
            <w:tcW w:w="2790" w:type="dxa"/>
          </w:tcPr>
          <w:p w14:paraId="016870FA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100</w:t>
            </w:r>
          </w:p>
        </w:tc>
        <w:tc>
          <w:tcPr>
            <w:tcW w:w="2790" w:type="dxa"/>
          </w:tcPr>
          <w:p w14:paraId="1EC2C698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5 (0)</w:t>
            </w:r>
          </w:p>
        </w:tc>
        <w:tc>
          <w:tcPr>
            <w:tcW w:w="2790" w:type="dxa"/>
          </w:tcPr>
          <w:p w14:paraId="3149694C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137914F5" w14:textId="77777777" w:rsidTr="00A7189C">
        <w:tc>
          <w:tcPr>
            <w:tcW w:w="2790" w:type="dxa"/>
          </w:tcPr>
          <w:p w14:paraId="457DB5E8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9</w:t>
            </w:r>
          </w:p>
        </w:tc>
        <w:tc>
          <w:tcPr>
            <w:tcW w:w="2790" w:type="dxa"/>
          </w:tcPr>
          <w:p w14:paraId="02B856F5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Surgical trainees should be able to construct and execute search strategies for clinical questions and obtain adequate answers.</w:t>
            </w:r>
          </w:p>
        </w:tc>
        <w:tc>
          <w:tcPr>
            <w:tcW w:w="2790" w:type="dxa"/>
          </w:tcPr>
          <w:p w14:paraId="74ECA807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100</w:t>
            </w:r>
          </w:p>
        </w:tc>
        <w:tc>
          <w:tcPr>
            <w:tcW w:w="2790" w:type="dxa"/>
          </w:tcPr>
          <w:p w14:paraId="35F70922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5 (1)</w:t>
            </w:r>
          </w:p>
        </w:tc>
        <w:tc>
          <w:tcPr>
            <w:tcW w:w="2790" w:type="dxa"/>
          </w:tcPr>
          <w:p w14:paraId="6126402E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2C3A6318" w14:textId="77777777" w:rsidTr="00A7189C">
        <w:tc>
          <w:tcPr>
            <w:tcW w:w="2790" w:type="dxa"/>
          </w:tcPr>
          <w:p w14:paraId="2725B23A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10</w:t>
            </w:r>
          </w:p>
        </w:tc>
        <w:tc>
          <w:tcPr>
            <w:tcW w:w="2790" w:type="dxa"/>
          </w:tcPr>
          <w:p w14:paraId="6C332FE3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The surgical trainee should be able to critically appraise and interpret systematic reviews and meta-analyses.</w:t>
            </w:r>
          </w:p>
        </w:tc>
        <w:tc>
          <w:tcPr>
            <w:tcW w:w="2790" w:type="dxa"/>
          </w:tcPr>
          <w:p w14:paraId="02C108FC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94</w:t>
            </w:r>
          </w:p>
        </w:tc>
        <w:tc>
          <w:tcPr>
            <w:tcW w:w="2790" w:type="dxa"/>
          </w:tcPr>
          <w:p w14:paraId="42826637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5 (1)</w:t>
            </w:r>
          </w:p>
        </w:tc>
        <w:tc>
          <w:tcPr>
            <w:tcW w:w="2790" w:type="dxa"/>
          </w:tcPr>
          <w:p w14:paraId="1F982E71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42043335" w14:textId="77777777" w:rsidTr="00A7189C">
        <w:tc>
          <w:tcPr>
            <w:tcW w:w="2790" w:type="dxa"/>
          </w:tcPr>
          <w:p w14:paraId="56F8527B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11</w:t>
            </w:r>
          </w:p>
        </w:tc>
        <w:tc>
          <w:tcPr>
            <w:tcW w:w="2790" w:type="dxa"/>
          </w:tcPr>
          <w:p w14:paraId="0F810C75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The surgical trainee should be able to critically appraise and interpret treatment studies.</w:t>
            </w:r>
          </w:p>
        </w:tc>
        <w:tc>
          <w:tcPr>
            <w:tcW w:w="2790" w:type="dxa"/>
          </w:tcPr>
          <w:p w14:paraId="64C79AD3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95</w:t>
            </w:r>
          </w:p>
        </w:tc>
        <w:tc>
          <w:tcPr>
            <w:tcW w:w="2790" w:type="dxa"/>
          </w:tcPr>
          <w:p w14:paraId="588B84F1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5 (1)</w:t>
            </w:r>
          </w:p>
        </w:tc>
        <w:tc>
          <w:tcPr>
            <w:tcW w:w="2790" w:type="dxa"/>
          </w:tcPr>
          <w:p w14:paraId="7B77E7CA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3046721D" w14:textId="77777777" w:rsidTr="00A7189C">
        <w:tc>
          <w:tcPr>
            <w:tcW w:w="2790" w:type="dxa"/>
          </w:tcPr>
          <w:p w14:paraId="362D57CA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12</w:t>
            </w:r>
          </w:p>
        </w:tc>
        <w:tc>
          <w:tcPr>
            <w:tcW w:w="2790" w:type="dxa"/>
          </w:tcPr>
          <w:p w14:paraId="048DAA91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The surgical trainee should be able to critically appraise and interpret diagnostic accuracy studies.</w:t>
            </w:r>
          </w:p>
        </w:tc>
        <w:tc>
          <w:tcPr>
            <w:tcW w:w="2790" w:type="dxa"/>
          </w:tcPr>
          <w:p w14:paraId="49D52968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89</w:t>
            </w:r>
          </w:p>
        </w:tc>
        <w:tc>
          <w:tcPr>
            <w:tcW w:w="2790" w:type="dxa"/>
          </w:tcPr>
          <w:p w14:paraId="11A2657B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5 (1)</w:t>
            </w:r>
          </w:p>
        </w:tc>
        <w:tc>
          <w:tcPr>
            <w:tcW w:w="2790" w:type="dxa"/>
          </w:tcPr>
          <w:p w14:paraId="1E1BEC56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00BE66B3" w14:textId="77777777" w:rsidTr="00A7189C">
        <w:tc>
          <w:tcPr>
            <w:tcW w:w="2790" w:type="dxa"/>
          </w:tcPr>
          <w:p w14:paraId="19949855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13</w:t>
            </w:r>
          </w:p>
        </w:tc>
        <w:tc>
          <w:tcPr>
            <w:tcW w:w="2790" w:type="dxa"/>
          </w:tcPr>
          <w:p w14:paraId="74A4A787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The surgical trainee should be able to critically appraise and interpret qualitative studies.</w:t>
            </w:r>
          </w:p>
        </w:tc>
        <w:tc>
          <w:tcPr>
            <w:tcW w:w="2790" w:type="dxa"/>
          </w:tcPr>
          <w:p w14:paraId="6BBBDE27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83</w:t>
            </w:r>
          </w:p>
        </w:tc>
        <w:tc>
          <w:tcPr>
            <w:tcW w:w="2790" w:type="dxa"/>
          </w:tcPr>
          <w:p w14:paraId="21465E9A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4.5 (1)</w:t>
            </w:r>
          </w:p>
        </w:tc>
        <w:tc>
          <w:tcPr>
            <w:tcW w:w="2790" w:type="dxa"/>
          </w:tcPr>
          <w:p w14:paraId="23A80B18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717C900C" w14:textId="77777777" w:rsidTr="00A7189C">
        <w:tc>
          <w:tcPr>
            <w:tcW w:w="2790" w:type="dxa"/>
          </w:tcPr>
          <w:p w14:paraId="23767F60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14</w:t>
            </w:r>
          </w:p>
        </w:tc>
        <w:tc>
          <w:tcPr>
            <w:tcW w:w="2790" w:type="dxa"/>
          </w:tcPr>
          <w:p w14:paraId="14014F02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The surgical trainee should be able to apply critically appraised evidence in clinical decision-making.</w:t>
            </w:r>
          </w:p>
        </w:tc>
        <w:tc>
          <w:tcPr>
            <w:tcW w:w="2790" w:type="dxa"/>
          </w:tcPr>
          <w:p w14:paraId="1140C97F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92</w:t>
            </w:r>
          </w:p>
        </w:tc>
        <w:tc>
          <w:tcPr>
            <w:tcW w:w="2790" w:type="dxa"/>
          </w:tcPr>
          <w:p w14:paraId="7D7ECD16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5 (0)</w:t>
            </w:r>
          </w:p>
        </w:tc>
        <w:tc>
          <w:tcPr>
            <w:tcW w:w="2790" w:type="dxa"/>
          </w:tcPr>
          <w:p w14:paraId="048EB32E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57E5F4BB" w14:textId="77777777" w:rsidTr="00A7189C">
        <w:tc>
          <w:tcPr>
            <w:tcW w:w="2790" w:type="dxa"/>
          </w:tcPr>
          <w:p w14:paraId="52AF203B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15</w:t>
            </w:r>
          </w:p>
        </w:tc>
        <w:tc>
          <w:tcPr>
            <w:tcW w:w="2790" w:type="dxa"/>
          </w:tcPr>
          <w:p w14:paraId="23746BA6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The surgical trainee should be able to communicate evidence-based decisions effectively to patients.</w:t>
            </w:r>
          </w:p>
        </w:tc>
        <w:tc>
          <w:tcPr>
            <w:tcW w:w="2790" w:type="dxa"/>
          </w:tcPr>
          <w:p w14:paraId="44528E94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92</w:t>
            </w:r>
          </w:p>
        </w:tc>
        <w:tc>
          <w:tcPr>
            <w:tcW w:w="2790" w:type="dxa"/>
          </w:tcPr>
          <w:p w14:paraId="2E34A459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5 (0)</w:t>
            </w:r>
          </w:p>
        </w:tc>
        <w:tc>
          <w:tcPr>
            <w:tcW w:w="2790" w:type="dxa"/>
          </w:tcPr>
          <w:p w14:paraId="3491C958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02A874B7" w14:textId="77777777" w:rsidTr="00A7189C">
        <w:tc>
          <w:tcPr>
            <w:tcW w:w="2790" w:type="dxa"/>
          </w:tcPr>
          <w:p w14:paraId="2BEA99E1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16</w:t>
            </w:r>
          </w:p>
        </w:tc>
        <w:tc>
          <w:tcPr>
            <w:tcW w:w="2790" w:type="dxa"/>
          </w:tcPr>
          <w:p w14:paraId="621E0E73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The surgical trainee should be able to communicate evidence-based decisions effectively to colleagues.</w:t>
            </w:r>
          </w:p>
        </w:tc>
        <w:tc>
          <w:tcPr>
            <w:tcW w:w="2790" w:type="dxa"/>
          </w:tcPr>
          <w:p w14:paraId="361D3715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94</w:t>
            </w:r>
          </w:p>
        </w:tc>
        <w:tc>
          <w:tcPr>
            <w:tcW w:w="2790" w:type="dxa"/>
          </w:tcPr>
          <w:p w14:paraId="19D6EA49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5 (0)</w:t>
            </w:r>
          </w:p>
        </w:tc>
        <w:tc>
          <w:tcPr>
            <w:tcW w:w="2790" w:type="dxa"/>
          </w:tcPr>
          <w:p w14:paraId="64E6BB33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01B43DB5" w14:textId="77777777" w:rsidTr="00A7189C">
        <w:tc>
          <w:tcPr>
            <w:tcW w:w="2790" w:type="dxa"/>
          </w:tcPr>
          <w:p w14:paraId="13923426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17</w:t>
            </w:r>
          </w:p>
        </w:tc>
        <w:tc>
          <w:tcPr>
            <w:tcW w:w="2790" w:type="dxa"/>
          </w:tcPr>
          <w:p w14:paraId="6AE75AF7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The surgical trainee should be able to evaluate the outcomes of applied evidence and adjust practice accordingly.</w:t>
            </w:r>
          </w:p>
        </w:tc>
        <w:tc>
          <w:tcPr>
            <w:tcW w:w="2790" w:type="dxa"/>
          </w:tcPr>
          <w:p w14:paraId="4899994F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92</w:t>
            </w:r>
          </w:p>
        </w:tc>
        <w:tc>
          <w:tcPr>
            <w:tcW w:w="2790" w:type="dxa"/>
          </w:tcPr>
          <w:p w14:paraId="479B54F9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5 (1)</w:t>
            </w:r>
          </w:p>
        </w:tc>
        <w:tc>
          <w:tcPr>
            <w:tcW w:w="2790" w:type="dxa"/>
          </w:tcPr>
          <w:p w14:paraId="2D17B62A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6B9D08E3" w14:textId="77777777" w:rsidTr="00A7189C">
        <w:tc>
          <w:tcPr>
            <w:tcW w:w="2790" w:type="dxa"/>
          </w:tcPr>
          <w:p w14:paraId="7AAFF110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18</w:t>
            </w:r>
          </w:p>
        </w:tc>
        <w:tc>
          <w:tcPr>
            <w:tcW w:w="2790" w:type="dxa"/>
          </w:tcPr>
          <w:p w14:paraId="4ABFE861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EBM competencies should be assessed within the predefined General Medical Council (GMC) General Professional Capabilities by the supervisory team and reviewed at Annual Review of Competence Progression (ARCP).</w:t>
            </w:r>
          </w:p>
        </w:tc>
        <w:tc>
          <w:tcPr>
            <w:tcW w:w="2790" w:type="dxa"/>
          </w:tcPr>
          <w:p w14:paraId="3F429B7E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64</w:t>
            </w:r>
          </w:p>
        </w:tc>
        <w:tc>
          <w:tcPr>
            <w:tcW w:w="2790" w:type="dxa"/>
          </w:tcPr>
          <w:p w14:paraId="79540AD6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4 (2)</w:t>
            </w:r>
          </w:p>
        </w:tc>
        <w:tc>
          <w:tcPr>
            <w:tcW w:w="2790" w:type="dxa"/>
          </w:tcPr>
          <w:p w14:paraId="28309A52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No</w:t>
            </w:r>
          </w:p>
        </w:tc>
      </w:tr>
      <w:tr w:rsidR="00455F0F" w:rsidRPr="00130F75" w14:paraId="5B0B5725" w14:textId="77777777" w:rsidTr="00A7189C">
        <w:tc>
          <w:tcPr>
            <w:tcW w:w="2790" w:type="dxa"/>
          </w:tcPr>
          <w:p w14:paraId="026AE926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19</w:t>
            </w:r>
          </w:p>
        </w:tc>
        <w:tc>
          <w:tcPr>
            <w:tcW w:w="2790" w:type="dxa"/>
          </w:tcPr>
          <w:p w14:paraId="5A7F13DF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EBM competencies should be summatively assessed in Multiple Choice Question (MCQ) format in the FRCS Part 1 examination.</w:t>
            </w:r>
          </w:p>
        </w:tc>
        <w:tc>
          <w:tcPr>
            <w:tcW w:w="2790" w:type="dxa"/>
          </w:tcPr>
          <w:p w14:paraId="582A2D47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72</w:t>
            </w:r>
          </w:p>
        </w:tc>
        <w:tc>
          <w:tcPr>
            <w:tcW w:w="2790" w:type="dxa"/>
          </w:tcPr>
          <w:p w14:paraId="6517D069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4 (2)</w:t>
            </w:r>
          </w:p>
        </w:tc>
        <w:tc>
          <w:tcPr>
            <w:tcW w:w="2790" w:type="dxa"/>
          </w:tcPr>
          <w:p w14:paraId="5DA34142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No</w:t>
            </w:r>
          </w:p>
        </w:tc>
      </w:tr>
      <w:tr w:rsidR="00455F0F" w:rsidRPr="00130F75" w14:paraId="639B647A" w14:textId="77777777" w:rsidTr="00A7189C">
        <w:tc>
          <w:tcPr>
            <w:tcW w:w="2790" w:type="dxa"/>
          </w:tcPr>
          <w:p w14:paraId="5D1AFBEF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20</w:t>
            </w:r>
          </w:p>
        </w:tc>
        <w:tc>
          <w:tcPr>
            <w:tcW w:w="2790" w:type="dxa"/>
          </w:tcPr>
          <w:p w14:paraId="6F3FE354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EBM competencies should be summatively assessed in OSCE/Viva format in the FRCS Part 2 examination.</w:t>
            </w:r>
          </w:p>
        </w:tc>
        <w:tc>
          <w:tcPr>
            <w:tcW w:w="2790" w:type="dxa"/>
          </w:tcPr>
          <w:p w14:paraId="0100EFC0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78</w:t>
            </w:r>
          </w:p>
        </w:tc>
        <w:tc>
          <w:tcPr>
            <w:tcW w:w="2790" w:type="dxa"/>
          </w:tcPr>
          <w:p w14:paraId="1BFA5153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4 (1)</w:t>
            </w:r>
          </w:p>
        </w:tc>
        <w:tc>
          <w:tcPr>
            <w:tcW w:w="2790" w:type="dxa"/>
          </w:tcPr>
          <w:p w14:paraId="6D0E95F2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6F274B38" w14:textId="77777777" w:rsidTr="00A7189C">
        <w:trPr>
          <w:trHeight w:val="1408"/>
        </w:trPr>
        <w:tc>
          <w:tcPr>
            <w:tcW w:w="2790" w:type="dxa"/>
          </w:tcPr>
          <w:p w14:paraId="5B6A92C8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21</w:t>
            </w:r>
          </w:p>
        </w:tc>
        <w:tc>
          <w:tcPr>
            <w:tcW w:w="2790" w:type="dxa"/>
          </w:tcPr>
          <w:p w14:paraId="228DE32A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Practice of EBM should be assessed through existing work-based assessments in the surgical trainees’ portfolio by their supervisory team and reviewed at ARCP by the ARCP panel.</w:t>
            </w:r>
          </w:p>
        </w:tc>
        <w:tc>
          <w:tcPr>
            <w:tcW w:w="2790" w:type="dxa"/>
          </w:tcPr>
          <w:p w14:paraId="38509A4D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58</w:t>
            </w:r>
          </w:p>
        </w:tc>
        <w:tc>
          <w:tcPr>
            <w:tcW w:w="2790" w:type="dxa"/>
          </w:tcPr>
          <w:p w14:paraId="073C3FDD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4 (1)</w:t>
            </w:r>
          </w:p>
        </w:tc>
        <w:tc>
          <w:tcPr>
            <w:tcW w:w="2790" w:type="dxa"/>
          </w:tcPr>
          <w:p w14:paraId="2D6AA421" w14:textId="77777777" w:rsidR="00455F0F" w:rsidRPr="00130F75" w:rsidRDefault="00455F0F" w:rsidP="00A7189C">
            <w:pPr>
              <w:keepNext/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No</w:t>
            </w:r>
          </w:p>
        </w:tc>
      </w:tr>
    </w:tbl>
    <w:p w14:paraId="517D9D40" w14:textId="77777777" w:rsidR="00455F0F" w:rsidRPr="00130F75" w:rsidRDefault="00455F0F" w:rsidP="00455F0F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</w:p>
    <w:p w14:paraId="5B068E78" w14:textId="77777777" w:rsidR="00455F0F" w:rsidRPr="00246672" w:rsidRDefault="00455F0F" w:rsidP="00455F0F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24667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Table S </w:t>
      </w:r>
      <w:r w:rsidRPr="0024667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24667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Table_S \* ARABIC </w:instrText>
      </w:r>
      <w:r w:rsidRPr="0024667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246672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24667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24667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Round 1 Results</w:t>
      </w:r>
    </w:p>
    <w:p w14:paraId="259472DA" w14:textId="77777777" w:rsidR="00455F0F" w:rsidRPr="00130F75" w:rsidRDefault="00455F0F" w:rsidP="00455F0F">
      <w:pPr>
        <w:spacing w:after="200" w:line="480" w:lineRule="auto"/>
        <w:jc w:val="both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4783"/>
        <w:gridCol w:w="1188"/>
        <w:gridCol w:w="953"/>
        <w:gridCol w:w="1253"/>
      </w:tblGrid>
      <w:tr w:rsidR="00455F0F" w:rsidRPr="00130F75" w14:paraId="4C4D0560" w14:textId="77777777" w:rsidTr="00A7189C">
        <w:tc>
          <w:tcPr>
            <w:tcW w:w="0" w:type="auto"/>
            <w:hideMark/>
          </w:tcPr>
          <w:p w14:paraId="4B06E631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Statement number</w:t>
            </w:r>
          </w:p>
        </w:tc>
        <w:tc>
          <w:tcPr>
            <w:tcW w:w="0" w:type="auto"/>
            <w:hideMark/>
          </w:tcPr>
          <w:p w14:paraId="62B9CD33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Statement (verbatim)</w:t>
            </w:r>
          </w:p>
        </w:tc>
        <w:tc>
          <w:tcPr>
            <w:tcW w:w="0" w:type="auto"/>
            <w:hideMark/>
          </w:tcPr>
          <w:p w14:paraId="0D0210D8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Agreement (%)</w:t>
            </w:r>
          </w:p>
        </w:tc>
        <w:tc>
          <w:tcPr>
            <w:tcW w:w="0" w:type="auto"/>
            <w:hideMark/>
          </w:tcPr>
          <w:p w14:paraId="234CF6DA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Median (IQR)</w:t>
            </w:r>
          </w:p>
        </w:tc>
        <w:tc>
          <w:tcPr>
            <w:tcW w:w="0" w:type="auto"/>
            <w:hideMark/>
          </w:tcPr>
          <w:p w14:paraId="5AA6CE81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Consensus achieved</w:t>
            </w:r>
          </w:p>
        </w:tc>
      </w:tr>
      <w:tr w:rsidR="00455F0F" w:rsidRPr="00130F75" w14:paraId="6A242B5F" w14:textId="77777777" w:rsidTr="00A7189C">
        <w:tc>
          <w:tcPr>
            <w:tcW w:w="0" w:type="auto"/>
            <w:hideMark/>
          </w:tcPr>
          <w:p w14:paraId="41D41DE6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hideMark/>
          </w:tcPr>
          <w:p w14:paraId="018BDB39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EBM competencies should be assessed within the predefined GMC General Professional Capabilities by the supervisory team and reviewed at Annual Review of Competence Progression (ARCP).</w:t>
            </w:r>
          </w:p>
        </w:tc>
        <w:tc>
          <w:tcPr>
            <w:tcW w:w="0" w:type="auto"/>
            <w:hideMark/>
          </w:tcPr>
          <w:p w14:paraId="6D65C4F0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91</w:t>
            </w:r>
          </w:p>
        </w:tc>
        <w:tc>
          <w:tcPr>
            <w:tcW w:w="0" w:type="auto"/>
            <w:hideMark/>
          </w:tcPr>
          <w:p w14:paraId="744123F8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4 (1)</w:t>
            </w:r>
          </w:p>
        </w:tc>
        <w:tc>
          <w:tcPr>
            <w:tcW w:w="0" w:type="auto"/>
            <w:hideMark/>
          </w:tcPr>
          <w:p w14:paraId="020DE559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62DF9CFF" w14:textId="77777777" w:rsidTr="00A7189C">
        <w:tc>
          <w:tcPr>
            <w:tcW w:w="0" w:type="auto"/>
            <w:hideMark/>
          </w:tcPr>
          <w:p w14:paraId="08A0C385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19</w:t>
            </w:r>
          </w:p>
        </w:tc>
        <w:tc>
          <w:tcPr>
            <w:tcW w:w="0" w:type="auto"/>
            <w:hideMark/>
          </w:tcPr>
          <w:p w14:paraId="1A796DEE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EBM competencies should be summatively assessed in MCQ format in the FRCS Part 1 examination.</w:t>
            </w:r>
          </w:p>
        </w:tc>
        <w:tc>
          <w:tcPr>
            <w:tcW w:w="0" w:type="auto"/>
            <w:hideMark/>
          </w:tcPr>
          <w:p w14:paraId="3F7B082C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81</w:t>
            </w:r>
          </w:p>
        </w:tc>
        <w:tc>
          <w:tcPr>
            <w:tcW w:w="0" w:type="auto"/>
            <w:hideMark/>
          </w:tcPr>
          <w:p w14:paraId="6DF5491D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4 (1)</w:t>
            </w:r>
          </w:p>
        </w:tc>
        <w:tc>
          <w:tcPr>
            <w:tcW w:w="0" w:type="auto"/>
            <w:hideMark/>
          </w:tcPr>
          <w:p w14:paraId="7602C229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Yes</w:t>
            </w:r>
          </w:p>
        </w:tc>
      </w:tr>
      <w:tr w:rsidR="00455F0F" w:rsidRPr="00130F75" w14:paraId="6B0C2044" w14:textId="77777777" w:rsidTr="00A7189C">
        <w:tc>
          <w:tcPr>
            <w:tcW w:w="0" w:type="auto"/>
            <w:hideMark/>
          </w:tcPr>
          <w:p w14:paraId="3796D773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hideMark/>
          </w:tcPr>
          <w:p w14:paraId="30D43770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Practice of EBM should be assessed through existing work-based assessments in the surgical trainees’ portfolio by their supervisory team and reviewed at ARCP by the ARCP panel.</w:t>
            </w:r>
          </w:p>
        </w:tc>
        <w:tc>
          <w:tcPr>
            <w:tcW w:w="0" w:type="auto"/>
            <w:hideMark/>
          </w:tcPr>
          <w:p w14:paraId="585F834D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hideMark/>
          </w:tcPr>
          <w:p w14:paraId="633D02FA" w14:textId="77777777" w:rsidR="00455F0F" w:rsidRPr="00130F75" w:rsidRDefault="00455F0F" w:rsidP="00A7189C">
            <w:pPr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4 (1)</w:t>
            </w:r>
          </w:p>
        </w:tc>
        <w:tc>
          <w:tcPr>
            <w:tcW w:w="0" w:type="auto"/>
            <w:hideMark/>
          </w:tcPr>
          <w:p w14:paraId="36A82124" w14:textId="77777777" w:rsidR="00455F0F" w:rsidRPr="00130F75" w:rsidRDefault="00455F0F" w:rsidP="00A7189C">
            <w:pPr>
              <w:keepNext/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No</w:t>
            </w:r>
          </w:p>
        </w:tc>
      </w:tr>
    </w:tbl>
    <w:p w14:paraId="4B3EC7C4" w14:textId="77777777" w:rsidR="00455F0F" w:rsidRPr="00130F75" w:rsidRDefault="00455F0F" w:rsidP="00455F0F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</w:p>
    <w:p w14:paraId="428275CE" w14:textId="77777777" w:rsidR="00455F0F" w:rsidRPr="00246672" w:rsidRDefault="00455F0F" w:rsidP="00455F0F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24667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Table S </w:t>
      </w:r>
      <w:r w:rsidRPr="0024667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24667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Table_S \* ARABIC </w:instrText>
      </w:r>
      <w:r w:rsidRPr="0024667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246672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2</w:t>
      </w:r>
      <w:r w:rsidRPr="0024667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24667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Round 2 Results</w:t>
      </w:r>
    </w:p>
    <w:p w14:paraId="21EE443E" w14:textId="77777777" w:rsidR="00455F0F" w:rsidRPr="00246672" w:rsidRDefault="00455F0F" w:rsidP="00455F0F">
      <w:pPr>
        <w:rPr>
          <w:lang w:eastAsia="en-US"/>
        </w:rPr>
      </w:pPr>
    </w:p>
    <w:tbl>
      <w:tblPr>
        <w:tblStyle w:val="TableGrid"/>
        <w:tblW w:w="9356" w:type="dxa"/>
        <w:jc w:val="center"/>
        <w:tblLook w:val="04A0" w:firstRow="1" w:lastRow="0" w:firstColumn="1" w:lastColumn="0" w:noHBand="0" w:noVBand="1"/>
      </w:tblPr>
      <w:tblGrid>
        <w:gridCol w:w="2268"/>
        <w:gridCol w:w="1843"/>
        <w:gridCol w:w="5245"/>
      </w:tblGrid>
      <w:tr w:rsidR="00455F0F" w:rsidRPr="00130F75" w14:paraId="17BC9EF8" w14:textId="77777777" w:rsidTr="00A7189C">
        <w:trPr>
          <w:jc w:val="center"/>
        </w:trPr>
        <w:tc>
          <w:tcPr>
            <w:tcW w:w="2268" w:type="dxa"/>
            <w:vAlign w:val="center"/>
          </w:tcPr>
          <w:p w14:paraId="4CBCC149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b/>
                <w:bCs/>
                <w:color w:val="000000"/>
                <w:kern w:val="24"/>
                <w:sz w:val="20"/>
                <w:szCs w:val="20"/>
              </w:rPr>
              <w:t>Kirkpatrick level</w:t>
            </w:r>
          </w:p>
        </w:tc>
        <w:tc>
          <w:tcPr>
            <w:tcW w:w="1843" w:type="dxa"/>
            <w:vAlign w:val="center"/>
          </w:tcPr>
          <w:p w14:paraId="004FE14B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b/>
                <w:bCs/>
                <w:color w:val="000000"/>
                <w:kern w:val="24"/>
                <w:sz w:val="20"/>
                <w:szCs w:val="20"/>
              </w:rPr>
              <w:t>Focus</w:t>
            </w:r>
          </w:p>
        </w:tc>
        <w:tc>
          <w:tcPr>
            <w:tcW w:w="5245" w:type="dxa"/>
            <w:vAlign w:val="center"/>
          </w:tcPr>
          <w:p w14:paraId="1382B092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b/>
                <w:bCs/>
                <w:color w:val="000000"/>
                <w:kern w:val="24"/>
                <w:sz w:val="20"/>
                <w:szCs w:val="20"/>
              </w:rPr>
              <w:t>Representative verbatim comments</w:t>
            </w:r>
          </w:p>
        </w:tc>
      </w:tr>
      <w:tr w:rsidR="00455F0F" w:rsidRPr="00130F75" w14:paraId="1192FF8A" w14:textId="77777777" w:rsidTr="00A7189C">
        <w:trPr>
          <w:trHeight w:val="3159"/>
          <w:jc w:val="center"/>
        </w:trPr>
        <w:tc>
          <w:tcPr>
            <w:tcW w:w="2268" w:type="dxa"/>
            <w:vAlign w:val="center"/>
          </w:tcPr>
          <w:p w14:paraId="3A2B4E57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b/>
                <w:bCs/>
                <w:color w:val="000000"/>
                <w:kern w:val="24"/>
                <w:sz w:val="20"/>
                <w:szCs w:val="20"/>
              </w:rPr>
              <w:t>Level 1: Reaction</w:t>
            </w:r>
          </w:p>
        </w:tc>
        <w:tc>
          <w:tcPr>
            <w:tcW w:w="1843" w:type="dxa"/>
            <w:vAlign w:val="center"/>
          </w:tcPr>
          <w:p w14:paraId="2A693F1F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Perceived relevance, acceptability, and feasibility of EBM within surgical training</w:t>
            </w:r>
          </w:p>
        </w:tc>
        <w:tc>
          <w:tcPr>
            <w:tcW w:w="5245" w:type="dxa"/>
            <w:vAlign w:val="center"/>
          </w:tcPr>
          <w:p w14:paraId="22A75A4F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“This is essential.”</w:t>
            </w:r>
          </w:p>
          <w:p w14:paraId="09405E92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“I don’t think this is controversial.”</w:t>
            </w:r>
          </w:p>
          <w:p w14:paraId="0578C0AA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“Fundamental.”</w:t>
            </w:r>
          </w:p>
          <w:p w14:paraId="0483E106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“Not sure if this is required.”</w:t>
            </w:r>
          </w:p>
          <w:p w14:paraId="525C5D8C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“Cannot see any value in this.”</w:t>
            </w:r>
          </w:p>
          <w:p w14:paraId="3C7DB0CE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“There is already a lot to teach trainees, so this needs to be tempered by what can realistically be applied to the curriculum.”</w:t>
            </w:r>
          </w:p>
          <w:p w14:paraId="3CF4ACB9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“With an overcrowded curriculum the emphasis should be on technical skill acquisition.”</w:t>
            </w:r>
          </w:p>
        </w:tc>
      </w:tr>
      <w:tr w:rsidR="00455F0F" w:rsidRPr="00130F75" w14:paraId="780BBA1A" w14:textId="77777777" w:rsidTr="00A7189C">
        <w:trPr>
          <w:trHeight w:val="1266"/>
          <w:jc w:val="center"/>
        </w:trPr>
        <w:tc>
          <w:tcPr>
            <w:tcW w:w="2268" w:type="dxa"/>
            <w:vAlign w:val="center"/>
          </w:tcPr>
          <w:p w14:paraId="4F620BCD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b/>
                <w:bCs/>
                <w:color w:val="000000"/>
                <w:kern w:val="24"/>
                <w:sz w:val="20"/>
                <w:szCs w:val="20"/>
              </w:rPr>
              <w:t>Level 2: Learning</w:t>
            </w:r>
          </w:p>
        </w:tc>
        <w:tc>
          <w:tcPr>
            <w:tcW w:w="1843" w:type="dxa"/>
            <w:vAlign w:val="center"/>
          </w:tcPr>
          <w:p w14:paraId="7F6B99ED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Knowledge acquisition and skills development</w:t>
            </w:r>
          </w:p>
        </w:tc>
        <w:tc>
          <w:tcPr>
            <w:tcW w:w="5245" w:type="dxa"/>
            <w:vAlign w:val="center"/>
          </w:tcPr>
          <w:p w14:paraId="5DFD0CDC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“This is a difficult skill that takes time to learn and get right.”</w:t>
            </w:r>
          </w:p>
          <w:p w14:paraId="4FE34630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“Some knowledge is important.”</w:t>
            </w:r>
          </w:p>
          <w:p w14:paraId="5D08795A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“Learning how to MeSH is essential.”</w:t>
            </w:r>
          </w:p>
          <w:p w14:paraId="29244A56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“Specificity/sensitivity is a bare minimum.”</w:t>
            </w:r>
          </w:p>
          <w:p w14:paraId="70449A82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“Qualitative studies are poorly understood amongst medics.”</w:t>
            </w:r>
          </w:p>
          <w:p w14:paraId="12E86231" w14:textId="77777777" w:rsidR="00455F0F" w:rsidRPr="00130F75" w:rsidRDefault="00455F0F" w:rsidP="00A7189C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“Need to define at what level but some understanding is essential.”</w:t>
            </w:r>
          </w:p>
        </w:tc>
      </w:tr>
      <w:tr w:rsidR="00455F0F" w:rsidRPr="00130F75" w14:paraId="7B11B69D" w14:textId="77777777" w:rsidTr="00A7189C">
        <w:trPr>
          <w:trHeight w:val="1549"/>
          <w:jc w:val="center"/>
        </w:trPr>
        <w:tc>
          <w:tcPr>
            <w:tcW w:w="2268" w:type="dxa"/>
            <w:vAlign w:val="center"/>
          </w:tcPr>
          <w:p w14:paraId="74EF8282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b/>
                <w:bCs/>
                <w:color w:val="000000"/>
                <w:kern w:val="24"/>
                <w:sz w:val="20"/>
                <w:szCs w:val="20"/>
              </w:rPr>
              <w:t>Level 3: Behaviour</w:t>
            </w:r>
          </w:p>
        </w:tc>
        <w:tc>
          <w:tcPr>
            <w:tcW w:w="1843" w:type="dxa"/>
            <w:vAlign w:val="center"/>
          </w:tcPr>
          <w:p w14:paraId="236EBA3A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Application of EBM in clinical and educational practice</w:t>
            </w:r>
          </w:p>
        </w:tc>
        <w:tc>
          <w:tcPr>
            <w:tcW w:w="5245" w:type="dxa"/>
            <w:vAlign w:val="center"/>
          </w:tcPr>
          <w:p w14:paraId="69EB066E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“This is important for incorporating findings into clinical practice.”</w:t>
            </w:r>
          </w:p>
          <w:p w14:paraId="78628F1C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“This can be complex in day-to-day life.”</w:t>
            </w:r>
          </w:p>
          <w:p w14:paraId="78192D9D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“Limitations as has to follow hospital guidelines/protocols and their trainer choice.”</w:t>
            </w:r>
          </w:p>
          <w:p w14:paraId="78F7D765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“Barrier is independence of practice as a trainee.”</w:t>
            </w:r>
          </w:p>
          <w:p w14:paraId="570F252B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“How else will you be able to introduce new practices without convincing your colleagues.”</w:t>
            </w:r>
          </w:p>
        </w:tc>
      </w:tr>
      <w:tr w:rsidR="00455F0F" w:rsidRPr="00130F75" w14:paraId="209D8C1B" w14:textId="77777777" w:rsidTr="00A7189C">
        <w:trPr>
          <w:trHeight w:val="1975"/>
          <w:jc w:val="center"/>
        </w:trPr>
        <w:tc>
          <w:tcPr>
            <w:tcW w:w="2268" w:type="dxa"/>
            <w:vAlign w:val="center"/>
          </w:tcPr>
          <w:p w14:paraId="719796A0" w14:textId="77777777" w:rsidR="00455F0F" w:rsidRPr="00130F75" w:rsidRDefault="00455F0F" w:rsidP="00A7189C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130F75">
              <w:rPr>
                <w:b/>
                <w:bCs/>
                <w:color w:val="000000"/>
                <w:kern w:val="24"/>
                <w:sz w:val="20"/>
                <w:szCs w:val="20"/>
              </w:rPr>
              <w:t xml:space="preserve">Level 4: </w:t>
            </w:r>
          </w:p>
          <w:p w14:paraId="5F7A600D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b/>
                <w:bCs/>
                <w:color w:val="000000"/>
                <w:kern w:val="24"/>
                <w:sz w:val="20"/>
                <w:szCs w:val="20"/>
              </w:rPr>
              <w:t>Results</w:t>
            </w:r>
          </w:p>
        </w:tc>
        <w:tc>
          <w:tcPr>
            <w:tcW w:w="1843" w:type="dxa"/>
            <w:vAlign w:val="center"/>
          </w:tcPr>
          <w:p w14:paraId="74C3AA29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Impact on patient care, training quality, and professional outcomes</w:t>
            </w:r>
          </w:p>
        </w:tc>
        <w:tc>
          <w:tcPr>
            <w:tcW w:w="5245" w:type="dxa"/>
            <w:vAlign w:val="center"/>
          </w:tcPr>
          <w:p w14:paraId="1163E620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“Required for improving clinical practice.”</w:t>
            </w:r>
          </w:p>
          <w:p w14:paraId="40801D96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“This is essential for high quality patient focussed care.”</w:t>
            </w:r>
          </w:p>
          <w:p w14:paraId="0DFBD3AB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“This provides strong evidence for what we do.”</w:t>
            </w:r>
          </w:p>
          <w:p w14:paraId="10F4083D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“This is the whole point.”</w:t>
            </w:r>
          </w:p>
          <w:p w14:paraId="7CECB9B7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“This will set up residents for their future learning as a consultant.”</w:t>
            </w:r>
          </w:p>
        </w:tc>
      </w:tr>
      <w:tr w:rsidR="00455F0F" w:rsidRPr="00130F75" w14:paraId="20F20C02" w14:textId="77777777" w:rsidTr="00A7189C">
        <w:trPr>
          <w:trHeight w:val="699"/>
          <w:jc w:val="center"/>
        </w:trPr>
        <w:tc>
          <w:tcPr>
            <w:tcW w:w="2268" w:type="dxa"/>
            <w:vAlign w:val="center"/>
          </w:tcPr>
          <w:p w14:paraId="5714AD91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b/>
                <w:bCs/>
                <w:color w:val="000000"/>
                <w:kern w:val="24"/>
                <w:sz w:val="20"/>
                <w:szCs w:val="20"/>
              </w:rPr>
              <w:t>Cross-cutting (assessment and systems)</w:t>
            </w:r>
          </w:p>
        </w:tc>
        <w:tc>
          <w:tcPr>
            <w:tcW w:w="1843" w:type="dxa"/>
            <w:vAlign w:val="center"/>
          </w:tcPr>
          <w:p w14:paraId="4F5371A3" w14:textId="77777777" w:rsidR="00455F0F" w:rsidRPr="00130F75" w:rsidRDefault="00455F0F" w:rsidP="00A7189C">
            <w:pPr>
              <w:jc w:val="center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Assessment feasibility and training system constraints</w:t>
            </w:r>
          </w:p>
        </w:tc>
        <w:tc>
          <w:tcPr>
            <w:tcW w:w="5245" w:type="dxa"/>
            <w:vAlign w:val="center"/>
          </w:tcPr>
          <w:p w14:paraId="4F3B4B83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“Portfolio assessments remain broadly poorly delivered.”</w:t>
            </w:r>
          </w:p>
          <w:p w14:paraId="30CCBD81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“Introducing more WBAs is not the best way to do this.”</w:t>
            </w:r>
          </w:p>
          <w:p w14:paraId="398EBA55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“Supervisors would not know their Chi-2 from the t-tests.”</w:t>
            </w:r>
          </w:p>
          <w:p w14:paraId="338F18C2" w14:textId="77777777" w:rsidR="00455F0F" w:rsidRPr="00130F75" w:rsidRDefault="00455F0F" w:rsidP="00A7189C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“MCQs are not high fidelity enough.”</w:t>
            </w:r>
          </w:p>
          <w:p w14:paraId="13B5A811" w14:textId="77777777" w:rsidR="00455F0F" w:rsidRPr="00130F75" w:rsidRDefault="00455F0F" w:rsidP="00A7189C">
            <w:pPr>
              <w:keepNext/>
              <w:spacing w:line="360" w:lineRule="auto"/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130F75">
              <w:rPr>
                <w:color w:val="000000"/>
                <w:kern w:val="24"/>
                <w:sz w:val="20"/>
                <w:szCs w:val="20"/>
              </w:rPr>
              <w:t>“Viva seems a sensible method for assessment.”</w:t>
            </w:r>
          </w:p>
          <w:p w14:paraId="3AFD42A2" w14:textId="77777777" w:rsidR="00455F0F" w:rsidRPr="00130F75" w:rsidRDefault="00455F0F" w:rsidP="00A7189C">
            <w:pPr>
              <w:keepNext/>
              <w:spacing w:line="360" w:lineRule="auto"/>
              <w:jc w:val="center"/>
              <w:rPr>
                <w:sz w:val="20"/>
                <w:szCs w:val="20"/>
              </w:rPr>
            </w:pPr>
            <w:r w:rsidRPr="00130F75">
              <w:rPr>
                <w:sz w:val="20"/>
                <w:szCs w:val="20"/>
              </w:rPr>
              <w:t>“Keen to see how a WBA assessment would be introduced and how it would be assessed in a small DGH where there is no research portfolio”</w:t>
            </w:r>
          </w:p>
        </w:tc>
      </w:tr>
    </w:tbl>
    <w:p w14:paraId="00C36353" w14:textId="77777777" w:rsidR="00455F0F" w:rsidRPr="00130F75" w:rsidRDefault="00455F0F" w:rsidP="00455F0F">
      <w:pPr>
        <w:pStyle w:val="Caption"/>
        <w:rPr>
          <w:sz w:val="20"/>
          <w:szCs w:val="20"/>
        </w:rPr>
      </w:pPr>
    </w:p>
    <w:p w14:paraId="62C61C46" w14:textId="77777777" w:rsidR="00455F0F" w:rsidRPr="00246672" w:rsidRDefault="00455F0F" w:rsidP="00455F0F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24667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Table S 3 Qualitative comment mapping to the Kirkpatric framework for curriculum development</w:t>
      </w:r>
    </w:p>
    <w:p w14:paraId="3454339D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0F"/>
    <w:rsid w:val="002978F5"/>
    <w:rsid w:val="003852CF"/>
    <w:rsid w:val="00455F0F"/>
    <w:rsid w:val="004E780C"/>
    <w:rsid w:val="00655E53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CBFA8"/>
  <w15:chartTrackingRefBased/>
  <w15:docId w15:val="{C28F83F1-13CD-48DA-874D-B1B9792A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F0F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5F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F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F0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F0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F0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F0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F0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F0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F0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F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F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F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F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F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F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F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F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F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F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55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F0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55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F0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55F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F0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55F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F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F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F0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55F0F"/>
    <w:pPr>
      <w:spacing w:before="100" w:beforeAutospacing="1" w:after="100" w:afterAutospacing="1"/>
    </w:pPr>
  </w:style>
  <w:style w:type="paragraph" w:styleId="Bibliography">
    <w:name w:val="Bibliography"/>
    <w:basedOn w:val="Normal"/>
    <w:next w:val="Normal"/>
    <w:uiPriority w:val="37"/>
    <w:unhideWhenUsed/>
    <w:rsid w:val="00455F0F"/>
    <w:pPr>
      <w:tabs>
        <w:tab w:val="left" w:pos="380"/>
        <w:tab w:val="left" w:pos="500"/>
      </w:tabs>
      <w:spacing w:after="240"/>
      <w:ind w:left="384" w:hanging="384"/>
    </w:pPr>
  </w:style>
  <w:style w:type="table" w:styleId="TableGrid">
    <w:name w:val="Table Grid"/>
    <w:basedOn w:val="TableNormal"/>
    <w:uiPriority w:val="39"/>
    <w:rsid w:val="00455F0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55F0F"/>
    <w:pPr>
      <w:spacing w:after="200"/>
    </w:pPr>
    <w:rPr>
      <w:rFonts w:asciiTheme="minorHAnsi" w:eastAsiaTheme="minorHAnsi" w:hAnsiTheme="minorHAnsi" w:cstheme="minorBidi"/>
      <w:i/>
      <w:iCs/>
      <w:color w:val="0E2841" w:themeColor="text2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906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2026-05-11T14:35:00Z</dcterms:created>
  <dcterms:modified xsi:type="dcterms:W3CDTF">2026-05-11T14:36:00Z</dcterms:modified>
</cp:coreProperties>
</file>