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F1EE3" w14:textId="77777777" w:rsidR="00955465" w:rsidRPr="00815AFD" w:rsidRDefault="00955465" w:rsidP="00955465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620F7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 xml:space="preserve">Supplementary Materials </w:t>
      </w:r>
      <w:r w:rsidRPr="00815AFD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Fig1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815AFD">
        <w:rPr>
          <w:rFonts w:ascii="Times New Roman" w:hAnsi="Times New Roman" w:cs="Times New Roman"/>
          <w:color w:val="000000" w:themeColor="text1"/>
          <w:sz w:val="21"/>
          <w:szCs w:val="21"/>
        </w:rPr>
        <w:t>The workflow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1</w:t>
      </w:r>
      <w:r w:rsidRPr="00815AF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of RNA mutation detection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.</w:t>
      </w:r>
    </w:p>
    <w:p w14:paraId="0950C582" w14:textId="77777777" w:rsidR="00955465" w:rsidRPr="00815AFD" w:rsidRDefault="00955465" w:rsidP="00955465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620F7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 xml:space="preserve">Supplementary Materials </w:t>
      </w:r>
      <w:r w:rsidRPr="00815AFD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Fig2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The </w:t>
      </w:r>
      <w:r w:rsidRPr="00815AFD">
        <w:rPr>
          <w:rFonts w:ascii="Times New Roman" w:hAnsi="Times New Roman" w:cs="Times New Roman"/>
          <w:color w:val="000000" w:themeColor="text1"/>
          <w:sz w:val="21"/>
          <w:szCs w:val="21"/>
        </w:rPr>
        <w:t>performance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of different </w:t>
      </w:r>
      <w:r w:rsidRPr="00815AFD">
        <w:rPr>
          <w:rFonts w:ascii="Times New Roman" w:hAnsi="Times New Roman" w:cs="Times New Roman"/>
          <w:color w:val="000000" w:themeColor="text1"/>
          <w:sz w:val="21"/>
          <w:szCs w:val="21"/>
        </w:rPr>
        <w:t>reverse transcriptases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815AFD">
        <w:rPr>
          <w:rFonts w:ascii="Times New Roman" w:hAnsi="Times New Roman" w:cs="Times New Roman"/>
          <w:color w:val="000000" w:themeColor="text1"/>
          <w:sz w:val="21"/>
          <w:szCs w:val="21"/>
        </w:rPr>
        <w:t>(workflow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1</w:t>
      </w:r>
      <w:r w:rsidRPr="00815AFD">
        <w:rPr>
          <w:rFonts w:ascii="Times New Roman" w:hAnsi="Times New Roman" w:cs="Times New Roman"/>
          <w:color w:val="000000" w:themeColor="text1"/>
          <w:sz w:val="21"/>
          <w:szCs w:val="21"/>
        </w:rPr>
        <w:t>)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. A, The Depth of </w:t>
      </w:r>
      <w:r w:rsidRPr="00815AFD">
        <w:rPr>
          <w:rFonts w:ascii="Times New Roman" w:hAnsi="Times New Roman" w:cs="Times New Roman" w:hint="eastAsia"/>
          <w:i/>
          <w:color w:val="000000" w:themeColor="text1"/>
          <w:sz w:val="21"/>
          <w:szCs w:val="21"/>
        </w:rPr>
        <w:t>ABL1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. The letters N, T and Y respectively represent reverse transcriptases from the three manufacturers Vazyme, TOYOBO and Yeasen</w:t>
      </w:r>
      <w:r w:rsidRPr="00815AFD">
        <w:rPr>
          <w:rFonts w:ascii="Times New Roman" w:hAnsi="Times New Roman" w:cs="Times New Roman"/>
          <w:color w:val="000000" w:themeColor="text1"/>
          <w:sz w:val="21"/>
          <w:szCs w:val="21"/>
        </w:rPr>
        <w:t>, and the letters a, b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815AFD">
        <w:rPr>
          <w:rFonts w:ascii="Times New Roman" w:hAnsi="Times New Roman" w:cs="Times New Roman"/>
          <w:color w:val="000000" w:themeColor="text1"/>
          <w:sz w:val="21"/>
          <w:szCs w:val="21"/>
        </w:rPr>
        <w:t>represent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815AFD">
        <w:rPr>
          <w:rFonts w:ascii="Times New Roman" w:hAnsi="Times New Roman" w:cs="Times New Roman"/>
          <w:color w:val="000000" w:themeColor="text1"/>
          <w:sz w:val="21"/>
          <w:szCs w:val="21"/>
        </w:rPr>
        <w:t>two technical replicates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. Depth represents the coverage multiple of reads on the </w:t>
      </w:r>
      <w:r w:rsidRPr="00815AFD">
        <w:rPr>
          <w:rFonts w:ascii="Times New Roman" w:hAnsi="Times New Roman" w:cs="Times New Roman" w:hint="eastAsia"/>
          <w:i/>
          <w:iCs/>
          <w:color w:val="000000" w:themeColor="text1"/>
          <w:sz w:val="21"/>
          <w:szCs w:val="21"/>
        </w:rPr>
        <w:t>ABL1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gene. B, T</w:t>
      </w:r>
      <w:r w:rsidRPr="00815AF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he uniformity of </w:t>
      </w:r>
      <w:r w:rsidRPr="00815AFD">
        <w:rPr>
          <w:rFonts w:ascii="Times New Roman" w:hAnsi="Times New Roman" w:cs="Times New Roman" w:hint="eastAsia"/>
          <w:i/>
          <w:iCs/>
          <w:color w:val="000000" w:themeColor="text1"/>
          <w:sz w:val="21"/>
          <w:szCs w:val="21"/>
        </w:rPr>
        <w:t>ABL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Panel. C, </w:t>
      </w:r>
      <w:r w:rsidRPr="00815AF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Background noise produced by 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three</w:t>
      </w:r>
      <w:r w:rsidRPr="00815AF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reverse transcriptases based on workflow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1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.</w:t>
      </w:r>
    </w:p>
    <w:p w14:paraId="7AB5B3EF" w14:textId="77777777" w:rsidR="00955465" w:rsidRDefault="00955465" w:rsidP="00955465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620F7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 xml:space="preserve">Supplementary Materials </w:t>
      </w:r>
      <w:r w:rsidRPr="00815AFD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Fig3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  <w:r w:rsidRPr="00815AFD">
        <w:rPr>
          <w:rFonts w:ascii="Times New Roman" w:hAnsi="Times New Roman" w:cs="Times New Roman"/>
          <w:color w:val="000000" w:themeColor="text1"/>
          <w:sz w:val="21"/>
          <w:szCs w:val="21"/>
        </w:rPr>
        <w:t>The workflow</w:t>
      </w:r>
      <w:r w:rsidRPr="00815AFD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2</w:t>
      </w:r>
      <w:r w:rsidRPr="00815AFD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of RNA mutation detection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.</w:t>
      </w:r>
    </w:p>
    <w:p w14:paraId="27C4E25E" w14:textId="77777777" w:rsidR="00955465" w:rsidRDefault="00955465" w:rsidP="00955465">
      <w:pPr>
        <w:snapToGri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472D0471" w14:textId="77777777" w:rsidR="00955465" w:rsidRPr="002D3C5F" w:rsidRDefault="00955465" w:rsidP="00955465">
      <w:pPr>
        <w:snapToGrid w:val="0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 xml:space="preserve">Supplementary Materials Table1 </w:t>
      </w:r>
      <w:r w:rsidRPr="002D3C5F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The sequence of primers</w:t>
      </w:r>
    </w:p>
    <w:p w14:paraId="25104A27" w14:textId="77777777" w:rsidR="00955465" w:rsidRPr="002D3C5F" w:rsidRDefault="00955465" w:rsidP="00955465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 xml:space="preserve">Supplementary Materials Table2 </w:t>
      </w:r>
      <w:r w:rsidRPr="002D3C5F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Background noise analysis of different reverse transcriptases</w:t>
      </w:r>
    </w:p>
    <w:p w14:paraId="7CF9919B" w14:textId="77777777" w:rsidR="00955465" w:rsidRPr="002D3C5F" w:rsidRDefault="00955465" w:rsidP="00955465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Supplementary Materials</w:t>
      </w:r>
      <w:r w:rsidRPr="002D3C5F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Table</w:t>
      </w: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3</w:t>
      </w:r>
      <w:r w:rsidRPr="002D3C5F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</w:t>
      </w:r>
      <w:r w:rsidRPr="002D3C5F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The mutation sites output by the workflow1 method</w:t>
      </w:r>
    </w:p>
    <w:p w14:paraId="0D53E68A" w14:textId="77777777" w:rsidR="00955465" w:rsidRPr="002D3C5F" w:rsidRDefault="00955465" w:rsidP="00955465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Supplementary Materials</w:t>
      </w:r>
      <w:r w:rsidRPr="002D3C5F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Table4 </w:t>
      </w:r>
      <w:r w:rsidRPr="002D3C5F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The effective depth of genes output by the workflow1 method</w:t>
      </w:r>
    </w:p>
    <w:p w14:paraId="66C00017" w14:textId="77777777" w:rsidR="00955465" w:rsidRPr="002D3C5F" w:rsidRDefault="00955465" w:rsidP="00955465">
      <w:pPr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Supplementary Materials</w:t>
      </w:r>
      <w:r w:rsidRPr="002D3C5F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Table5 </w:t>
      </w:r>
      <w:r w:rsidRPr="002D3C5F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The background noise output by the workflow2 method </w:t>
      </w: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Supplementary Materials</w:t>
      </w:r>
      <w:r w:rsidRPr="002D3C5F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Table6 </w:t>
      </w:r>
      <w:r w:rsidRPr="002D3C5F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Background noise analysis for re-library construction of intermediate products and RNA sample </w:t>
      </w:r>
    </w:p>
    <w:p w14:paraId="6ED068E4" w14:textId="77777777" w:rsidR="00955465" w:rsidRPr="002D3C5F" w:rsidRDefault="00955465" w:rsidP="00955465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1"/>
          <w:szCs w:val="21"/>
        </w:rPr>
      </w:pP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Supplementary Materials</w:t>
      </w:r>
      <w:r w:rsidRPr="002D3C5F">
        <w:rPr>
          <w:rFonts w:ascii="Times New Roman" w:eastAsia="SimSun" w:hAnsi="Times New Roman" w:cs="Times New Roman"/>
          <w:b/>
          <w:bCs/>
          <w:color w:val="000000" w:themeColor="text1"/>
          <w:sz w:val="21"/>
          <w:szCs w:val="21"/>
        </w:rPr>
        <w:t xml:space="preserve"> Table7 </w:t>
      </w:r>
      <w:bookmarkStart w:id="0" w:name="OLE_LINK26"/>
      <w:bookmarkStart w:id="1" w:name="OLE_LINK6"/>
      <w:r w:rsidRPr="002D3C5F">
        <w:rPr>
          <w:rFonts w:ascii="Times New Roman" w:eastAsia="SimSun" w:hAnsi="Times New Roman" w:cs="Times New Roman" w:hint="eastAsia"/>
          <w:color w:val="000000" w:themeColor="text1"/>
          <w:sz w:val="21"/>
          <w:szCs w:val="21"/>
        </w:rPr>
        <w:t xml:space="preserve">Analyze the sources of background noise based on the workflow2 method </w:t>
      </w:r>
    </w:p>
    <w:p w14:paraId="4C54DA4E" w14:textId="77777777" w:rsidR="00955465" w:rsidRPr="002D3C5F" w:rsidRDefault="00955465" w:rsidP="00955465">
      <w:pPr>
        <w:spacing w:line="360" w:lineRule="auto"/>
        <w:rPr>
          <w:rFonts w:ascii="Times New Roman" w:eastAsia="SimSun" w:hAnsi="Times New Roman" w:cs="Times New Roman"/>
          <w:color w:val="000000" w:themeColor="text1"/>
          <w:sz w:val="21"/>
          <w:szCs w:val="21"/>
        </w:rPr>
      </w:pP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Supplementary Materials</w:t>
      </w:r>
      <w:r w:rsidRPr="002D3C5F">
        <w:rPr>
          <w:rFonts w:ascii="Times New Roman" w:eastAsia="SimSun" w:hAnsi="Times New Roman" w:cs="Times New Roman" w:hint="eastAsia"/>
          <w:b/>
          <w:bCs/>
          <w:color w:val="000000" w:themeColor="text1"/>
          <w:sz w:val="21"/>
          <w:szCs w:val="21"/>
        </w:rPr>
        <w:t xml:space="preserve"> Table8 </w:t>
      </w:r>
      <w:bookmarkEnd w:id="0"/>
      <w:bookmarkEnd w:id="1"/>
      <w:r w:rsidRPr="002D3C5F">
        <w:rPr>
          <w:rFonts w:ascii="Times New Roman" w:eastAsia="SimSun" w:hAnsi="Times New Roman" w:cs="Times New Roman" w:hint="eastAsia"/>
          <w:color w:val="000000" w:themeColor="text1"/>
          <w:sz w:val="21"/>
          <w:szCs w:val="21"/>
        </w:rPr>
        <w:t xml:space="preserve">The mutation sites output by the workflow2 method </w:t>
      </w: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Supplementary Materials</w:t>
      </w:r>
      <w:r w:rsidRPr="002D3C5F">
        <w:rPr>
          <w:rFonts w:ascii="Times New Roman" w:eastAsia="SimSun" w:hAnsi="Times New Roman" w:cs="Times New Roman" w:hint="eastAsia"/>
          <w:b/>
          <w:bCs/>
          <w:color w:val="000000" w:themeColor="text1"/>
          <w:sz w:val="21"/>
          <w:szCs w:val="21"/>
        </w:rPr>
        <w:t xml:space="preserve"> Table9 </w:t>
      </w:r>
      <w:r w:rsidRPr="002D3C5F">
        <w:rPr>
          <w:rFonts w:ascii="Times New Roman" w:eastAsia="SimSun" w:hAnsi="Times New Roman" w:cs="Times New Roman" w:hint="eastAsia"/>
          <w:color w:val="000000" w:themeColor="text1"/>
          <w:sz w:val="21"/>
          <w:szCs w:val="21"/>
        </w:rPr>
        <w:t>The effective depth of genes output by the workflow2 method</w:t>
      </w:r>
    </w:p>
    <w:p w14:paraId="6E47B654" w14:textId="77777777" w:rsidR="00955465" w:rsidRPr="002D3C5F" w:rsidRDefault="00955465" w:rsidP="00955465">
      <w:pPr>
        <w:snapToGrid w:val="0"/>
        <w:spacing w:line="360" w:lineRule="auto"/>
        <w:rPr>
          <w:rFonts w:ascii="Times New Roman" w:eastAsia="SimSun" w:hAnsi="Times New Roman" w:cs="Times New Roman"/>
          <w:color w:val="000000" w:themeColor="text1"/>
          <w:sz w:val="21"/>
          <w:szCs w:val="21"/>
        </w:rPr>
      </w:pP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Supplementary Materials</w:t>
      </w:r>
      <w:r w:rsidRPr="002D3C5F">
        <w:rPr>
          <w:rFonts w:ascii="Times New Roman" w:eastAsia="SimSun" w:hAnsi="Times New Roman" w:cs="Times New Roman" w:hint="eastAsia"/>
          <w:b/>
          <w:bCs/>
          <w:color w:val="000000" w:themeColor="text1"/>
          <w:sz w:val="21"/>
          <w:szCs w:val="21"/>
        </w:rPr>
        <w:t xml:space="preserve"> Table10</w:t>
      </w:r>
      <w:r w:rsidRPr="002D3C5F">
        <w:rPr>
          <w:rFonts w:hint="eastAsia"/>
        </w:rPr>
        <w:t xml:space="preserve"> </w:t>
      </w:r>
      <w:r w:rsidRPr="002D3C5F">
        <w:rPr>
          <w:rFonts w:ascii="Times New Roman" w:eastAsia="SimSun" w:hAnsi="Times New Roman" w:cs="Times New Roman" w:hint="eastAsia"/>
          <w:color w:val="000000" w:themeColor="text1"/>
          <w:sz w:val="21"/>
          <w:szCs w:val="21"/>
        </w:rPr>
        <w:t>Comparison of background noise between workflow2 and workflow3</w:t>
      </w:r>
    </w:p>
    <w:p w14:paraId="502AA61B" w14:textId="77777777" w:rsidR="00955465" w:rsidRPr="002D3C5F" w:rsidRDefault="00955465" w:rsidP="00955465">
      <w:pPr>
        <w:snapToGrid w:val="0"/>
        <w:spacing w:line="360" w:lineRule="auto"/>
        <w:rPr>
          <w:rFonts w:ascii="Times New Roman" w:eastAsia="SimSun" w:hAnsi="Times New Roman" w:cs="Times New Roman"/>
          <w:color w:val="000000" w:themeColor="text1"/>
          <w:sz w:val="21"/>
          <w:szCs w:val="21"/>
        </w:rPr>
      </w:pP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Supplementary Materials</w:t>
      </w:r>
      <w:r w:rsidRPr="002D3C5F">
        <w:rPr>
          <w:rFonts w:ascii="Times New Roman" w:eastAsia="SimSun" w:hAnsi="Times New Roman" w:cs="Times New Roman" w:hint="eastAsia"/>
          <w:b/>
          <w:bCs/>
          <w:color w:val="000000" w:themeColor="text1"/>
          <w:sz w:val="21"/>
          <w:szCs w:val="21"/>
        </w:rPr>
        <w:t xml:space="preserve"> Table11 </w:t>
      </w:r>
      <w:r w:rsidRPr="002D3C5F">
        <w:rPr>
          <w:rFonts w:ascii="Times New Roman" w:eastAsia="SimSun" w:hAnsi="Times New Roman" w:cs="Times New Roman" w:hint="eastAsia"/>
          <w:color w:val="000000" w:themeColor="text1"/>
          <w:sz w:val="21"/>
          <w:szCs w:val="21"/>
        </w:rPr>
        <w:t>Technical repeatability verification of workflow3</w:t>
      </w:r>
    </w:p>
    <w:p w14:paraId="0F3341BD" w14:textId="77777777" w:rsidR="00955465" w:rsidRPr="002D3C5F" w:rsidRDefault="00955465" w:rsidP="00955465">
      <w:pPr>
        <w:snapToGrid w:val="0"/>
        <w:spacing w:line="360" w:lineRule="auto"/>
        <w:rPr>
          <w:rFonts w:ascii="Times New Roman" w:eastAsia="SimSun" w:hAnsi="Times New Roman" w:cs="Times New Roman"/>
          <w:color w:val="000000" w:themeColor="text1"/>
          <w:sz w:val="21"/>
          <w:szCs w:val="21"/>
        </w:rPr>
      </w:pP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Supplementary Materials</w:t>
      </w:r>
      <w:r w:rsidRPr="002D3C5F">
        <w:rPr>
          <w:rFonts w:ascii="Times New Roman" w:eastAsia="SimSun" w:hAnsi="Times New Roman" w:cs="Times New Roman" w:hint="eastAsia"/>
          <w:b/>
          <w:bCs/>
          <w:color w:val="000000" w:themeColor="text1"/>
          <w:sz w:val="21"/>
          <w:szCs w:val="21"/>
        </w:rPr>
        <w:t xml:space="preserve"> Table12 </w:t>
      </w:r>
      <w:r w:rsidRPr="002D3C5F">
        <w:rPr>
          <w:rFonts w:ascii="Times New Roman" w:eastAsia="SimSun" w:hAnsi="Times New Roman" w:cs="Times New Roman" w:hint="eastAsia"/>
          <w:color w:val="000000" w:themeColor="text1"/>
          <w:sz w:val="21"/>
          <w:szCs w:val="21"/>
        </w:rPr>
        <w:t>The mutation sites output by the workflow3 method</w:t>
      </w:r>
    </w:p>
    <w:p w14:paraId="3C6DA0AA" w14:textId="77777777" w:rsidR="00955465" w:rsidRPr="002D3C5F" w:rsidRDefault="00955465" w:rsidP="00955465">
      <w:pPr>
        <w:snapToGrid w:val="0"/>
        <w:spacing w:line="360" w:lineRule="auto"/>
        <w:rPr>
          <w:rFonts w:ascii="Times New Roman" w:eastAsia="SimSun" w:hAnsi="Times New Roman" w:cs="Times New Roman"/>
          <w:color w:val="000000" w:themeColor="text1"/>
          <w:sz w:val="21"/>
          <w:szCs w:val="21"/>
        </w:rPr>
      </w:pP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Supplementary Materials</w:t>
      </w:r>
      <w:r w:rsidRPr="002D3C5F">
        <w:rPr>
          <w:rFonts w:ascii="Times New Roman" w:eastAsia="SimSun" w:hAnsi="Times New Roman" w:cs="Times New Roman" w:hint="eastAsia"/>
          <w:b/>
          <w:bCs/>
          <w:color w:val="000000" w:themeColor="text1"/>
          <w:sz w:val="21"/>
          <w:szCs w:val="21"/>
        </w:rPr>
        <w:t xml:space="preserve"> Table13 </w:t>
      </w:r>
      <w:r w:rsidRPr="002D3C5F">
        <w:rPr>
          <w:rFonts w:ascii="Times New Roman" w:eastAsia="SimSun" w:hAnsi="Times New Roman" w:cs="Times New Roman" w:hint="eastAsia"/>
          <w:color w:val="000000" w:themeColor="text1"/>
          <w:sz w:val="21"/>
          <w:szCs w:val="21"/>
        </w:rPr>
        <w:t>The effective depth of genes output by the workflow3 method</w:t>
      </w:r>
    </w:p>
    <w:p w14:paraId="54B96BA7" w14:textId="77777777" w:rsidR="00955465" w:rsidRPr="002D3C5F" w:rsidRDefault="00955465" w:rsidP="00955465">
      <w:pPr>
        <w:snapToGrid w:val="0"/>
        <w:spacing w:line="360" w:lineRule="auto"/>
        <w:rPr>
          <w:rFonts w:ascii="Times New Roman" w:eastAsia="SimSun" w:hAnsi="Times New Roman" w:cs="Times New Roman"/>
          <w:color w:val="000000" w:themeColor="text1"/>
          <w:sz w:val="21"/>
          <w:szCs w:val="21"/>
        </w:rPr>
      </w:pP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Supplementary Materials</w:t>
      </w:r>
      <w:r w:rsidRPr="002D3C5F">
        <w:rPr>
          <w:rFonts w:ascii="Times New Roman" w:eastAsia="SimSun" w:hAnsi="Times New Roman" w:cs="Times New Roman" w:hint="eastAsia"/>
          <w:b/>
          <w:bCs/>
          <w:color w:val="000000" w:themeColor="text1"/>
          <w:sz w:val="21"/>
          <w:szCs w:val="21"/>
        </w:rPr>
        <w:t xml:space="preserve"> Table14</w:t>
      </w:r>
      <w:r w:rsidRPr="002D3C5F">
        <w:rPr>
          <w:rFonts w:hint="eastAsia"/>
        </w:rPr>
        <w:t xml:space="preserve"> </w:t>
      </w:r>
      <w:r w:rsidRPr="002D3C5F">
        <w:rPr>
          <w:rFonts w:ascii="Times New Roman" w:eastAsia="SimSun" w:hAnsi="Times New Roman" w:cs="Times New Roman" w:hint="eastAsia"/>
          <w:color w:val="000000" w:themeColor="text1"/>
          <w:sz w:val="21"/>
          <w:szCs w:val="21"/>
        </w:rPr>
        <w:t>Background noise of SSDN technology in low-copy BCR-</w:t>
      </w:r>
      <w:r w:rsidRPr="002D3C5F">
        <w:rPr>
          <w:rFonts w:ascii="Times New Roman" w:eastAsia="SimSun" w:hAnsi="Times New Roman" w:cs="Times New Roman" w:hint="eastAsia"/>
          <w:i/>
          <w:iCs/>
          <w:color w:val="000000" w:themeColor="text1"/>
          <w:sz w:val="21"/>
          <w:szCs w:val="21"/>
        </w:rPr>
        <w:t>ABL1</w:t>
      </w:r>
      <w:r w:rsidRPr="002D3C5F">
        <w:rPr>
          <w:rFonts w:ascii="Times New Roman" w:eastAsia="SimSun" w:hAnsi="Times New Roman" w:cs="Times New Roman" w:hint="eastAsia"/>
          <w:color w:val="000000" w:themeColor="text1"/>
          <w:sz w:val="21"/>
          <w:szCs w:val="21"/>
        </w:rPr>
        <w:t xml:space="preserve"> fusion</w:t>
      </w:r>
    </w:p>
    <w:p w14:paraId="6863D3F6" w14:textId="77777777" w:rsidR="00955465" w:rsidRPr="002D3C5F" w:rsidRDefault="00955465" w:rsidP="00955465">
      <w:pPr>
        <w:snapToGrid w:val="0"/>
        <w:spacing w:line="360" w:lineRule="auto"/>
        <w:rPr>
          <w:rFonts w:ascii="Times New Roman" w:eastAsia="SimSun" w:hAnsi="Times New Roman" w:cs="Times New Roman"/>
          <w:color w:val="000000" w:themeColor="text1"/>
          <w:sz w:val="21"/>
          <w:szCs w:val="21"/>
        </w:rPr>
      </w:pP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lastRenderedPageBreak/>
        <w:t>Supplementary Materials</w:t>
      </w:r>
      <w:r w:rsidRPr="002D3C5F">
        <w:rPr>
          <w:rFonts w:ascii="Times New Roman" w:eastAsia="SimSun" w:hAnsi="Times New Roman" w:cs="Times New Roman" w:hint="eastAsia"/>
          <w:b/>
          <w:bCs/>
          <w:color w:val="000000" w:themeColor="text1"/>
          <w:sz w:val="21"/>
          <w:szCs w:val="21"/>
        </w:rPr>
        <w:t xml:space="preserve"> Table15</w:t>
      </w:r>
      <w:r w:rsidRPr="002D3C5F">
        <w:rPr>
          <w:rFonts w:hint="eastAsia"/>
        </w:rPr>
        <w:t xml:space="preserve"> </w:t>
      </w:r>
      <w:r w:rsidRPr="002D3C5F">
        <w:rPr>
          <w:rFonts w:ascii="Times New Roman" w:eastAsia="SimSun" w:hAnsi="Times New Roman" w:cs="Times New Roman" w:hint="eastAsia"/>
          <w:color w:val="000000" w:themeColor="text1"/>
          <w:sz w:val="21"/>
          <w:szCs w:val="21"/>
        </w:rPr>
        <w:t>The effective depth of genes output from low-copy fusion positive samples based on the workflow3 method</w:t>
      </w:r>
    </w:p>
    <w:p w14:paraId="58C76C97" w14:textId="77777777" w:rsidR="00955465" w:rsidRPr="007E3004" w:rsidRDefault="00955465" w:rsidP="00955465">
      <w:pPr>
        <w:snapToGrid w:val="0"/>
        <w:spacing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D3C5F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Supplementary Materials</w:t>
      </w:r>
      <w:r w:rsidRPr="002D3C5F">
        <w:rPr>
          <w:rFonts w:ascii="Times New Roman" w:eastAsia="SimSun" w:hAnsi="Times New Roman" w:cs="Times New Roman" w:hint="eastAsia"/>
          <w:b/>
          <w:bCs/>
          <w:color w:val="000000" w:themeColor="text1"/>
          <w:sz w:val="21"/>
          <w:szCs w:val="21"/>
        </w:rPr>
        <w:t xml:space="preserve"> Table16</w:t>
      </w:r>
      <w:r w:rsidRPr="002D3C5F">
        <w:rPr>
          <w:rFonts w:hint="eastAsia"/>
        </w:rPr>
        <w:t xml:space="preserve"> </w:t>
      </w:r>
      <w:r w:rsidRPr="002D3C5F">
        <w:rPr>
          <w:rFonts w:ascii="Times New Roman" w:eastAsia="SimSun" w:hAnsi="Times New Roman" w:cs="Times New Roman" w:hint="eastAsia"/>
          <w:color w:val="000000" w:themeColor="text1"/>
          <w:sz w:val="21"/>
          <w:szCs w:val="21"/>
        </w:rPr>
        <w:t>Mutations output from low-copy fusion positive samples through the workflow3 method</w:t>
      </w:r>
    </w:p>
    <w:p w14:paraId="5A277609" w14:textId="77777777" w:rsidR="00E023F9" w:rsidRDefault="00E023F9"/>
    <w:sectPr w:rsidR="00E023F9" w:rsidSect="00955465">
      <w:footerReference w:type="default" r:id="rId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420335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59DD018" w14:textId="77777777" w:rsidR="00955465" w:rsidRDefault="00955465">
            <w:pPr>
              <w:pStyle w:val="Footer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45107F" w14:textId="77777777" w:rsidR="00955465" w:rsidRDefault="0095546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65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955465"/>
    <w:rsid w:val="00A92B50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7966B"/>
  <w15:chartTrackingRefBased/>
  <w15:docId w15:val="{7DB3FB33-5571-422F-ABC7-98669CCF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465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5465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465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465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465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465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465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465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465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465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5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4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4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4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4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4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4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465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55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465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55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465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9554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5465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9554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46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4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46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5546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55465"/>
    <w:rPr>
      <w:rFonts w:eastAsiaTheme="minorEastAsia"/>
      <w:sz w:val="18"/>
      <w:szCs w:val="18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955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2026-08-24T08:46:00Z</dcterms:created>
  <dcterms:modified xsi:type="dcterms:W3CDTF">2026-08-24T08:46:00Z</dcterms:modified>
</cp:coreProperties>
</file>