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A375F2" w14:textId="77777777" w:rsidR="000B15D7" w:rsidRDefault="000B15D7" w:rsidP="000B15D7">
      <w:pPr>
        <w:rPr>
          <w:rFonts w:asciiTheme="minorBidi" w:hAnsiTheme="minorBidi"/>
          <w:sz w:val="28"/>
          <w:szCs w:val="28"/>
        </w:rPr>
      </w:pPr>
      <w:r>
        <w:rPr>
          <w:rFonts w:asciiTheme="minorBidi" w:hAnsiTheme="minorBidi"/>
          <w:sz w:val="28"/>
          <w:szCs w:val="28"/>
        </w:rPr>
        <w:t>Supporting information for</w:t>
      </w:r>
    </w:p>
    <w:p w14:paraId="01A917D8" w14:textId="77777777" w:rsidR="000B581A" w:rsidRDefault="000B581A" w:rsidP="000B581A">
      <w:pPr>
        <w:jc w:val="center"/>
        <w:rPr>
          <w:rFonts w:ascii="Arial" w:hAnsi="Arial"/>
          <w:sz w:val="28"/>
          <w:szCs w:val="28"/>
        </w:rPr>
      </w:pPr>
      <w:bookmarkStart w:id="0" w:name="_GoBack"/>
      <w:r>
        <w:rPr>
          <w:rFonts w:ascii="Arial" w:hAnsi="Arial"/>
          <w:sz w:val="28"/>
          <w:szCs w:val="28"/>
        </w:rPr>
        <w:t>I</w:t>
      </w:r>
      <w:r w:rsidRPr="00684554">
        <w:rPr>
          <w:rFonts w:ascii="Arial" w:hAnsi="Arial"/>
          <w:sz w:val="28"/>
          <w:szCs w:val="28"/>
        </w:rPr>
        <w:t>dentifi</w:t>
      </w:r>
      <w:r>
        <w:rPr>
          <w:rFonts w:ascii="Arial" w:hAnsi="Arial"/>
          <w:sz w:val="28"/>
          <w:szCs w:val="28"/>
        </w:rPr>
        <w:t>cation of evolutionarily stable sites</w:t>
      </w:r>
      <w:r w:rsidRPr="00684554">
        <w:rPr>
          <w:rFonts w:ascii="Arial" w:hAnsi="Arial"/>
          <w:sz w:val="28"/>
          <w:szCs w:val="28"/>
        </w:rPr>
        <w:t xml:space="preserve"> across </w:t>
      </w:r>
    </w:p>
    <w:p w14:paraId="7D0D441C" w14:textId="21277465" w:rsidR="000B581A" w:rsidRPr="00684554" w:rsidRDefault="000B581A" w:rsidP="000B581A">
      <w:pPr>
        <w:jc w:val="center"/>
        <w:rPr>
          <w:rFonts w:ascii="Arial" w:hAnsi="Arial"/>
          <w:sz w:val="28"/>
          <w:szCs w:val="28"/>
        </w:rPr>
      </w:pPr>
      <w:r w:rsidRPr="00684554">
        <w:rPr>
          <w:rFonts w:ascii="Arial" w:hAnsi="Arial"/>
          <w:sz w:val="28"/>
          <w:szCs w:val="28"/>
        </w:rPr>
        <w:t>the SARS-CoV-2 proteome</w:t>
      </w:r>
    </w:p>
    <w:bookmarkEnd w:id="0"/>
    <w:p w14:paraId="4713514F" w14:textId="77777777" w:rsidR="000B15D7" w:rsidRPr="00E25C11" w:rsidRDefault="000B15D7" w:rsidP="000B15D7">
      <w:pPr>
        <w:shd w:val="clear" w:color="auto" w:fill="FFFFFF"/>
        <w:textAlignment w:val="baseline"/>
        <w:rPr>
          <w:rFonts w:asciiTheme="minorBidi" w:eastAsia="Times New Roman" w:hAnsiTheme="minorBidi"/>
          <w:color w:val="323130"/>
          <w:sz w:val="20"/>
          <w:szCs w:val="20"/>
        </w:rPr>
      </w:pPr>
      <w:r w:rsidRPr="00E25C11">
        <w:rPr>
          <w:rFonts w:asciiTheme="minorBidi" w:eastAsia="Times New Roman" w:hAnsiTheme="minorBidi"/>
          <w:color w:val="323130"/>
          <w:sz w:val="20"/>
          <w:szCs w:val="20"/>
        </w:rPr>
        <w:t>Chen Wang</w:t>
      </w:r>
      <w:r w:rsidRPr="00E25C11">
        <w:rPr>
          <w:rFonts w:asciiTheme="minorBidi" w:eastAsia="Times New Roman" w:hAnsiTheme="minorBidi"/>
          <w:color w:val="323130"/>
          <w:sz w:val="20"/>
          <w:szCs w:val="20"/>
          <w:vertAlign w:val="superscript"/>
        </w:rPr>
        <w:t>1</w:t>
      </w:r>
      <w:r w:rsidRPr="00E25C11">
        <w:rPr>
          <w:rFonts w:asciiTheme="minorBidi" w:eastAsia="Times New Roman" w:hAnsiTheme="minorBidi"/>
          <w:color w:val="323130"/>
          <w:sz w:val="20"/>
          <w:szCs w:val="20"/>
        </w:rPr>
        <w:t>, Daniel M. Konecki</w:t>
      </w:r>
      <w:r w:rsidRPr="00E25C11">
        <w:rPr>
          <w:rFonts w:asciiTheme="minorBidi" w:eastAsia="Times New Roman" w:hAnsiTheme="minorBidi"/>
          <w:color w:val="323130"/>
          <w:sz w:val="20"/>
          <w:szCs w:val="20"/>
          <w:vertAlign w:val="superscript"/>
        </w:rPr>
        <w:t>1</w:t>
      </w:r>
      <w:r w:rsidRPr="00E25C11">
        <w:rPr>
          <w:rFonts w:asciiTheme="minorBidi" w:eastAsia="Times New Roman" w:hAnsiTheme="minorBidi"/>
          <w:color w:val="323130"/>
          <w:sz w:val="20"/>
          <w:szCs w:val="20"/>
        </w:rPr>
        <w:t>, David C. Marciano</w:t>
      </w:r>
      <w:r w:rsidRPr="00E25C11">
        <w:rPr>
          <w:rFonts w:asciiTheme="minorBidi" w:eastAsia="Times New Roman" w:hAnsiTheme="minorBidi"/>
          <w:color w:val="323130"/>
          <w:sz w:val="20"/>
          <w:szCs w:val="20"/>
          <w:vertAlign w:val="superscript"/>
        </w:rPr>
        <w:t xml:space="preserve"> </w:t>
      </w:r>
      <w:proofErr w:type="gramStart"/>
      <w:r w:rsidRPr="00E25C11">
        <w:rPr>
          <w:rFonts w:asciiTheme="minorBidi" w:eastAsia="Times New Roman" w:hAnsiTheme="minorBidi"/>
          <w:color w:val="323130"/>
          <w:sz w:val="20"/>
          <w:szCs w:val="20"/>
          <w:vertAlign w:val="superscript"/>
        </w:rPr>
        <w:t>1,</w:t>
      </w:r>
      <w:r w:rsidRPr="00E25C11">
        <w:rPr>
          <w:rFonts w:asciiTheme="minorBidi" w:eastAsia="Times New Roman" w:hAnsiTheme="minorBidi"/>
          <w:color w:val="323130"/>
          <w:sz w:val="20"/>
          <w:szCs w:val="20"/>
        </w:rPr>
        <w:t>*</w:t>
      </w:r>
      <w:proofErr w:type="gramEnd"/>
      <w:r w:rsidRPr="00E25C11">
        <w:rPr>
          <w:rFonts w:asciiTheme="minorBidi" w:eastAsia="Times New Roman" w:hAnsiTheme="minorBidi"/>
          <w:color w:val="323130"/>
          <w:sz w:val="20"/>
          <w:szCs w:val="20"/>
        </w:rPr>
        <w:t>, Harikumar Govindarajan, Amanda M. Williams, Brigitta Wastuwidyaningtyas</w:t>
      </w:r>
      <w:r>
        <w:rPr>
          <w:rFonts w:asciiTheme="minorBidi" w:eastAsia="Times New Roman" w:hAnsiTheme="minorBidi"/>
          <w:color w:val="323130"/>
          <w:sz w:val="20"/>
          <w:szCs w:val="20"/>
        </w:rPr>
        <w:t xml:space="preserve">, </w:t>
      </w:r>
      <w:r w:rsidRPr="00E25C11">
        <w:rPr>
          <w:rFonts w:asciiTheme="minorBidi" w:eastAsia="Times New Roman" w:hAnsiTheme="minorBidi"/>
          <w:color w:val="323130"/>
          <w:sz w:val="20"/>
          <w:szCs w:val="20"/>
        </w:rPr>
        <w:t>Thomas Bourquard, Panagiotis Katsonis and Olivier Lichtarge*</w:t>
      </w:r>
    </w:p>
    <w:p w14:paraId="4B2315E5" w14:textId="77777777" w:rsidR="000B15D7" w:rsidRPr="00E25C11" w:rsidRDefault="000B15D7" w:rsidP="000B15D7">
      <w:pPr>
        <w:shd w:val="clear" w:color="auto" w:fill="FFFFFF"/>
        <w:textAlignment w:val="baseline"/>
        <w:rPr>
          <w:rFonts w:asciiTheme="minorBidi" w:eastAsia="Times New Roman" w:hAnsiTheme="minorBidi"/>
          <w:color w:val="323130"/>
          <w:sz w:val="20"/>
          <w:szCs w:val="20"/>
        </w:rPr>
      </w:pPr>
      <w:r w:rsidRPr="00E25C11">
        <w:rPr>
          <w:rFonts w:asciiTheme="minorBidi" w:eastAsia="Times New Roman" w:hAnsiTheme="minorBidi"/>
          <w:color w:val="323130"/>
          <w:sz w:val="20"/>
          <w:szCs w:val="20"/>
          <w:vertAlign w:val="superscript"/>
        </w:rPr>
        <w:t>1</w:t>
      </w:r>
      <w:r w:rsidRPr="00E25C11">
        <w:rPr>
          <w:rFonts w:asciiTheme="minorBidi" w:eastAsia="Times New Roman" w:hAnsiTheme="minorBidi"/>
          <w:color w:val="323130"/>
          <w:sz w:val="20"/>
          <w:szCs w:val="20"/>
        </w:rPr>
        <w:t>These authors contributed equally</w:t>
      </w:r>
    </w:p>
    <w:p w14:paraId="1C0BD600" w14:textId="77777777" w:rsidR="000B15D7" w:rsidRPr="00E25C11" w:rsidRDefault="000B15D7" w:rsidP="000B15D7">
      <w:pPr>
        <w:shd w:val="clear" w:color="auto" w:fill="FFFFFF"/>
        <w:textAlignment w:val="baseline"/>
        <w:rPr>
          <w:rFonts w:asciiTheme="minorBidi" w:eastAsia="Times New Roman" w:hAnsiTheme="minorBidi"/>
          <w:color w:val="323130"/>
          <w:sz w:val="20"/>
          <w:szCs w:val="20"/>
        </w:rPr>
      </w:pPr>
      <w:r w:rsidRPr="00E25C11">
        <w:rPr>
          <w:rFonts w:asciiTheme="minorBidi" w:eastAsia="Times New Roman" w:hAnsiTheme="minorBidi"/>
          <w:color w:val="323130"/>
          <w:sz w:val="20"/>
          <w:szCs w:val="20"/>
        </w:rPr>
        <w:t xml:space="preserve">*Correspondence: </w:t>
      </w:r>
      <w:hyperlink r:id="rId8" w:history="1">
        <w:r w:rsidRPr="00E25C11">
          <w:rPr>
            <w:rStyle w:val="Hyperlink"/>
            <w:rFonts w:asciiTheme="minorBidi" w:eastAsia="Times New Roman" w:hAnsiTheme="minorBidi"/>
            <w:sz w:val="20"/>
            <w:szCs w:val="20"/>
          </w:rPr>
          <w:t>david.marciano@bcm.edu</w:t>
        </w:r>
      </w:hyperlink>
      <w:r w:rsidRPr="00E25C11">
        <w:rPr>
          <w:rFonts w:asciiTheme="minorBidi" w:eastAsia="Times New Roman" w:hAnsiTheme="minorBidi"/>
          <w:color w:val="323130"/>
          <w:sz w:val="20"/>
          <w:szCs w:val="20"/>
        </w:rPr>
        <w:t xml:space="preserve"> (D.C.M), </w:t>
      </w:r>
      <w:hyperlink r:id="rId9" w:history="1">
        <w:r w:rsidRPr="00E25C11">
          <w:rPr>
            <w:rStyle w:val="Hyperlink"/>
            <w:rFonts w:asciiTheme="minorBidi" w:eastAsia="Times New Roman" w:hAnsiTheme="minorBidi"/>
            <w:sz w:val="20"/>
            <w:szCs w:val="20"/>
          </w:rPr>
          <w:t>lichtarge@bcm.edu</w:t>
        </w:r>
      </w:hyperlink>
      <w:r w:rsidRPr="00E25C11">
        <w:rPr>
          <w:rFonts w:asciiTheme="minorBidi" w:eastAsia="Times New Roman" w:hAnsiTheme="minorBidi"/>
          <w:color w:val="323130"/>
          <w:sz w:val="20"/>
          <w:szCs w:val="20"/>
        </w:rPr>
        <w:t xml:space="preserve"> (O.L.)</w:t>
      </w:r>
    </w:p>
    <w:p w14:paraId="0D1D6F62" w14:textId="77777777" w:rsidR="000B15D7" w:rsidRDefault="000B15D7" w:rsidP="000B15D7">
      <w:pPr>
        <w:jc w:val="both"/>
        <w:rPr>
          <w:b/>
        </w:rPr>
      </w:pPr>
      <w:r>
        <w:rPr>
          <w:b/>
        </w:rPr>
        <w:t>This section includes:</w:t>
      </w:r>
    </w:p>
    <w:p w14:paraId="3D46AA9D" w14:textId="77777777" w:rsidR="000B15D7" w:rsidRPr="00F47043" w:rsidRDefault="000B15D7" w:rsidP="000B15D7">
      <w:pPr>
        <w:ind w:firstLine="720"/>
        <w:jc w:val="both"/>
        <w:rPr>
          <w:bCs/>
        </w:rPr>
      </w:pPr>
      <w:r w:rsidRPr="00F47043">
        <w:rPr>
          <w:bCs/>
        </w:rPr>
        <w:t>Supporting materials and methods, pages</w:t>
      </w:r>
      <w:r>
        <w:rPr>
          <w:bCs/>
        </w:rPr>
        <w:t xml:space="preserve"> 2-4</w:t>
      </w:r>
    </w:p>
    <w:p w14:paraId="5B0C22B9" w14:textId="77777777" w:rsidR="000B15D7" w:rsidRDefault="000B15D7" w:rsidP="000B15D7">
      <w:pPr>
        <w:ind w:firstLine="720"/>
        <w:rPr>
          <w:rFonts w:ascii="Arial" w:hAnsi="Arial"/>
          <w:sz w:val="20"/>
          <w:szCs w:val="20"/>
        </w:rPr>
      </w:pPr>
      <w:r>
        <w:rPr>
          <w:rFonts w:ascii="Arial" w:hAnsi="Arial"/>
          <w:sz w:val="20"/>
          <w:szCs w:val="20"/>
        </w:rPr>
        <w:t xml:space="preserve">Figures S1 to S7: </w:t>
      </w:r>
      <w:r w:rsidRPr="00F47043">
        <w:rPr>
          <w:rFonts w:ascii="Arial" w:hAnsi="Arial"/>
          <w:sz w:val="20"/>
          <w:szCs w:val="20"/>
        </w:rPr>
        <w:t>Quality of homologous sequences and ET</w:t>
      </w:r>
      <w:r>
        <w:rPr>
          <w:rFonts w:ascii="Arial" w:hAnsi="Arial"/>
          <w:sz w:val="20"/>
          <w:szCs w:val="20"/>
        </w:rPr>
        <w:t xml:space="preserve">. </w:t>
      </w:r>
    </w:p>
    <w:p w14:paraId="7B9CFD4D" w14:textId="77777777" w:rsidR="000B15D7" w:rsidRDefault="000B15D7" w:rsidP="000B15D7">
      <w:pPr>
        <w:ind w:firstLine="720"/>
        <w:rPr>
          <w:rFonts w:ascii="Arial" w:hAnsi="Arial"/>
          <w:sz w:val="20"/>
          <w:szCs w:val="20"/>
        </w:rPr>
      </w:pPr>
      <w:r>
        <w:rPr>
          <w:rFonts w:ascii="Arial" w:hAnsi="Arial"/>
          <w:sz w:val="20"/>
          <w:szCs w:val="20"/>
        </w:rPr>
        <w:t>Legends for Datasets S1 to S8</w:t>
      </w:r>
    </w:p>
    <w:p w14:paraId="50AE7AF8" w14:textId="77777777" w:rsidR="000B15D7" w:rsidRDefault="000B15D7" w:rsidP="000B15D7">
      <w:pPr>
        <w:ind w:firstLine="720"/>
        <w:rPr>
          <w:rFonts w:ascii="Arial" w:hAnsi="Arial"/>
          <w:sz w:val="20"/>
          <w:szCs w:val="20"/>
        </w:rPr>
      </w:pPr>
      <w:r>
        <w:rPr>
          <w:rFonts w:ascii="Arial" w:hAnsi="Arial"/>
          <w:sz w:val="20"/>
          <w:szCs w:val="20"/>
        </w:rPr>
        <w:t>SI References</w:t>
      </w:r>
    </w:p>
    <w:p w14:paraId="50B049A5" w14:textId="77777777" w:rsidR="000B15D7" w:rsidRPr="00F47043" w:rsidRDefault="000B15D7" w:rsidP="000B15D7">
      <w:pPr>
        <w:rPr>
          <w:rFonts w:ascii="Arial" w:hAnsi="Arial"/>
          <w:sz w:val="20"/>
          <w:szCs w:val="20"/>
        </w:rPr>
      </w:pPr>
      <w:r w:rsidRPr="00840BB2">
        <w:rPr>
          <w:rFonts w:ascii="Arial" w:hAnsi="Arial"/>
          <w:b/>
          <w:sz w:val="20"/>
        </w:rPr>
        <w:t>Other supplementary materials for this manuscript include the following:</w:t>
      </w:r>
    </w:p>
    <w:p w14:paraId="160618B5" w14:textId="77777777" w:rsidR="000B15D7" w:rsidRDefault="000B15D7" w:rsidP="000B15D7">
      <w:pPr>
        <w:ind w:firstLine="720"/>
        <w:rPr>
          <w:rFonts w:ascii="Arial" w:hAnsi="Arial"/>
          <w:sz w:val="20"/>
          <w:szCs w:val="20"/>
        </w:rPr>
      </w:pPr>
      <w:r>
        <w:rPr>
          <w:rFonts w:ascii="Arial" w:hAnsi="Arial"/>
          <w:sz w:val="20"/>
          <w:szCs w:val="20"/>
        </w:rPr>
        <w:t xml:space="preserve">Dataset S1. </w:t>
      </w:r>
      <w:r w:rsidRPr="00855490">
        <w:rPr>
          <w:rFonts w:ascii="Arial" w:hAnsi="Arial"/>
          <w:sz w:val="20"/>
          <w:szCs w:val="20"/>
        </w:rPr>
        <w:t>Alignment Sequence Counts Each Filtering Step</w:t>
      </w:r>
      <w:r>
        <w:rPr>
          <w:rFonts w:ascii="Arial" w:hAnsi="Arial"/>
          <w:sz w:val="20"/>
          <w:szCs w:val="20"/>
        </w:rPr>
        <w:t>.</w:t>
      </w:r>
    </w:p>
    <w:p w14:paraId="02EEA276" w14:textId="77777777" w:rsidR="000B15D7" w:rsidRDefault="000B15D7" w:rsidP="000B15D7">
      <w:pPr>
        <w:ind w:firstLine="720"/>
        <w:rPr>
          <w:rFonts w:ascii="Arial" w:hAnsi="Arial"/>
          <w:sz w:val="20"/>
          <w:szCs w:val="20"/>
        </w:rPr>
      </w:pPr>
      <w:r>
        <w:rPr>
          <w:rFonts w:ascii="Arial" w:hAnsi="Arial"/>
          <w:sz w:val="20"/>
          <w:szCs w:val="20"/>
        </w:rPr>
        <w:t>Dataset</w:t>
      </w:r>
      <w:r w:rsidRPr="00855490">
        <w:rPr>
          <w:rFonts w:ascii="Arial" w:hAnsi="Arial"/>
          <w:sz w:val="20"/>
          <w:szCs w:val="20"/>
        </w:rPr>
        <w:t xml:space="preserve"> S2. </w:t>
      </w:r>
      <w:r w:rsidRPr="00655B69">
        <w:rPr>
          <w:rFonts w:ascii="Arial" w:hAnsi="Arial"/>
          <w:sz w:val="20"/>
          <w:szCs w:val="20"/>
        </w:rPr>
        <w:t xml:space="preserve">ET </w:t>
      </w:r>
      <w:r>
        <w:rPr>
          <w:rFonts w:ascii="Arial" w:hAnsi="Arial"/>
          <w:sz w:val="20"/>
          <w:szCs w:val="20"/>
        </w:rPr>
        <w:t>R</w:t>
      </w:r>
      <w:r w:rsidRPr="00655B69">
        <w:rPr>
          <w:rFonts w:ascii="Arial" w:hAnsi="Arial"/>
          <w:sz w:val="20"/>
          <w:szCs w:val="20"/>
        </w:rPr>
        <w:t xml:space="preserve">ankings and </w:t>
      </w:r>
      <w:r>
        <w:rPr>
          <w:rFonts w:ascii="Arial" w:hAnsi="Arial"/>
          <w:sz w:val="20"/>
          <w:szCs w:val="20"/>
        </w:rPr>
        <w:t>U</w:t>
      </w:r>
      <w:r w:rsidRPr="00655B69">
        <w:rPr>
          <w:rFonts w:ascii="Arial" w:hAnsi="Arial"/>
          <w:sz w:val="20"/>
          <w:szCs w:val="20"/>
        </w:rPr>
        <w:t xml:space="preserve">nique </w:t>
      </w:r>
      <w:r>
        <w:rPr>
          <w:rFonts w:ascii="Arial" w:hAnsi="Arial"/>
          <w:sz w:val="20"/>
          <w:szCs w:val="20"/>
        </w:rPr>
        <w:t>V</w:t>
      </w:r>
      <w:r w:rsidRPr="00655B69">
        <w:rPr>
          <w:rFonts w:ascii="Arial" w:hAnsi="Arial"/>
          <w:sz w:val="20"/>
          <w:szCs w:val="20"/>
        </w:rPr>
        <w:t xml:space="preserve">ariant </w:t>
      </w:r>
      <w:r>
        <w:rPr>
          <w:rFonts w:ascii="Arial" w:hAnsi="Arial"/>
          <w:sz w:val="20"/>
          <w:szCs w:val="20"/>
        </w:rPr>
        <w:t>C</w:t>
      </w:r>
      <w:r w:rsidRPr="00655B69">
        <w:rPr>
          <w:rFonts w:ascii="Arial" w:hAnsi="Arial"/>
          <w:sz w:val="20"/>
          <w:szCs w:val="20"/>
        </w:rPr>
        <w:t>ounts</w:t>
      </w:r>
      <w:r>
        <w:rPr>
          <w:rFonts w:ascii="Arial" w:hAnsi="Arial"/>
          <w:sz w:val="20"/>
          <w:szCs w:val="20"/>
        </w:rPr>
        <w:t>.</w:t>
      </w:r>
    </w:p>
    <w:p w14:paraId="17DB4004" w14:textId="77777777" w:rsidR="000B15D7" w:rsidRPr="003C62E5" w:rsidRDefault="000B15D7" w:rsidP="000B15D7">
      <w:pPr>
        <w:ind w:firstLine="720"/>
        <w:rPr>
          <w:rFonts w:ascii="Arial" w:hAnsi="Arial"/>
          <w:sz w:val="20"/>
          <w:szCs w:val="20"/>
          <w:lang w:val="pl-PL"/>
        </w:rPr>
      </w:pPr>
      <w:r w:rsidRPr="003C62E5">
        <w:rPr>
          <w:rFonts w:ascii="Arial" w:hAnsi="Arial"/>
          <w:sz w:val="20"/>
          <w:szCs w:val="20"/>
          <w:lang w:val="pl-PL"/>
        </w:rPr>
        <w:t>Dataset S3. SCW Z-scores.</w:t>
      </w:r>
    </w:p>
    <w:p w14:paraId="5133A74E" w14:textId="77777777" w:rsidR="000B15D7" w:rsidRPr="000D3F70" w:rsidRDefault="000B15D7" w:rsidP="000B15D7">
      <w:pPr>
        <w:ind w:firstLine="720"/>
        <w:rPr>
          <w:rFonts w:ascii="Arial" w:hAnsi="Arial"/>
          <w:sz w:val="20"/>
          <w:szCs w:val="20"/>
        </w:rPr>
      </w:pPr>
      <w:r>
        <w:rPr>
          <w:rFonts w:ascii="Arial" w:hAnsi="Arial"/>
          <w:sz w:val="20"/>
          <w:szCs w:val="20"/>
        </w:rPr>
        <w:t>Dataset</w:t>
      </w:r>
      <w:r w:rsidRPr="000D3F70">
        <w:rPr>
          <w:rFonts w:ascii="Arial" w:hAnsi="Arial"/>
          <w:sz w:val="20"/>
          <w:szCs w:val="20"/>
        </w:rPr>
        <w:t xml:space="preserve"> S4. Structural Sites with 5A Proximity Cutoff.</w:t>
      </w:r>
    </w:p>
    <w:p w14:paraId="45A6419D" w14:textId="77777777" w:rsidR="000B15D7" w:rsidRPr="003C62E5" w:rsidRDefault="000B15D7" w:rsidP="000B15D7">
      <w:pPr>
        <w:ind w:firstLine="720"/>
        <w:rPr>
          <w:rFonts w:ascii="Arial" w:hAnsi="Arial"/>
          <w:sz w:val="20"/>
          <w:szCs w:val="20"/>
          <w:lang w:val="pt-BR"/>
        </w:rPr>
      </w:pPr>
      <w:r w:rsidRPr="003C62E5">
        <w:rPr>
          <w:rFonts w:ascii="Arial" w:hAnsi="Arial"/>
          <w:sz w:val="20"/>
          <w:szCs w:val="20"/>
          <w:lang w:val="pt-BR"/>
        </w:rPr>
        <w:t>Dataset S5. Linear Sites.</w:t>
      </w:r>
    </w:p>
    <w:p w14:paraId="162FFB8E" w14:textId="77777777" w:rsidR="000B15D7" w:rsidRPr="000D3F70" w:rsidRDefault="000B15D7" w:rsidP="000B15D7">
      <w:pPr>
        <w:ind w:firstLine="720"/>
        <w:rPr>
          <w:rFonts w:ascii="Arial" w:hAnsi="Arial"/>
          <w:sz w:val="20"/>
          <w:szCs w:val="20"/>
        </w:rPr>
      </w:pPr>
      <w:r w:rsidRPr="003C62E5">
        <w:rPr>
          <w:rFonts w:ascii="Arial" w:hAnsi="Arial"/>
          <w:sz w:val="20"/>
          <w:szCs w:val="20"/>
          <w:lang w:val="pt-BR"/>
        </w:rPr>
        <w:t xml:space="preserve">Dataset S6. </w:t>
      </w:r>
      <w:r w:rsidRPr="000D3F70">
        <w:rPr>
          <w:rFonts w:ascii="Arial" w:hAnsi="Arial"/>
          <w:sz w:val="20"/>
          <w:szCs w:val="20"/>
        </w:rPr>
        <w:t>Comparison of Linear ET Sites and Structural ET Sites.</w:t>
      </w:r>
    </w:p>
    <w:p w14:paraId="49D2300E" w14:textId="77777777" w:rsidR="000B15D7" w:rsidRPr="000D3F70" w:rsidRDefault="000B15D7" w:rsidP="000B15D7">
      <w:pPr>
        <w:ind w:firstLine="720"/>
        <w:rPr>
          <w:rFonts w:ascii="Arial" w:hAnsi="Arial"/>
          <w:sz w:val="20"/>
          <w:szCs w:val="20"/>
        </w:rPr>
      </w:pPr>
      <w:r>
        <w:rPr>
          <w:rFonts w:ascii="Arial" w:hAnsi="Arial"/>
          <w:sz w:val="20"/>
          <w:szCs w:val="20"/>
        </w:rPr>
        <w:t>Dataset</w:t>
      </w:r>
      <w:r w:rsidRPr="000D3F70">
        <w:rPr>
          <w:rFonts w:ascii="Arial" w:hAnsi="Arial"/>
          <w:sz w:val="20"/>
          <w:szCs w:val="20"/>
        </w:rPr>
        <w:t xml:space="preserve"> S7. Cross-reactive T Cell Epitopes Training Set.</w:t>
      </w:r>
    </w:p>
    <w:p w14:paraId="1F8A6F24" w14:textId="77777777" w:rsidR="000B15D7" w:rsidRDefault="000B15D7" w:rsidP="000B15D7">
      <w:pPr>
        <w:ind w:firstLine="720"/>
        <w:rPr>
          <w:rFonts w:ascii="Arial" w:hAnsi="Arial"/>
          <w:sz w:val="20"/>
          <w:szCs w:val="20"/>
        </w:rPr>
      </w:pPr>
      <w:r>
        <w:rPr>
          <w:rFonts w:ascii="Arial" w:hAnsi="Arial"/>
          <w:sz w:val="20"/>
          <w:szCs w:val="20"/>
        </w:rPr>
        <w:t>Dataset</w:t>
      </w:r>
      <w:r w:rsidRPr="000D3F70">
        <w:rPr>
          <w:rFonts w:ascii="Arial" w:hAnsi="Arial"/>
          <w:sz w:val="20"/>
          <w:szCs w:val="20"/>
        </w:rPr>
        <w:t xml:space="preserve"> S8. Cross</w:t>
      </w:r>
      <w:r w:rsidRPr="00A03C42">
        <w:rPr>
          <w:rFonts w:ascii="Arial" w:hAnsi="Arial"/>
          <w:sz w:val="20"/>
          <w:szCs w:val="20"/>
        </w:rPr>
        <w:t xml:space="preserve">-reactive T cell </w:t>
      </w:r>
      <w:r>
        <w:rPr>
          <w:rFonts w:ascii="Arial" w:hAnsi="Arial"/>
          <w:sz w:val="20"/>
          <w:szCs w:val="20"/>
        </w:rPr>
        <w:t>E</w:t>
      </w:r>
      <w:r w:rsidRPr="00A03C42">
        <w:rPr>
          <w:rFonts w:ascii="Arial" w:hAnsi="Arial"/>
          <w:sz w:val="20"/>
          <w:szCs w:val="20"/>
        </w:rPr>
        <w:t xml:space="preserve">pitopes </w:t>
      </w:r>
      <w:r>
        <w:rPr>
          <w:rFonts w:ascii="Arial" w:hAnsi="Arial"/>
          <w:sz w:val="20"/>
          <w:szCs w:val="20"/>
        </w:rPr>
        <w:t>Prediction</w:t>
      </w:r>
      <w:r w:rsidRPr="00A03C42">
        <w:rPr>
          <w:rFonts w:ascii="Arial" w:hAnsi="Arial"/>
          <w:sz w:val="20"/>
          <w:szCs w:val="20"/>
        </w:rPr>
        <w:t xml:space="preserve"> </w:t>
      </w:r>
      <w:r>
        <w:rPr>
          <w:rFonts w:ascii="Arial" w:hAnsi="Arial"/>
          <w:sz w:val="20"/>
          <w:szCs w:val="20"/>
        </w:rPr>
        <w:t>S</w:t>
      </w:r>
      <w:r w:rsidRPr="00A03C42">
        <w:rPr>
          <w:rFonts w:ascii="Arial" w:hAnsi="Arial"/>
          <w:sz w:val="20"/>
          <w:szCs w:val="20"/>
        </w:rPr>
        <w:t>et</w:t>
      </w:r>
      <w:r>
        <w:rPr>
          <w:rFonts w:ascii="Arial" w:hAnsi="Arial"/>
          <w:sz w:val="20"/>
          <w:szCs w:val="20"/>
        </w:rPr>
        <w:t>.</w:t>
      </w:r>
    </w:p>
    <w:p w14:paraId="1CD67AB1" w14:textId="77777777" w:rsidR="000B15D7" w:rsidRDefault="000B15D7" w:rsidP="000B15D7">
      <w:pPr>
        <w:rPr>
          <w:bCs/>
        </w:rPr>
      </w:pPr>
      <w:r>
        <w:rPr>
          <w:bCs/>
        </w:rPr>
        <w:br w:type="page"/>
      </w:r>
    </w:p>
    <w:p w14:paraId="6B2D9E22" w14:textId="77777777" w:rsidR="000B15D7" w:rsidRPr="00F43F67" w:rsidRDefault="000B15D7" w:rsidP="000B15D7">
      <w:pPr>
        <w:jc w:val="both"/>
        <w:rPr>
          <w:b/>
        </w:rPr>
      </w:pPr>
      <w:r w:rsidRPr="00F43F67">
        <w:rPr>
          <w:b/>
          <w:color w:val="2B579A"/>
        </w:rPr>
        <w:lastRenderedPageBreak/>
        <w:t>SI Materials and Methods:</w:t>
      </w:r>
    </w:p>
    <w:p w14:paraId="50186348" w14:textId="77777777" w:rsidR="000B15D7" w:rsidRPr="00F43F67" w:rsidRDefault="000B15D7" w:rsidP="000B15D7">
      <w:pPr>
        <w:jc w:val="both"/>
        <w:rPr>
          <w:b/>
          <w:color w:val="000000" w:themeColor="text1"/>
        </w:rPr>
      </w:pPr>
      <w:r w:rsidRPr="008F2B7C">
        <w:rPr>
          <w:b/>
          <w:color w:val="000000"/>
        </w:rPr>
        <w:t xml:space="preserve">Reference Sequence Retrieval and </w:t>
      </w:r>
      <w:r w:rsidRPr="008F2B7C">
        <w:rPr>
          <w:b/>
          <w:color w:val="000000" w:themeColor="text1"/>
        </w:rPr>
        <w:t>Variant Analysis of the Current SARS-CoV-2 Outbreak</w:t>
      </w:r>
    </w:p>
    <w:p w14:paraId="52A58E68" w14:textId="77777777" w:rsidR="000B15D7" w:rsidRDefault="000B15D7" w:rsidP="000B15D7">
      <w:pPr>
        <w:jc w:val="both"/>
        <w:rPr>
          <w:color w:val="000000"/>
        </w:rPr>
      </w:pPr>
      <w:r w:rsidRPr="53CD07CD">
        <w:rPr>
          <w:color w:val="000000" w:themeColor="text1"/>
        </w:rPr>
        <w:t xml:space="preserve">SARS-CoV-2 isolate Wuhan-Hu-1 was used as the reference strain. Its genomic and proteomic sequences were downloaded from GenBank (NC_045512.2). ORF1a and ORF1ab were broken down into NSPs according to the ranges described in the genbank file. </w:t>
      </w:r>
    </w:p>
    <w:p w14:paraId="34551009" w14:textId="77777777" w:rsidR="000B15D7" w:rsidRDefault="000B15D7" w:rsidP="000B15D7">
      <w:pPr>
        <w:jc w:val="both"/>
        <w:rPr>
          <w:color w:val="000000"/>
        </w:rPr>
      </w:pPr>
      <w:r>
        <w:rPr>
          <w:color w:val="000000"/>
        </w:rPr>
        <w:t xml:space="preserve">Sequences of SARS-CoV-2 clinical strains were downloaded from the GISAID </w:t>
      </w:r>
      <w:r>
        <w:rPr>
          <w:color w:val="000000"/>
        </w:rPr>
        <w:fldChar w:fldCharType="begin" w:fldLock="1"/>
      </w:r>
      <w:r>
        <w:rPr>
          <w:color w:val="000000"/>
        </w:rPr>
        <w:instrText>ADDIN CSL_CITATION {"citationItems":[{"id":"ITEM-1","itemData":{"DOI":"10.2807/1560-7917.ES.2017.22.13.30494","ISSN":"1560-7917","PMID":"28382917","author":[{"dropping-particle":"","family":"Shu","given":"Yuelong","non-dropping-particle":"","parse-names":false,"suffix":""},{"dropping-particle":"","family":"McCauley","given":"John","non-dropping-particle":"","parse-names":false,"suffix":""}],"container-title":"Euro surveillance : bulletin Europeen sur les maladies transmissibles = European communicable disease bulletin","id":"ITEM-1","issue":"13","issued":{"date-parts":[["2017","3","30"]]},"publisher":"European Centre for Disease Prevention and Control (ECDC)","title":"GISAID: Global initiative on sharing all influenza data - from vision to reality.","type":"article-journal","volume":"22"},"uris":["http://www.mendeley.com/documents/?uuid=7b565ca4-deec-4eb3-a396-12ce416f9055"]}],"mendeley":{"formattedCitation":"(1)","plainTextFormattedCitation":"(1)","previouslyFormattedCitation":"(1)"},"properties":{"noteIndex":0},"schema":"https://github.com/citation-style-language/schema/raw/master/csl-citation.json"}</w:instrText>
      </w:r>
      <w:r>
        <w:rPr>
          <w:color w:val="000000"/>
        </w:rPr>
        <w:fldChar w:fldCharType="separate"/>
      </w:r>
      <w:r w:rsidRPr="00FB114B">
        <w:rPr>
          <w:noProof/>
          <w:color w:val="000000"/>
        </w:rPr>
        <w:t>(1)</w:t>
      </w:r>
      <w:r>
        <w:rPr>
          <w:color w:val="000000"/>
        </w:rPr>
        <w:fldChar w:fldCharType="end"/>
      </w:r>
      <w:r>
        <w:rPr>
          <w:color w:val="000000"/>
        </w:rPr>
        <w:t xml:space="preserve"> and the China National Center for Bioinformation (CNCB) </w:t>
      </w:r>
      <w:r>
        <w:rPr>
          <w:rFonts w:asciiTheme="minorBidi" w:hAnsiTheme="minorBidi"/>
          <w:color w:val="1D1C1D"/>
          <w:sz w:val="20"/>
          <w:szCs w:val="20"/>
        </w:rPr>
        <w:fldChar w:fldCharType="begin" w:fldLock="1"/>
      </w:r>
      <w:r>
        <w:rPr>
          <w:rFonts w:asciiTheme="minorBidi" w:hAnsiTheme="minorBidi"/>
          <w:color w:val="1D1C1D"/>
          <w:sz w:val="20"/>
          <w:szCs w:val="20"/>
        </w:rPr>
        <w:instrText>ADDIN CSL_CITATION {"citationItems":[{"id":"ITEM-1","itemData":{"DOI":"10.16288/j.yczz.20-030","ISSN":"0253-9772","PMID":"32102777","abstract":"An ongoing outbreak of a novel coronavirus infection in Wuhan, China since December 2019 has led to 31,516 infected persons and 638 deaths across 25 countries (till 16:00 on February 7, 2020). The virus causing this pneumonia was then named as the 2019 novel coronavirus (2019-nCoV) by the World Health Organization. To promote the data sharing and make all relevant information of 2019-nCoV publicly available, we construct the 2019 Novel Coronavirus Resource (2019nCoVR, https://bigd.big.ac.cn/ncov). 2019nCoVR features comprehensive integration of genomic and proteomic sequences as well as their metadata information from the Global Initiative on Sharing All Influenza Data, National Center for Biotechnology Information, China National GeneBank, National Microbiology Data Center and China National Center for Bioinformation (CNCB)/National Genomics Data Center (NGDC). It also incorporates a wide range of relevant information including scientific literatures, news, and popular articles for science dissemination, and provides visualization functionalities for genome variation analysis results based on all collected 2019-nCoV strains. Moreover, by linking seamlessly with related databases in CNCB/NGDC, 2019nCoVR offers virus data submission and sharing services for raw sequence reads and assembled sequences. In this report, we provide comprehensive descriptions on data deposition, management, release and utility in 2019nCoVR, laying important foundations in aid of studies on virus classification and origin, genome variation and evolution, fast detection, drug development and pneumonia precision prevention and therapy. 2019</w:instrText>
      </w:r>
      <w:r>
        <w:rPr>
          <w:rFonts w:ascii="MS Gothic" w:eastAsia="MS Gothic" w:hAnsi="MS Gothic" w:cs="MS Gothic" w:hint="eastAsia"/>
          <w:color w:val="1D1C1D"/>
          <w:sz w:val="20"/>
          <w:szCs w:val="20"/>
        </w:rPr>
        <w:instrText>年</w:instrText>
      </w:r>
      <w:r>
        <w:rPr>
          <w:rFonts w:asciiTheme="minorBidi" w:hAnsiTheme="minorBidi"/>
          <w:color w:val="1D1C1D"/>
          <w:sz w:val="20"/>
          <w:szCs w:val="20"/>
        </w:rPr>
        <w:instrText>12</w:instrText>
      </w:r>
      <w:r>
        <w:rPr>
          <w:rFonts w:ascii="MS Gothic" w:eastAsia="MS Gothic" w:hAnsi="MS Gothic" w:cs="MS Gothic" w:hint="eastAsia"/>
          <w:color w:val="1D1C1D"/>
          <w:sz w:val="20"/>
          <w:szCs w:val="20"/>
        </w:rPr>
        <w:instrText>月在中国武</w:instrText>
      </w:r>
      <w:r>
        <w:rPr>
          <w:rFonts w:ascii="Microsoft JhengHei" w:eastAsia="Microsoft JhengHei" w:hAnsi="Microsoft JhengHei" w:cs="Microsoft JhengHei" w:hint="eastAsia"/>
          <w:color w:val="1D1C1D"/>
          <w:sz w:val="20"/>
          <w:szCs w:val="20"/>
        </w:rPr>
        <w:instrText>汉</w:instrText>
      </w:r>
      <w:r>
        <w:rPr>
          <w:rFonts w:ascii="MS Gothic" w:eastAsia="MS Gothic" w:hAnsi="MS Gothic" w:cs="MS Gothic" w:hint="eastAsia"/>
          <w:color w:val="1D1C1D"/>
          <w:sz w:val="20"/>
          <w:szCs w:val="20"/>
        </w:rPr>
        <w:instrText>开始爆</w:instrText>
      </w:r>
      <w:r>
        <w:rPr>
          <w:rFonts w:ascii="Microsoft JhengHei" w:eastAsia="Microsoft JhengHei" w:hAnsi="Microsoft JhengHei" w:cs="Microsoft JhengHei" w:hint="eastAsia"/>
          <w:color w:val="1D1C1D"/>
          <w:sz w:val="20"/>
          <w:szCs w:val="20"/>
        </w:rPr>
        <w:instrText>发</w:instrText>
      </w:r>
      <w:r>
        <w:rPr>
          <w:rFonts w:ascii="MS Gothic" w:eastAsia="MS Gothic" w:hAnsi="MS Gothic" w:cs="MS Gothic" w:hint="eastAsia"/>
          <w:color w:val="1D1C1D"/>
          <w:sz w:val="20"/>
          <w:szCs w:val="20"/>
        </w:rPr>
        <w:instrText>的新型肺炎已造成全球</w:instrText>
      </w:r>
      <w:r>
        <w:rPr>
          <w:rFonts w:asciiTheme="minorBidi" w:hAnsiTheme="minorBidi"/>
          <w:color w:val="1D1C1D"/>
          <w:sz w:val="20"/>
          <w:szCs w:val="20"/>
        </w:rPr>
        <w:instrText>25</w:instrText>
      </w:r>
      <w:r>
        <w:rPr>
          <w:rFonts w:ascii="MS Gothic" w:eastAsia="MS Gothic" w:hAnsi="MS Gothic" w:cs="MS Gothic" w:hint="eastAsia"/>
          <w:color w:val="1D1C1D"/>
          <w:sz w:val="20"/>
          <w:szCs w:val="20"/>
        </w:rPr>
        <w:instrText>个国家</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地区的</w:instrText>
      </w:r>
      <w:r>
        <w:rPr>
          <w:rFonts w:asciiTheme="minorBidi" w:hAnsiTheme="minorBidi"/>
          <w:color w:val="1D1C1D"/>
          <w:sz w:val="20"/>
          <w:szCs w:val="20"/>
        </w:rPr>
        <w:instrText>31516</w:instrText>
      </w:r>
      <w:r>
        <w:rPr>
          <w:rFonts w:ascii="MS Gothic" w:eastAsia="MS Gothic" w:hAnsi="MS Gothic" w:cs="MS Gothic" w:hint="eastAsia"/>
          <w:color w:val="1D1C1D"/>
          <w:sz w:val="20"/>
          <w:szCs w:val="20"/>
        </w:rPr>
        <w:instrText>人感染、</w:instrText>
      </w:r>
      <w:r>
        <w:rPr>
          <w:rFonts w:asciiTheme="minorBidi" w:hAnsiTheme="minorBidi"/>
          <w:color w:val="1D1C1D"/>
          <w:sz w:val="20"/>
          <w:szCs w:val="20"/>
        </w:rPr>
        <w:instrText>638</w:instrText>
      </w:r>
      <w:r>
        <w:rPr>
          <w:rFonts w:ascii="MS Gothic" w:eastAsia="MS Gothic" w:hAnsi="MS Gothic" w:cs="MS Gothic" w:hint="eastAsia"/>
          <w:color w:val="1D1C1D"/>
          <w:sz w:val="20"/>
          <w:szCs w:val="20"/>
        </w:rPr>
        <w:instrText>人死亡</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截止</w:instrText>
      </w:r>
      <w:r>
        <w:rPr>
          <w:rFonts w:asciiTheme="minorBidi" w:hAnsiTheme="minorBidi"/>
          <w:color w:val="1D1C1D"/>
          <w:sz w:val="20"/>
          <w:szCs w:val="20"/>
        </w:rPr>
        <w:instrText>2020</w:instrText>
      </w:r>
      <w:r>
        <w:rPr>
          <w:rFonts w:ascii="MS Gothic" w:eastAsia="MS Gothic" w:hAnsi="MS Gothic" w:cs="MS Gothic" w:hint="eastAsia"/>
          <w:color w:val="1D1C1D"/>
          <w:sz w:val="20"/>
          <w:szCs w:val="20"/>
        </w:rPr>
        <w:instrText>年</w:instrText>
      </w:r>
      <w:r>
        <w:rPr>
          <w:rFonts w:asciiTheme="minorBidi" w:hAnsiTheme="minorBidi"/>
          <w:color w:val="1D1C1D"/>
          <w:sz w:val="20"/>
          <w:szCs w:val="20"/>
        </w:rPr>
        <w:instrText>2</w:instrText>
      </w:r>
      <w:r>
        <w:rPr>
          <w:rFonts w:ascii="MS Gothic" w:eastAsia="MS Gothic" w:hAnsi="MS Gothic" w:cs="MS Gothic" w:hint="eastAsia"/>
          <w:color w:val="1D1C1D"/>
          <w:sz w:val="20"/>
          <w:szCs w:val="20"/>
        </w:rPr>
        <w:instrText>月</w:instrText>
      </w:r>
      <w:r>
        <w:rPr>
          <w:rFonts w:asciiTheme="minorBidi" w:hAnsiTheme="minorBidi"/>
          <w:color w:val="1D1C1D"/>
          <w:sz w:val="20"/>
          <w:szCs w:val="20"/>
        </w:rPr>
        <w:instrText>7</w:instrText>
      </w:r>
      <w:r>
        <w:rPr>
          <w:rFonts w:ascii="MS Gothic" w:eastAsia="MS Gothic" w:hAnsi="MS Gothic" w:cs="MS Gothic" w:hint="eastAsia"/>
          <w:color w:val="1D1C1D"/>
          <w:sz w:val="20"/>
          <w:szCs w:val="20"/>
        </w:rPr>
        <w:instrText>日</w:instrText>
      </w:r>
      <w:r>
        <w:rPr>
          <w:rFonts w:asciiTheme="minorBidi" w:hAnsiTheme="minorBidi"/>
          <w:color w:val="1D1C1D"/>
          <w:sz w:val="20"/>
          <w:szCs w:val="20"/>
        </w:rPr>
        <w:instrText>16</w:instrText>
      </w:r>
      <w:r>
        <w:rPr>
          <w:rFonts w:ascii="Microsoft JhengHei" w:eastAsia="Microsoft JhengHei" w:hAnsi="Microsoft JhengHei" w:cs="Microsoft JhengHei" w:hint="eastAsia"/>
          <w:color w:val="1D1C1D"/>
          <w:sz w:val="20"/>
          <w:szCs w:val="20"/>
        </w:rPr>
        <w:instrText>时</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引起</w:instrText>
      </w:r>
      <w:r>
        <w:rPr>
          <w:rFonts w:ascii="Microsoft JhengHei" w:eastAsia="Microsoft JhengHei" w:hAnsi="Microsoft JhengHei" w:cs="Microsoft JhengHei" w:hint="eastAsia"/>
          <w:color w:val="1D1C1D"/>
          <w:sz w:val="20"/>
          <w:szCs w:val="20"/>
        </w:rPr>
        <w:instrText>该</w:instrText>
      </w:r>
      <w:r>
        <w:rPr>
          <w:rFonts w:ascii="MS Gothic" w:eastAsia="MS Gothic" w:hAnsi="MS Gothic" w:cs="MS Gothic" w:hint="eastAsia"/>
          <w:color w:val="1D1C1D"/>
          <w:sz w:val="20"/>
          <w:szCs w:val="20"/>
        </w:rPr>
        <w:instrText>肺炎的病毒被世界</w:instrText>
      </w:r>
      <w:r>
        <w:rPr>
          <w:rFonts w:ascii="Microsoft JhengHei" w:eastAsia="Microsoft JhengHei" w:hAnsi="Microsoft JhengHei" w:cs="Microsoft JhengHei" w:hint="eastAsia"/>
          <w:color w:val="1D1C1D"/>
          <w:sz w:val="20"/>
          <w:szCs w:val="20"/>
        </w:rPr>
        <w:instrText>卫</w:instrText>
      </w:r>
      <w:r>
        <w:rPr>
          <w:rFonts w:ascii="MS Gothic" w:eastAsia="MS Gothic" w:hAnsi="MS Gothic" w:cs="MS Gothic" w:hint="eastAsia"/>
          <w:color w:val="1D1C1D"/>
          <w:sz w:val="20"/>
          <w:szCs w:val="20"/>
        </w:rPr>
        <w:instrText>生</w:instrText>
      </w:r>
      <w:r>
        <w:rPr>
          <w:rFonts w:ascii="Microsoft JhengHei" w:eastAsia="Microsoft JhengHei" w:hAnsi="Microsoft JhengHei" w:cs="Microsoft JhengHei" w:hint="eastAsia"/>
          <w:color w:val="1D1C1D"/>
          <w:sz w:val="20"/>
          <w:szCs w:val="20"/>
        </w:rPr>
        <w:instrText>组织</w:instrText>
      </w:r>
      <w:r>
        <w:rPr>
          <w:rFonts w:ascii="MS Gothic" w:eastAsia="MS Gothic" w:hAnsi="MS Gothic" w:cs="MS Gothic" w:hint="eastAsia"/>
          <w:color w:val="1D1C1D"/>
          <w:sz w:val="20"/>
          <w:szCs w:val="20"/>
        </w:rPr>
        <w:instrText>命名</w:instrText>
      </w:r>
      <w:r>
        <w:rPr>
          <w:rFonts w:ascii="Microsoft JhengHei" w:eastAsia="Microsoft JhengHei" w:hAnsi="Microsoft JhengHei" w:cs="Microsoft JhengHei" w:hint="eastAsia"/>
          <w:color w:val="1D1C1D"/>
          <w:sz w:val="20"/>
          <w:szCs w:val="20"/>
        </w:rPr>
        <w:instrText>为</w:instrText>
      </w:r>
      <w:r>
        <w:rPr>
          <w:rFonts w:asciiTheme="minorBidi" w:hAnsiTheme="minorBidi"/>
          <w:color w:val="1D1C1D"/>
          <w:sz w:val="20"/>
          <w:szCs w:val="20"/>
        </w:rPr>
        <w:instrText>2019</w:instrText>
      </w:r>
      <w:r>
        <w:rPr>
          <w:rFonts w:ascii="MS Gothic" w:eastAsia="MS Gothic" w:hAnsi="MS Gothic" w:cs="MS Gothic" w:hint="eastAsia"/>
          <w:color w:val="1D1C1D"/>
          <w:sz w:val="20"/>
          <w:szCs w:val="20"/>
        </w:rPr>
        <w:instrText>新型冠状病毒</w:instrText>
      </w:r>
      <w:r>
        <w:rPr>
          <w:rFonts w:asciiTheme="minorBidi" w:hAnsiTheme="minorBidi"/>
          <w:color w:val="1D1C1D"/>
          <w:sz w:val="20"/>
          <w:szCs w:val="20"/>
        </w:rPr>
        <w:instrText>(2019-nCoV)</w:instrText>
      </w:r>
      <w:r>
        <w:rPr>
          <w:rFonts w:ascii="MS Gothic" w:eastAsia="MS Gothic" w:hAnsi="MS Gothic" w:cs="MS Gothic" w:hint="eastAsia"/>
          <w:color w:val="1D1C1D"/>
          <w:sz w:val="20"/>
          <w:szCs w:val="20"/>
        </w:rPr>
        <w:instrText>。</w:instrText>
      </w:r>
      <w:r>
        <w:rPr>
          <w:rFonts w:ascii="Microsoft JhengHei" w:eastAsia="Microsoft JhengHei" w:hAnsi="Microsoft JhengHei" w:cs="Microsoft JhengHei" w:hint="eastAsia"/>
          <w:color w:val="1D1C1D"/>
          <w:sz w:val="20"/>
          <w:szCs w:val="20"/>
        </w:rPr>
        <w:instrText>为</w:instrText>
      </w:r>
      <w:r>
        <w:rPr>
          <w:rFonts w:ascii="MS Gothic" w:eastAsia="MS Gothic" w:hAnsi="MS Gothic" w:cs="MS Gothic" w:hint="eastAsia"/>
          <w:color w:val="1D1C1D"/>
          <w:sz w:val="20"/>
          <w:szCs w:val="20"/>
        </w:rPr>
        <w:instrText>促</w:instrText>
      </w:r>
      <w:r>
        <w:rPr>
          <w:rFonts w:ascii="Microsoft JhengHei" w:eastAsia="Microsoft JhengHei" w:hAnsi="Microsoft JhengHei" w:cs="Microsoft JhengHei" w:hint="eastAsia"/>
          <w:color w:val="1D1C1D"/>
          <w:sz w:val="20"/>
          <w:szCs w:val="20"/>
        </w:rPr>
        <w:instrText>进</w:instrText>
      </w:r>
      <w:r>
        <w:rPr>
          <w:rFonts w:asciiTheme="minorBidi" w:hAnsiTheme="minorBidi"/>
          <w:color w:val="1D1C1D"/>
          <w:sz w:val="20"/>
          <w:szCs w:val="20"/>
        </w:rPr>
        <w:instrText>2019-nCoV</w:instrText>
      </w:r>
      <w:r>
        <w:rPr>
          <w:rFonts w:ascii="MS Gothic" w:eastAsia="MS Gothic" w:hAnsi="MS Gothic" w:cs="MS Gothic" w:hint="eastAsia"/>
          <w:color w:val="1D1C1D"/>
          <w:sz w:val="20"/>
          <w:szCs w:val="20"/>
        </w:rPr>
        <w:instrText>数据共享</w:instrText>
      </w:r>
      <w:r>
        <w:rPr>
          <w:rFonts w:ascii="Microsoft JhengHei" w:eastAsia="Microsoft JhengHei" w:hAnsi="Microsoft JhengHei" w:cs="Microsoft JhengHei" w:hint="eastAsia"/>
          <w:color w:val="1D1C1D"/>
          <w:sz w:val="20"/>
          <w:szCs w:val="20"/>
        </w:rPr>
        <w:instrText>应</w:instrText>
      </w:r>
      <w:r>
        <w:rPr>
          <w:rFonts w:ascii="MS Gothic" w:eastAsia="MS Gothic" w:hAnsi="MS Gothic" w:cs="MS Gothic" w:hint="eastAsia"/>
          <w:color w:val="1D1C1D"/>
          <w:sz w:val="20"/>
          <w:szCs w:val="20"/>
        </w:rPr>
        <w:instrText>用并及</w:instrText>
      </w:r>
      <w:r>
        <w:rPr>
          <w:rFonts w:ascii="Microsoft JhengHei" w:eastAsia="Microsoft JhengHei" w:hAnsi="Microsoft JhengHei" w:cs="Microsoft JhengHei" w:hint="eastAsia"/>
          <w:color w:val="1D1C1D"/>
          <w:sz w:val="20"/>
          <w:szCs w:val="20"/>
        </w:rPr>
        <w:instrText>时</w:instrText>
      </w:r>
      <w:r>
        <w:rPr>
          <w:rFonts w:ascii="MS Gothic" w:eastAsia="MS Gothic" w:hAnsi="MS Gothic" w:cs="MS Gothic" w:hint="eastAsia"/>
          <w:color w:val="1D1C1D"/>
          <w:sz w:val="20"/>
          <w:szCs w:val="20"/>
        </w:rPr>
        <w:instrText>向全球公众提供病毒的相关信息</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国家生物信息中心</w:instrText>
      </w:r>
      <w:r>
        <w:rPr>
          <w:rFonts w:asciiTheme="minorBidi" w:hAnsiTheme="minorBidi"/>
          <w:color w:val="1D1C1D"/>
          <w:sz w:val="20"/>
          <w:szCs w:val="20"/>
        </w:rPr>
        <w:instrText>(CNCB)/</w:instrText>
      </w:r>
      <w:r>
        <w:rPr>
          <w:rFonts w:ascii="MS Gothic" w:eastAsia="MS Gothic" w:hAnsi="MS Gothic" w:cs="MS Gothic" w:hint="eastAsia"/>
          <w:color w:val="1D1C1D"/>
          <w:sz w:val="20"/>
          <w:szCs w:val="20"/>
        </w:rPr>
        <w:instrText>国家基因</w:instrText>
      </w:r>
      <w:r>
        <w:rPr>
          <w:rFonts w:ascii="Microsoft JhengHei" w:eastAsia="Microsoft JhengHei" w:hAnsi="Microsoft JhengHei" w:cs="Microsoft JhengHei" w:hint="eastAsia"/>
          <w:color w:val="1D1C1D"/>
          <w:sz w:val="20"/>
          <w:szCs w:val="20"/>
        </w:rPr>
        <w:instrText>组</w:instrText>
      </w:r>
      <w:r>
        <w:rPr>
          <w:rFonts w:ascii="MS Gothic" w:eastAsia="MS Gothic" w:hAnsi="MS Gothic" w:cs="MS Gothic" w:hint="eastAsia"/>
          <w:color w:val="1D1C1D"/>
          <w:sz w:val="20"/>
          <w:szCs w:val="20"/>
        </w:rPr>
        <w:instrText>科学数据中心</w:instrText>
      </w:r>
      <w:r>
        <w:rPr>
          <w:rFonts w:asciiTheme="minorBidi" w:hAnsiTheme="minorBidi"/>
          <w:color w:val="1D1C1D"/>
          <w:sz w:val="20"/>
          <w:szCs w:val="20"/>
        </w:rPr>
        <w:instrText>(NGDC)</w:instrText>
      </w:r>
      <w:r>
        <w:rPr>
          <w:rFonts w:ascii="MS Gothic" w:eastAsia="MS Gothic" w:hAnsi="MS Gothic" w:cs="MS Gothic" w:hint="eastAsia"/>
          <w:color w:val="1D1C1D"/>
          <w:sz w:val="20"/>
          <w:szCs w:val="20"/>
        </w:rPr>
        <w:instrText>建立了</w:instrText>
      </w:r>
      <w:r>
        <w:rPr>
          <w:rFonts w:asciiTheme="minorBidi" w:hAnsiTheme="minorBidi"/>
          <w:color w:val="1D1C1D"/>
          <w:sz w:val="20"/>
          <w:szCs w:val="20"/>
        </w:rPr>
        <w:instrText>2019</w:instrText>
      </w:r>
      <w:r>
        <w:rPr>
          <w:rFonts w:ascii="MS Gothic" w:eastAsia="MS Gothic" w:hAnsi="MS Gothic" w:cs="MS Gothic" w:hint="eastAsia"/>
          <w:color w:val="1D1C1D"/>
          <w:sz w:val="20"/>
          <w:szCs w:val="20"/>
        </w:rPr>
        <w:instrText>新型冠状病毒信息</w:instrText>
      </w:r>
      <w:r>
        <w:rPr>
          <w:rFonts w:ascii="Microsoft JhengHei" w:eastAsia="Microsoft JhengHei" w:hAnsi="Microsoft JhengHei" w:cs="Microsoft JhengHei" w:hint="eastAsia"/>
          <w:color w:val="1D1C1D"/>
          <w:sz w:val="20"/>
          <w:szCs w:val="20"/>
        </w:rPr>
        <w:instrText>库</w:instrText>
      </w:r>
      <w:r>
        <w:rPr>
          <w:rFonts w:asciiTheme="minorBidi" w:hAnsiTheme="minorBidi"/>
          <w:color w:val="1D1C1D"/>
          <w:sz w:val="20"/>
          <w:szCs w:val="20"/>
        </w:rPr>
        <w:instrText>(2019nCoVR,https://bigd.big.ac.cn/ncov)</w:instrText>
      </w:r>
      <w:r>
        <w:rPr>
          <w:rFonts w:ascii="MS Gothic" w:eastAsia="MS Gothic" w:hAnsi="MS Gothic" w:cs="MS Gothic" w:hint="eastAsia"/>
          <w:color w:val="1D1C1D"/>
          <w:sz w:val="20"/>
          <w:szCs w:val="20"/>
        </w:rPr>
        <w:instrText>。</w:instrText>
      </w:r>
      <w:r>
        <w:rPr>
          <w:rFonts w:ascii="Microsoft JhengHei" w:eastAsia="Microsoft JhengHei" w:hAnsi="Microsoft JhengHei" w:cs="Microsoft JhengHei" w:hint="eastAsia"/>
          <w:color w:val="1D1C1D"/>
          <w:sz w:val="20"/>
          <w:szCs w:val="20"/>
        </w:rPr>
        <w:instrText>该</w:instrText>
      </w:r>
      <w:r>
        <w:rPr>
          <w:rFonts w:ascii="MS Gothic" w:eastAsia="MS Gothic" w:hAnsi="MS Gothic" w:cs="MS Gothic" w:hint="eastAsia"/>
          <w:color w:val="1D1C1D"/>
          <w:sz w:val="20"/>
          <w:szCs w:val="20"/>
        </w:rPr>
        <w:instrText>信息</w:instrText>
      </w:r>
      <w:r>
        <w:rPr>
          <w:rFonts w:ascii="Microsoft JhengHei" w:eastAsia="Microsoft JhengHei" w:hAnsi="Microsoft JhengHei" w:cs="Microsoft JhengHei" w:hint="eastAsia"/>
          <w:color w:val="1D1C1D"/>
          <w:sz w:val="20"/>
          <w:szCs w:val="20"/>
        </w:rPr>
        <w:instrText>库</w:instrText>
      </w:r>
      <w:r>
        <w:rPr>
          <w:rFonts w:ascii="MS Gothic" w:eastAsia="MS Gothic" w:hAnsi="MS Gothic" w:cs="MS Gothic" w:hint="eastAsia"/>
          <w:color w:val="1D1C1D"/>
          <w:sz w:val="20"/>
          <w:szCs w:val="20"/>
        </w:rPr>
        <w:instrText>整合了来自德国全球流感病毒数据</w:instrText>
      </w:r>
      <w:r>
        <w:rPr>
          <w:rFonts w:ascii="Microsoft JhengHei" w:eastAsia="Microsoft JhengHei" w:hAnsi="Microsoft JhengHei" w:cs="Microsoft JhengHei" w:hint="eastAsia"/>
          <w:color w:val="1D1C1D"/>
          <w:sz w:val="20"/>
          <w:szCs w:val="20"/>
        </w:rPr>
        <w:instrText>库</w:instrText>
      </w:r>
      <w:r>
        <w:rPr>
          <w:rFonts w:ascii="MS Gothic" w:eastAsia="MS Gothic" w:hAnsi="MS Gothic" w:cs="MS Gothic" w:hint="eastAsia"/>
          <w:color w:val="1D1C1D"/>
          <w:sz w:val="20"/>
          <w:szCs w:val="20"/>
        </w:rPr>
        <w:instrText>、美国国家生物技</w:instrText>
      </w:r>
      <w:r>
        <w:rPr>
          <w:rFonts w:ascii="Microsoft JhengHei" w:eastAsia="Microsoft JhengHei" w:hAnsi="Microsoft JhengHei" w:cs="Microsoft JhengHei" w:hint="eastAsia"/>
          <w:color w:val="1D1C1D"/>
          <w:sz w:val="20"/>
          <w:szCs w:val="20"/>
        </w:rPr>
        <w:instrText>术</w:instrText>
      </w:r>
      <w:r>
        <w:rPr>
          <w:rFonts w:ascii="MS Gothic" w:eastAsia="MS Gothic" w:hAnsi="MS Gothic" w:cs="MS Gothic" w:hint="eastAsia"/>
          <w:color w:val="1D1C1D"/>
          <w:sz w:val="20"/>
          <w:szCs w:val="20"/>
        </w:rPr>
        <w:instrText>信息中心、深圳</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国家</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基因</w:instrText>
      </w:r>
      <w:r>
        <w:rPr>
          <w:rFonts w:ascii="Microsoft JhengHei" w:eastAsia="Microsoft JhengHei" w:hAnsi="Microsoft JhengHei" w:cs="Microsoft JhengHei" w:hint="eastAsia"/>
          <w:color w:val="1D1C1D"/>
          <w:sz w:val="20"/>
          <w:szCs w:val="20"/>
        </w:rPr>
        <w:instrText>库</w:instrText>
      </w:r>
      <w:r>
        <w:rPr>
          <w:rFonts w:ascii="MS Gothic" w:eastAsia="MS Gothic" w:hAnsi="MS Gothic" w:cs="MS Gothic" w:hint="eastAsia"/>
          <w:color w:val="1D1C1D"/>
          <w:sz w:val="20"/>
          <w:szCs w:val="20"/>
        </w:rPr>
        <w:instrText>、国家微生物科学数据中心及</w:instrText>
      </w:r>
      <w:r>
        <w:rPr>
          <w:rFonts w:asciiTheme="minorBidi" w:hAnsiTheme="minorBidi"/>
          <w:color w:val="1D1C1D"/>
          <w:sz w:val="20"/>
          <w:szCs w:val="20"/>
        </w:rPr>
        <w:instrText>CNCB/NGDC</w:instrText>
      </w:r>
      <w:r>
        <w:rPr>
          <w:rFonts w:ascii="MS Gothic" w:eastAsia="MS Gothic" w:hAnsi="MS Gothic" w:cs="MS Gothic" w:hint="eastAsia"/>
          <w:color w:val="1D1C1D"/>
          <w:sz w:val="20"/>
          <w:szCs w:val="20"/>
        </w:rPr>
        <w:instrText>等机构公开</w:instrText>
      </w:r>
      <w:r>
        <w:rPr>
          <w:rFonts w:ascii="Microsoft JhengHei" w:eastAsia="Microsoft JhengHei" w:hAnsi="Microsoft JhengHei" w:cs="Microsoft JhengHei" w:hint="eastAsia"/>
          <w:color w:val="1D1C1D"/>
          <w:sz w:val="20"/>
          <w:szCs w:val="20"/>
        </w:rPr>
        <w:instrText>发</w:instrText>
      </w:r>
      <w:r>
        <w:rPr>
          <w:rFonts w:ascii="MS Gothic" w:eastAsia="MS Gothic" w:hAnsi="MS Gothic" w:cs="MS Gothic" w:hint="eastAsia"/>
          <w:color w:val="1D1C1D"/>
          <w:sz w:val="20"/>
          <w:szCs w:val="20"/>
        </w:rPr>
        <w:instrText>布的</w:instrText>
      </w:r>
      <w:r>
        <w:rPr>
          <w:rFonts w:asciiTheme="minorBidi" w:hAnsiTheme="minorBidi"/>
          <w:color w:val="1D1C1D"/>
          <w:sz w:val="20"/>
          <w:szCs w:val="20"/>
        </w:rPr>
        <w:instrText>2019-nCoV</w:instrText>
      </w:r>
      <w:r>
        <w:rPr>
          <w:rFonts w:ascii="MS Gothic" w:eastAsia="MS Gothic" w:hAnsi="MS Gothic" w:cs="MS Gothic" w:hint="eastAsia"/>
          <w:color w:val="1D1C1D"/>
          <w:sz w:val="20"/>
          <w:szCs w:val="20"/>
        </w:rPr>
        <w:instrText>核苷酸和蛋白</w:instrText>
      </w:r>
      <w:r>
        <w:rPr>
          <w:rFonts w:ascii="Microsoft JhengHei" w:eastAsia="Microsoft JhengHei" w:hAnsi="Microsoft JhengHei" w:cs="Microsoft JhengHei" w:hint="eastAsia"/>
          <w:color w:val="1D1C1D"/>
          <w:sz w:val="20"/>
          <w:szCs w:val="20"/>
        </w:rPr>
        <w:instrText>质</w:instrText>
      </w:r>
      <w:r>
        <w:rPr>
          <w:rFonts w:ascii="MS Gothic" w:eastAsia="MS Gothic" w:hAnsi="MS Gothic" w:cs="MS Gothic" w:hint="eastAsia"/>
          <w:color w:val="1D1C1D"/>
          <w:sz w:val="20"/>
          <w:szCs w:val="20"/>
        </w:rPr>
        <w:instrText>序列数据、元信息、学</w:instrText>
      </w:r>
      <w:r>
        <w:rPr>
          <w:rFonts w:ascii="Microsoft JhengHei" w:eastAsia="Microsoft JhengHei" w:hAnsi="Microsoft JhengHei" w:cs="Microsoft JhengHei" w:hint="eastAsia"/>
          <w:color w:val="1D1C1D"/>
          <w:sz w:val="20"/>
          <w:szCs w:val="20"/>
        </w:rPr>
        <w:instrText>术</w:instrText>
      </w:r>
      <w:r>
        <w:rPr>
          <w:rFonts w:ascii="MS Gothic" w:eastAsia="MS Gothic" w:hAnsi="MS Gothic" w:cs="MS Gothic" w:hint="eastAsia"/>
          <w:color w:val="1D1C1D"/>
          <w:sz w:val="20"/>
          <w:szCs w:val="20"/>
        </w:rPr>
        <w:instrText>文献、新</w:instrText>
      </w:r>
      <w:r>
        <w:rPr>
          <w:rFonts w:ascii="Microsoft JhengHei" w:eastAsia="Microsoft JhengHei" w:hAnsi="Microsoft JhengHei" w:cs="Microsoft JhengHei" w:hint="eastAsia"/>
          <w:color w:val="1D1C1D"/>
          <w:sz w:val="20"/>
          <w:szCs w:val="20"/>
        </w:rPr>
        <w:instrText>闻动态</w:instrText>
      </w:r>
      <w:r>
        <w:rPr>
          <w:rFonts w:ascii="MS Gothic" w:eastAsia="MS Gothic" w:hAnsi="MS Gothic" w:cs="MS Gothic" w:hint="eastAsia"/>
          <w:color w:val="1D1C1D"/>
          <w:sz w:val="20"/>
          <w:szCs w:val="20"/>
        </w:rPr>
        <w:instrText>、科普文章等信息</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开展了不同冠状病毒株的基因</w:instrText>
      </w:r>
      <w:r>
        <w:rPr>
          <w:rFonts w:ascii="Microsoft JhengHei" w:eastAsia="Microsoft JhengHei" w:hAnsi="Microsoft JhengHei" w:cs="Microsoft JhengHei" w:hint="eastAsia"/>
          <w:color w:val="1D1C1D"/>
          <w:sz w:val="20"/>
          <w:szCs w:val="20"/>
        </w:rPr>
        <w:instrText>组</w:instrText>
      </w:r>
      <w:r>
        <w:rPr>
          <w:rFonts w:ascii="MS Gothic" w:eastAsia="MS Gothic" w:hAnsi="MS Gothic" w:cs="MS Gothic" w:hint="eastAsia"/>
          <w:color w:val="1D1C1D"/>
          <w:sz w:val="20"/>
          <w:szCs w:val="20"/>
        </w:rPr>
        <w:instrText>序列</w:instrText>
      </w:r>
      <w:r>
        <w:rPr>
          <w:rFonts w:ascii="Microsoft JhengHei" w:eastAsia="Microsoft JhengHei" w:hAnsi="Microsoft JhengHei" w:cs="Microsoft JhengHei" w:hint="eastAsia"/>
          <w:color w:val="1D1C1D"/>
          <w:sz w:val="20"/>
          <w:szCs w:val="20"/>
        </w:rPr>
        <w:instrText>变</w:instrText>
      </w:r>
      <w:r>
        <w:rPr>
          <w:rFonts w:ascii="MS Gothic" w:eastAsia="MS Gothic" w:hAnsi="MS Gothic" w:cs="MS Gothic" w:hint="eastAsia"/>
          <w:color w:val="1D1C1D"/>
          <w:sz w:val="20"/>
          <w:szCs w:val="20"/>
        </w:rPr>
        <w:instrText>异分析并提供可</w:instrText>
      </w:r>
      <w:r>
        <w:rPr>
          <w:rFonts w:ascii="Microsoft JhengHei" w:eastAsia="Microsoft JhengHei" w:hAnsi="Microsoft JhengHei" w:cs="Microsoft JhengHei" w:hint="eastAsia"/>
          <w:color w:val="1D1C1D"/>
          <w:sz w:val="20"/>
          <w:szCs w:val="20"/>
        </w:rPr>
        <w:instrText>视</w:instrText>
      </w:r>
      <w:r>
        <w:rPr>
          <w:rFonts w:ascii="MS Gothic" w:eastAsia="MS Gothic" w:hAnsi="MS Gothic" w:cs="MS Gothic" w:hint="eastAsia"/>
          <w:color w:val="1D1C1D"/>
          <w:sz w:val="20"/>
          <w:szCs w:val="20"/>
        </w:rPr>
        <w:instrText>化展示。同</w:instrText>
      </w:r>
      <w:r>
        <w:rPr>
          <w:rFonts w:ascii="Microsoft JhengHei" w:eastAsia="Microsoft JhengHei" w:hAnsi="Microsoft JhengHei" w:cs="Microsoft JhengHei" w:hint="eastAsia"/>
          <w:color w:val="1D1C1D"/>
          <w:sz w:val="20"/>
          <w:szCs w:val="20"/>
        </w:rPr>
        <w:instrText>时</w:instrText>
      </w:r>
      <w:r>
        <w:rPr>
          <w:rFonts w:asciiTheme="minorBidi" w:hAnsiTheme="minorBidi"/>
          <w:color w:val="1D1C1D"/>
          <w:sz w:val="20"/>
          <w:szCs w:val="20"/>
        </w:rPr>
        <w:instrText>,2019nCoVR</w:instrText>
      </w:r>
      <w:r>
        <w:rPr>
          <w:rFonts w:ascii="MS Gothic" w:eastAsia="MS Gothic" w:hAnsi="MS Gothic" w:cs="MS Gothic" w:hint="eastAsia"/>
          <w:color w:val="1D1C1D"/>
          <w:sz w:val="20"/>
          <w:szCs w:val="20"/>
        </w:rPr>
        <w:instrText>无</w:instrText>
      </w:r>
      <w:r>
        <w:rPr>
          <w:rFonts w:ascii="Microsoft JhengHei" w:eastAsia="Microsoft JhengHei" w:hAnsi="Microsoft JhengHei" w:cs="Microsoft JhengHei" w:hint="eastAsia"/>
          <w:color w:val="1D1C1D"/>
          <w:sz w:val="20"/>
          <w:szCs w:val="20"/>
        </w:rPr>
        <w:instrText>缝对</w:instrText>
      </w:r>
      <w:r>
        <w:rPr>
          <w:rFonts w:ascii="MS Gothic" w:eastAsia="MS Gothic" w:hAnsi="MS Gothic" w:cs="MS Gothic" w:hint="eastAsia"/>
          <w:color w:val="1D1C1D"/>
          <w:sz w:val="20"/>
          <w:szCs w:val="20"/>
        </w:rPr>
        <w:instrText>接</w:instrText>
      </w:r>
      <w:r>
        <w:rPr>
          <w:rFonts w:asciiTheme="minorBidi" w:hAnsiTheme="minorBidi"/>
          <w:color w:val="1D1C1D"/>
          <w:sz w:val="20"/>
          <w:szCs w:val="20"/>
        </w:rPr>
        <w:instrText>CNCB/NGDC</w:instrText>
      </w:r>
      <w:r>
        <w:rPr>
          <w:rFonts w:ascii="MS Gothic" w:eastAsia="MS Gothic" w:hAnsi="MS Gothic" w:cs="MS Gothic" w:hint="eastAsia"/>
          <w:color w:val="1D1C1D"/>
          <w:sz w:val="20"/>
          <w:szCs w:val="20"/>
        </w:rPr>
        <w:instrText>的相关数据</w:instrText>
      </w:r>
      <w:r>
        <w:rPr>
          <w:rFonts w:ascii="Microsoft JhengHei" w:eastAsia="Microsoft JhengHei" w:hAnsi="Microsoft JhengHei" w:cs="Microsoft JhengHei" w:hint="eastAsia"/>
          <w:color w:val="1D1C1D"/>
          <w:sz w:val="20"/>
          <w:szCs w:val="20"/>
        </w:rPr>
        <w:instrText>库</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提供新</w:instrText>
      </w:r>
      <w:r>
        <w:rPr>
          <w:rFonts w:ascii="Microsoft JhengHei" w:eastAsia="Microsoft JhengHei" w:hAnsi="Microsoft JhengHei" w:cs="Microsoft JhengHei" w:hint="eastAsia"/>
          <w:color w:val="1D1C1D"/>
          <w:sz w:val="20"/>
          <w:szCs w:val="20"/>
        </w:rPr>
        <w:instrText>测</w:instrText>
      </w:r>
      <w:r>
        <w:rPr>
          <w:rFonts w:ascii="MS Gothic" w:eastAsia="MS Gothic" w:hAnsi="MS Gothic" w:cs="MS Gothic" w:hint="eastAsia"/>
          <w:color w:val="1D1C1D"/>
          <w:sz w:val="20"/>
          <w:szCs w:val="20"/>
        </w:rPr>
        <w:instrText>序病毒株系的基因</w:instrText>
      </w:r>
      <w:r>
        <w:rPr>
          <w:rFonts w:ascii="Microsoft JhengHei" w:eastAsia="Microsoft JhengHei" w:hAnsi="Microsoft JhengHei" w:cs="Microsoft JhengHei" w:hint="eastAsia"/>
          <w:color w:val="1D1C1D"/>
          <w:sz w:val="20"/>
          <w:szCs w:val="20"/>
        </w:rPr>
        <w:instrText>组</w:instrText>
      </w:r>
      <w:r>
        <w:rPr>
          <w:rFonts w:ascii="MS Gothic" w:eastAsia="MS Gothic" w:hAnsi="MS Gothic" w:cs="MS Gothic" w:hint="eastAsia"/>
          <w:color w:val="1D1C1D"/>
          <w:sz w:val="20"/>
          <w:szCs w:val="20"/>
        </w:rPr>
        <w:instrText>原始</w:instrText>
      </w:r>
      <w:r>
        <w:rPr>
          <w:rFonts w:ascii="Microsoft JhengHei" w:eastAsia="Microsoft JhengHei" w:hAnsi="Microsoft JhengHei" w:cs="Microsoft JhengHei" w:hint="eastAsia"/>
          <w:color w:val="1D1C1D"/>
          <w:sz w:val="20"/>
          <w:szCs w:val="20"/>
        </w:rPr>
        <w:instrText>测</w:instrText>
      </w:r>
      <w:r>
        <w:rPr>
          <w:rFonts w:ascii="MS Gothic" w:eastAsia="MS Gothic" w:hAnsi="MS Gothic" w:cs="MS Gothic" w:hint="eastAsia"/>
          <w:color w:val="1D1C1D"/>
          <w:sz w:val="20"/>
          <w:szCs w:val="20"/>
        </w:rPr>
        <w:instrText>序数据、</w:instrText>
      </w:r>
      <w:r>
        <w:rPr>
          <w:rFonts w:ascii="Microsoft JhengHei" w:eastAsia="Microsoft JhengHei" w:hAnsi="Microsoft JhengHei" w:cs="Microsoft JhengHei" w:hint="eastAsia"/>
          <w:color w:val="1D1C1D"/>
          <w:sz w:val="20"/>
          <w:szCs w:val="20"/>
        </w:rPr>
        <w:instrText>组</w:instrText>
      </w:r>
      <w:r>
        <w:rPr>
          <w:rFonts w:ascii="MS Gothic" w:eastAsia="MS Gothic" w:hAnsi="MS Gothic" w:cs="MS Gothic" w:hint="eastAsia"/>
          <w:color w:val="1D1C1D"/>
          <w:sz w:val="20"/>
          <w:szCs w:val="20"/>
        </w:rPr>
        <w:instrText>装后序列的在</w:instrText>
      </w:r>
      <w:r>
        <w:rPr>
          <w:rFonts w:ascii="Microsoft JhengHei" w:eastAsia="Microsoft JhengHei" w:hAnsi="Microsoft JhengHei" w:cs="Microsoft JhengHei" w:hint="eastAsia"/>
          <w:color w:val="1D1C1D"/>
          <w:sz w:val="20"/>
          <w:szCs w:val="20"/>
        </w:rPr>
        <w:instrText>线汇</w:instrText>
      </w:r>
      <w:r>
        <w:rPr>
          <w:rFonts w:ascii="MS Gothic" w:eastAsia="MS Gothic" w:hAnsi="MS Gothic" w:cs="MS Gothic" w:hint="eastAsia"/>
          <w:color w:val="1D1C1D"/>
          <w:sz w:val="20"/>
          <w:szCs w:val="20"/>
        </w:rPr>
        <w:instrText>交、管理与共享、国</w:instrText>
      </w:r>
      <w:r>
        <w:rPr>
          <w:rFonts w:ascii="Microsoft JhengHei" w:eastAsia="Microsoft JhengHei" w:hAnsi="Microsoft JhengHei" w:cs="Microsoft JhengHei" w:hint="eastAsia"/>
          <w:color w:val="1D1C1D"/>
          <w:sz w:val="20"/>
          <w:szCs w:val="20"/>
        </w:rPr>
        <w:instrText>际</w:instrText>
      </w:r>
      <w:r>
        <w:rPr>
          <w:rFonts w:ascii="MS Gothic" w:eastAsia="MS Gothic" w:hAnsi="MS Gothic" w:cs="MS Gothic" w:hint="eastAsia"/>
          <w:color w:val="1D1C1D"/>
          <w:sz w:val="20"/>
          <w:szCs w:val="20"/>
        </w:rPr>
        <w:instrText>数据</w:instrText>
      </w:r>
      <w:r>
        <w:rPr>
          <w:rFonts w:ascii="Microsoft JhengHei" w:eastAsia="Microsoft JhengHei" w:hAnsi="Microsoft JhengHei" w:cs="Microsoft JhengHei" w:hint="eastAsia"/>
          <w:color w:val="1D1C1D"/>
          <w:sz w:val="20"/>
          <w:szCs w:val="20"/>
        </w:rPr>
        <w:instrText>库</w:instrText>
      </w:r>
      <w:r>
        <w:rPr>
          <w:rFonts w:ascii="MS Gothic" w:eastAsia="MS Gothic" w:hAnsi="MS Gothic" w:cs="MS Gothic" w:hint="eastAsia"/>
          <w:color w:val="1D1C1D"/>
          <w:sz w:val="20"/>
          <w:szCs w:val="20"/>
        </w:rPr>
        <w:instrText>同步</w:instrText>
      </w:r>
      <w:r>
        <w:rPr>
          <w:rFonts w:ascii="Microsoft JhengHei" w:eastAsia="Microsoft JhengHei" w:hAnsi="Microsoft JhengHei" w:cs="Microsoft JhengHei" w:hint="eastAsia"/>
          <w:color w:val="1D1C1D"/>
          <w:sz w:val="20"/>
          <w:szCs w:val="20"/>
        </w:rPr>
        <w:instrText>发</w:instrText>
      </w:r>
      <w:r>
        <w:rPr>
          <w:rFonts w:ascii="MS Gothic" w:eastAsia="MS Gothic" w:hAnsi="MS Gothic" w:cs="MS Gothic" w:hint="eastAsia"/>
          <w:color w:val="1D1C1D"/>
          <w:sz w:val="20"/>
          <w:szCs w:val="20"/>
        </w:rPr>
        <w:instrText>布等数据服</w:instrText>
      </w:r>
      <w:r>
        <w:rPr>
          <w:rFonts w:ascii="Microsoft JhengHei" w:eastAsia="Microsoft JhengHei" w:hAnsi="Microsoft JhengHei" w:cs="Microsoft JhengHei" w:hint="eastAsia"/>
          <w:color w:val="1D1C1D"/>
          <w:sz w:val="20"/>
          <w:szCs w:val="20"/>
        </w:rPr>
        <w:instrText>务</w:instrText>
      </w:r>
      <w:r>
        <w:rPr>
          <w:rFonts w:ascii="MS Gothic" w:eastAsia="MS Gothic" w:hAnsi="MS Gothic" w:cs="MS Gothic" w:hint="eastAsia"/>
          <w:color w:val="1D1C1D"/>
          <w:sz w:val="20"/>
          <w:szCs w:val="20"/>
        </w:rPr>
        <w:instrText>。本文</w:instrText>
      </w:r>
      <w:r>
        <w:rPr>
          <w:rFonts w:ascii="Microsoft JhengHei" w:eastAsia="Microsoft JhengHei" w:hAnsi="Microsoft JhengHei" w:cs="Microsoft JhengHei" w:hint="eastAsia"/>
          <w:color w:val="1D1C1D"/>
          <w:sz w:val="20"/>
          <w:szCs w:val="20"/>
        </w:rPr>
        <w:instrText>对</w:instrText>
      </w:r>
      <w:r>
        <w:rPr>
          <w:rFonts w:asciiTheme="minorBidi" w:hAnsiTheme="minorBidi"/>
          <w:color w:val="1D1C1D"/>
          <w:sz w:val="20"/>
          <w:szCs w:val="20"/>
        </w:rPr>
        <w:instrText>2019nCoVR</w:instrText>
      </w:r>
      <w:r>
        <w:rPr>
          <w:rFonts w:ascii="MS Gothic" w:eastAsia="MS Gothic" w:hAnsi="MS Gothic" w:cs="MS Gothic" w:hint="eastAsia"/>
          <w:color w:val="1D1C1D"/>
          <w:sz w:val="20"/>
          <w:szCs w:val="20"/>
        </w:rPr>
        <w:instrText>数据</w:instrText>
      </w:r>
      <w:r>
        <w:rPr>
          <w:rFonts w:ascii="Microsoft JhengHei" w:eastAsia="Microsoft JhengHei" w:hAnsi="Microsoft JhengHei" w:cs="Microsoft JhengHei" w:hint="eastAsia"/>
          <w:color w:val="1D1C1D"/>
          <w:sz w:val="20"/>
          <w:szCs w:val="20"/>
        </w:rPr>
        <w:instrText>汇</w:instrText>
      </w:r>
      <w:r>
        <w:rPr>
          <w:rFonts w:ascii="MS Gothic" w:eastAsia="MS Gothic" w:hAnsi="MS Gothic" w:cs="MS Gothic" w:hint="eastAsia"/>
          <w:color w:val="1D1C1D"/>
          <w:sz w:val="20"/>
          <w:szCs w:val="20"/>
        </w:rPr>
        <w:instrText>交、管理、</w:instrText>
      </w:r>
      <w:r>
        <w:rPr>
          <w:rFonts w:ascii="Microsoft JhengHei" w:eastAsia="Microsoft JhengHei" w:hAnsi="Microsoft JhengHei" w:cs="Microsoft JhengHei" w:hint="eastAsia"/>
          <w:color w:val="1D1C1D"/>
          <w:sz w:val="20"/>
          <w:szCs w:val="20"/>
        </w:rPr>
        <w:instrText>发</w:instrText>
      </w:r>
      <w:r>
        <w:rPr>
          <w:rFonts w:ascii="MS Gothic" w:eastAsia="MS Gothic" w:hAnsi="MS Gothic" w:cs="MS Gothic" w:hint="eastAsia"/>
          <w:color w:val="1D1C1D"/>
          <w:sz w:val="20"/>
          <w:szCs w:val="20"/>
        </w:rPr>
        <w:instrText>布及使用等</w:instrText>
      </w:r>
      <w:r>
        <w:rPr>
          <w:rFonts w:ascii="Microsoft JhengHei" w:eastAsia="Microsoft JhengHei" w:hAnsi="Microsoft JhengHei" w:cs="Microsoft JhengHei" w:hint="eastAsia"/>
          <w:color w:val="1D1C1D"/>
          <w:sz w:val="20"/>
          <w:szCs w:val="20"/>
        </w:rPr>
        <w:instrText>进</w:instrText>
      </w:r>
      <w:r>
        <w:rPr>
          <w:rFonts w:ascii="MS Gothic" w:eastAsia="MS Gothic" w:hAnsi="MS Gothic" w:cs="MS Gothic" w:hint="eastAsia"/>
          <w:color w:val="1D1C1D"/>
          <w:sz w:val="20"/>
          <w:szCs w:val="20"/>
        </w:rPr>
        <w:instrText>行全面</w:instrText>
      </w:r>
      <w:r>
        <w:rPr>
          <w:rFonts w:ascii="Microsoft JhengHei" w:eastAsia="Microsoft JhengHei" w:hAnsi="Microsoft JhengHei" w:cs="Microsoft JhengHei" w:hint="eastAsia"/>
          <w:color w:val="1D1C1D"/>
          <w:sz w:val="20"/>
          <w:szCs w:val="20"/>
        </w:rPr>
        <w:instrText>阐</w:instrText>
      </w:r>
      <w:r>
        <w:rPr>
          <w:rFonts w:ascii="MS Gothic" w:eastAsia="MS Gothic" w:hAnsi="MS Gothic" w:cs="MS Gothic" w:hint="eastAsia"/>
          <w:color w:val="1D1C1D"/>
          <w:sz w:val="20"/>
          <w:szCs w:val="20"/>
        </w:rPr>
        <w:instrText>述</w:instrText>
      </w:r>
      <w:r>
        <w:rPr>
          <w:rFonts w:asciiTheme="minorBidi" w:hAnsiTheme="minorBidi"/>
          <w:color w:val="1D1C1D"/>
          <w:sz w:val="20"/>
          <w:szCs w:val="20"/>
        </w:rPr>
        <w:instrText>,</w:instrText>
      </w:r>
      <w:r>
        <w:rPr>
          <w:rFonts w:ascii="MS Gothic" w:eastAsia="MS Gothic" w:hAnsi="MS Gothic" w:cs="MS Gothic" w:hint="eastAsia"/>
          <w:color w:val="1D1C1D"/>
          <w:sz w:val="20"/>
          <w:szCs w:val="20"/>
        </w:rPr>
        <w:instrText>以方便用</w:instrText>
      </w:r>
      <w:r>
        <w:rPr>
          <w:rFonts w:ascii="Microsoft JhengHei" w:eastAsia="Microsoft JhengHei" w:hAnsi="Microsoft JhengHei" w:cs="Microsoft JhengHei" w:hint="eastAsia"/>
          <w:color w:val="1D1C1D"/>
          <w:sz w:val="20"/>
          <w:szCs w:val="20"/>
        </w:rPr>
        <w:instrText>户</w:instrText>
      </w:r>
      <w:r>
        <w:rPr>
          <w:rFonts w:ascii="MS Gothic" w:eastAsia="MS Gothic" w:hAnsi="MS Gothic" w:cs="MS Gothic" w:hint="eastAsia"/>
          <w:color w:val="1D1C1D"/>
          <w:sz w:val="20"/>
          <w:szCs w:val="20"/>
        </w:rPr>
        <w:instrText>了解</w:instrText>
      </w:r>
      <w:r>
        <w:rPr>
          <w:rFonts w:ascii="Microsoft JhengHei" w:eastAsia="Microsoft JhengHei" w:hAnsi="Microsoft JhengHei" w:cs="Microsoft JhengHei" w:hint="eastAsia"/>
          <w:color w:val="1D1C1D"/>
          <w:sz w:val="20"/>
          <w:szCs w:val="20"/>
        </w:rPr>
        <w:instrText>该</w:instrText>
      </w:r>
      <w:r>
        <w:rPr>
          <w:rFonts w:ascii="MS Gothic" w:eastAsia="MS Gothic" w:hAnsi="MS Gothic" w:cs="MS Gothic" w:hint="eastAsia"/>
          <w:color w:val="1D1C1D"/>
          <w:sz w:val="20"/>
          <w:szCs w:val="20"/>
        </w:rPr>
        <w:instrText>信息</w:instrText>
      </w:r>
      <w:r>
        <w:rPr>
          <w:rFonts w:ascii="Microsoft JhengHei" w:eastAsia="Microsoft JhengHei" w:hAnsi="Microsoft JhengHei" w:cs="Microsoft JhengHei" w:hint="eastAsia"/>
          <w:color w:val="1D1C1D"/>
          <w:sz w:val="20"/>
          <w:szCs w:val="20"/>
        </w:rPr>
        <w:instrText>库</w:instrText>
      </w:r>
      <w:r>
        <w:rPr>
          <w:rFonts w:ascii="MS Gothic" w:eastAsia="MS Gothic" w:hAnsi="MS Gothic" w:cs="MS Gothic" w:hint="eastAsia"/>
          <w:color w:val="1D1C1D"/>
          <w:sz w:val="20"/>
          <w:szCs w:val="20"/>
        </w:rPr>
        <w:instrText>各</w:instrText>
      </w:r>
      <w:r>
        <w:rPr>
          <w:rFonts w:ascii="Microsoft JhengHei" w:eastAsia="Microsoft JhengHei" w:hAnsi="Microsoft JhengHei" w:cs="Microsoft JhengHei" w:hint="eastAsia"/>
          <w:color w:val="1D1C1D"/>
          <w:sz w:val="20"/>
          <w:szCs w:val="20"/>
        </w:rPr>
        <w:instrText>项</w:instrText>
      </w:r>
      <w:r>
        <w:rPr>
          <w:rFonts w:ascii="MS Gothic" w:eastAsia="MS Gothic" w:hAnsi="MS Gothic" w:cs="MS Gothic" w:hint="eastAsia"/>
          <w:color w:val="1D1C1D"/>
          <w:sz w:val="20"/>
          <w:szCs w:val="20"/>
        </w:rPr>
        <w:instrText>功能及数据状况</w:instrText>
      </w:r>
      <w:r>
        <w:rPr>
          <w:rFonts w:asciiTheme="minorBidi" w:hAnsiTheme="minorBidi"/>
          <w:color w:val="1D1C1D"/>
          <w:sz w:val="20"/>
          <w:szCs w:val="20"/>
        </w:rPr>
        <w:instrText>,</w:instrText>
      </w:r>
      <w:r>
        <w:rPr>
          <w:rFonts w:ascii="Microsoft JhengHei" w:eastAsia="Microsoft JhengHei" w:hAnsi="Microsoft JhengHei" w:cs="Microsoft JhengHei" w:hint="eastAsia"/>
          <w:color w:val="1D1C1D"/>
          <w:sz w:val="20"/>
          <w:szCs w:val="20"/>
        </w:rPr>
        <w:instrText>为</w:instrText>
      </w:r>
      <w:r>
        <w:rPr>
          <w:rFonts w:ascii="MS Gothic" w:eastAsia="MS Gothic" w:hAnsi="MS Gothic" w:cs="MS Gothic" w:hint="eastAsia"/>
          <w:color w:val="1D1C1D"/>
          <w:sz w:val="20"/>
          <w:szCs w:val="20"/>
        </w:rPr>
        <w:instrText>加速开展病毒的分</w:instrText>
      </w:r>
      <w:r>
        <w:rPr>
          <w:rFonts w:ascii="Yu Gothic" w:eastAsia="Yu Gothic" w:hAnsi="Yu Gothic" w:cs="Yu Gothic" w:hint="eastAsia"/>
          <w:color w:val="1D1C1D"/>
          <w:sz w:val="20"/>
          <w:szCs w:val="20"/>
        </w:rPr>
        <w:instrText>类</w:instrText>
      </w:r>
      <w:r>
        <w:rPr>
          <w:rFonts w:ascii="MS Gothic" w:eastAsia="MS Gothic" w:hAnsi="MS Gothic" w:cs="MS Gothic" w:hint="eastAsia"/>
          <w:color w:val="1D1C1D"/>
          <w:sz w:val="20"/>
          <w:szCs w:val="20"/>
        </w:rPr>
        <w:instrText>溯源、</w:instrText>
      </w:r>
      <w:r>
        <w:rPr>
          <w:rFonts w:ascii="Microsoft JhengHei" w:eastAsia="Microsoft JhengHei" w:hAnsi="Microsoft JhengHei" w:cs="Microsoft JhengHei" w:hint="eastAsia"/>
          <w:color w:val="1D1C1D"/>
          <w:sz w:val="20"/>
          <w:szCs w:val="20"/>
        </w:rPr>
        <w:instrText>变</w:instrText>
      </w:r>
      <w:r>
        <w:rPr>
          <w:rFonts w:ascii="MS Gothic" w:eastAsia="MS Gothic" w:hAnsi="MS Gothic" w:cs="MS Gothic" w:hint="eastAsia"/>
          <w:color w:val="1D1C1D"/>
          <w:sz w:val="20"/>
          <w:szCs w:val="20"/>
        </w:rPr>
        <w:instrText>异演化、快速</w:instrText>
      </w:r>
      <w:r>
        <w:rPr>
          <w:rFonts w:ascii="Microsoft JhengHei" w:eastAsia="Microsoft JhengHei" w:hAnsi="Microsoft JhengHei" w:cs="Microsoft JhengHei" w:hint="eastAsia"/>
          <w:color w:val="1D1C1D"/>
          <w:sz w:val="20"/>
          <w:szCs w:val="20"/>
        </w:rPr>
        <w:instrText>检测</w:instrText>
      </w:r>
      <w:r>
        <w:rPr>
          <w:rFonts w:ascii="MS Gothic" w:eastAsia="MS Gothic" w:hAnsi="MS Gothic" w:cs="MS Gothic" w:hint="eastAsia"/>
          <w:color w:val="1D1C1D"/>
          <w:sz w:val="20"/>
          <w:szCs w:val="20"/>
        </w:rPr>
        <w:instrText>、</w:instrText>
      </w:r>
      <w:r>
        <w:rPr>
          <w:rFonts w:ascii="Microsoft JhengHei" w:eastAsia="Microsoft JhengHei" w:hAnsi="Microsoft JhengHei" w:cs="Microsoft JhengHei" w:hint="eastAsia"/>
          <w:color w:val="1D1C1D"/>
          <w:sz w:val="20"/>
          <w:szCs w:val="20"/>
        </w:rPr>
        <w:instrText>药</w:instrText>
      </w:r>
      <w:r>
        <w:rPr>
          <w:rFonts w:ascii="MS Gothic" w:eastAsia="MS Gothic" w:hAnsi="MS Gothic" w:cs="MS Gothic" w:hint="eastAsia"/>
          <w:color w:val="1D1C1D"/>
          <w:sz w:val="20"/>
          <w:szCs w:val="20"/>
        </w:rPr>
        <w:instrText>物研</w:instrText>
      </w:r>
      <w:r>
        <w:rPr>
          <w:rFonts w:ascii="Microsoft JhengHei" w:eastAsia="Microsoft JhengHei" w:hAnsi="Microsoft JhengHei" w:cs="Microsoft JhengHei" w:hint="eastAsia"/>
          <w:color w:val="1D1C1D"/>
          <w:sz w:val="20"/>
          <w:szCs w:val="20"/>
        </w:rPr>
        <w:instrText>发</w:instrText>
      </w:r>
      <w:r>
        <w:rPr>
          <w:rFonts w:ascii="MS Gothic" w:eastAsia="MS Gothic" w:hAnsi="MS Gothic" w:cs="MS Gothic" w:hint="eastAsia"/>
          <w:color w:val="1D1C1D"/>
          <w:sz w:val="20"/>
          <w:szCs w:val="20"/>
        </w:rPr>
        <w:instrText>以及新型肺炎的精准</w:instrText>
      </w:r>
      <w:r>
        <w:rPr>
          <w:rFonts w:ascii="Microsoft JhengHei" w:eastAsia="Microsoft JhengHei" w:hAnsi="Microsoft JhengHei" w:cs="Microsoft JhengHei" w:hint="eastAsia"/>
          <w:color w:val="1D1C1D"/>
          <w:sz w:val="20"/>
          <w:szCs w:val="20"/>
        </w:rPr>
        <w:instrText>预</w:instrText>
      </w:r>
      <w:r>
        <w:rPr>
          <w:rFonts w:ascii="MS Gothic" w:eastAsia="MS Gothic" w:hAnsi="MS Gothic" w:cs="MS Gothic" w:hint="eastAsia"/>
          <w:color w:val="1D1C1D"/>
          <w:sz w:val="20"/>
          <w:szCs w:val="20"/>
        </w:rPr>
        <w:instrText>防与治</w:instrText>
      </w:r>
      <w:r>
        <w:rPr>
          <w:rFonts w:ascii="Microsoft JhengHei" w:eastAsia="Microsoft JhengHei" w:hAnsi="Microsoft JhengHei" w:cs="Microsoft JhengHei" w:hint="eastAsia"/>
          <w:color w:val="1D1C1D"/>
          <w:sz w:val="20"/>
          <w:szCs w:val="20"/>
        </w:rPr>
        <w:instrText>疗</w:instrText>
      </w:r>
      <w:r>
        <w:rPr>
          <w:rFonts w:ascii="MS Gothic" w:eastAsia="MS Gothic" w:hAnsi="MS Gothic" w:cs="MS Gothic" w:hint="eastAsia"/>
          <w:color w:val="1D1C1D"/>
          <w:sz w:val="20"/>
          <w:szCs w:val="20"/>
        </w:rPr>
        <w:instrText>等研究提供重要基</w:instrText>
      </w:r>
      <w:r>
        <w:rPr>
          <w:rFonts w:ascii="Microsoft JhengHei" w:eastAsia="Microsoft JhengHei" w:hAnsi="Microsoft JhengHei" w:cs="Microsoft JhengHei" w:hint="eastAsia"/>
          <w:color w:val="1D1C1D"/>
          <w:sz w:val="20"/>
          <w:szCs w:val="20"/>
        </w:rPr>
        <w:instrText>础</w:instrText>
      </w:r>
      <w:r>
        <w:rPr>
          <w:rFonts w:ascii="MS Gothic" w:eastAsia="MS Gothic" w:hAnsi="MS Gothic" w:cs="MS Gothic" w:hint="eastAsia"/>
          <w:color w:val="1D1C1D"/>
          <w:sz w:val="20"/>
          <w:szCs w:val="20"/>
        </w:rPr>
        <w:instrText>。</w:instrText>
      </w:r>
      <w:r>
        <w:rPr>
          <w:rFonts w:asciiTheme="minorBidi" w:hAnsiTheme="minorBidi"/>
          <w:color w:val="1D1C1D"/>
          <w:sz w:val="20"/>
          <w:szCs w:val="20"/>
        </w:rPr>
        <w:instrText>.","author":[{"dropping-particle":"","family":"Zhao","given":"Wen-Ming","non-dropping-particle":"","parse-names":false,"suffix":""},{"dropping-particle":"","family":"Song","given":"Shu-Hui","non-dropping-particle":"","parse-names":false,"suffix":""},{"dropping-particle":"","family":"Chen","given":"Mei-Li","non-dropping-particle":"","parse-names":false,"suffix":""},{"dropping-particle":"","family":"Zou","given":"Dong","non-dropping-particle":"","parse-names":false,"suffix":""},{"dropping-particle":"","family":"Ma","given":"Li-Na","non-dropping-particle":"","parse-names":false,"suffix":""},{"dropping-particle":"","family":"Ma","given":"Ying-Ke","non-dropping-particle":"","parse-names":false,"suffix":""},{"dropping-particle":"","family":"Li","given":"Ru-Jiao","non-dropping-particle":"","parse-names":false,"suffix":""},{"dropping-particle":"","family":"Hao","given":"Li-Li","non-dropping-particle":"","parse-names":false,"suffix":""},{"dropping-particle":"","family":"Li","given":"Cui-Ping","non-dropping-particle":"","parse-names":false,"suffix":""},{"dropping-particle":"","family":"Tian","given":"Dong-Mei","non-dropping-particle":"","parse-names":false,"suffix":""},{"dropping-particle":"","family":"Tang","given":"Bi-Xia","non-dropping-particle":"","parse-names":false,"suffix":""},{"dropping-particle":"","family":"Wang","given":"Yan-Qing","non-dropping-particle":"","parse-names":false,"suffix":""},{"dropping-particle":"","family":"Zhu","given":"Jun-Wei","non-dropping-particle":"","parse-names":false,"suffix":""},{"dropping-particle":"","family":"Chen","given":"Huan-Xin","non-dropping-particle":"","parse-names":false,"suffix":""},{"dropping-particle":"","family":"Zhang","given":"Zhang","non-dropping-particle":"","parse-names":false,"suffix":""},{"dropping-particle":"","family":"Xue","given":"Yong-Biao","non-dropping-particle":"","parse-names":false,"suffix":""},{"dropping-particle":"","family":"Bao","given":"Yi-Ming","non-dropping-particle":"","parse-names":false,"suffix":""}],"container-title":"Yi chuan = Hereditas","id":"ITEM-1","issue":"2","issued":{"date-parts":[["2020","2","20"]]},"page":"212-221","title":"The 2019 novel coronavirus resource.","type":"article-journal","volume":"42"},"uris":["http://www.mendeley.com/documents/?uuid=a54bb361-6981-4c70-8c68-d9bdcbe84691"]}],"mendeley":{"formattedCitation":"(2)","plainTextFormattedCitation":"(2)","previouslyFormattedCitation":"(2)"},"properties":{"noteIndex":0},"schema":"https://github.com/citation-style-language/schema/raw/master/csl-citation.json"}</w:instrText>
      </w:r>
      <w:r>
        <w:rPr>
          <w:rFonts w:asciiTheme="minorBidi" w:hAnsiTheme="minorBidi"/>
          <w:color w:val="1D1C1D"/>
          <w:sz w:val="20"/>
          <w:szCs w:val="20"/>
        </w:rPr>
        <w:fldChar w:fldCharType="separate"/>
      </w:r>
      <w:r w:rsidRPr="00FB114B">
        <w:rPr>
          <w:rFonts w:asciiTheme="minorBidi" w:hAnsiTheme="minorBidi"/>
          <w:noProof/>
          <w:color w:val="1D1C1D"/>
          <w:sz w:val="20"/>
          <w:szCs w:val="20"/>
        </w:rPr>
        <w:t>(2)</w:t>
      </w:r>
      <w:r>
        <w:rPr>
          <w:rFonts w:asciiTheme="minorBidi" w:hAnsiTheme="minorBidi"/>
          <w:color w:val="1D1C1D"/>
          <w:sz w:val="20"/>
          <w:szCs w:val="20"/>
        </w:rPr>
        <w:fldChar w:fldCharType="end"/>
      </w:r>
      <w:r>
        <w:rPr>
          <w:color w:val="000000"/>
        </w:rPr>
        <w:t xml:space="preserve"> </w:t>
      </w:r>
      <w:r w:rsidRPr="001A3894">
        <w:rPr>
          <w:color w:val="000000"/>
        </w:rPr>
        <w:t>on September 14th, 2020. We obtained 52,061</w:t>
      </w:r>
      <w:r>
        <w:rPr>
          <w:color w:val="000000"/>
        </w:rPr>
        <w:t xml:space="preserve"> SARS-CoV-2 sequences after filtering out incomplete and low-quality ones according to the meta data from CNCB. These sequences were then aligned to Wuhan-Hu-1 using minimap2 </w:t>
      </w:r>
      <w:r>
        <w:rPr>
          <w:color w:val="000000"/>
        </w:rPr>
        <w:fldChar w:fldCharType="begin" w:fldLock="1"/>
      </w:r>
      <w:r>
        <w:rPr>
          <w:color w:val="000000"/>
        </w:rPr>
        <w:instrText>ADDIN CSL_CITATION {"citationItems":[{"id":"ITEM-1","itemData":{"DOI":"10.1093/bioinformatics/bty191","ISSN":"14602059","PMID":"29750242","abstract":"Motivation: Recent advances in sequencing technologies promise ultra-long reads of ~100 kb in average, full-length mRNA or cDNA reads in high throughput and genomic contigs over 100 Mb in length. Existing alignment programs are unable or inefficient to process such data at scale, which presses for the development of new alignment algorithms. Results: Minimap2 is a general-purpose alignment program to map DNA or long mRNA sequences against a large reference database. It works with accurate short reads of ≥100 bp in length, ≥1 kb genomic reads at error rate ~15%, full-length noisy Direct RNA or cDNA reads and assembly contigs or closely related full chromosomes of hundreds of megabases in length. Minimap2 does split-read alignment, employs concave gap cost for long insertions and deletions and introduces new heuristics to reduce spurious alignments. It is 3–4 times as fast as mainstream short-read mappers at comparable accuracy, and is ≥30 times faster than long-read genomic or cDNA mappers at higher accuracy, surpassing most aligners specialized in one type of alignment.","author":[{"dropping-particle":"","family":"Li","given":"Heng","non-dropping-particle":"","parse-names":false,"suffix":""}],"container-title":"Bioinformatics","id":"ITEM-1","issue":"18","issued":{"date-parts":[["2018"]]},"page":"3094-3100","publisher":"Oxford University Press","title":"Minimap2: Pairwise alignment for nucleotide sequences","type":"article-journal","volume":"34"},"uris":["http://www.mendeley.com/documents/?uuid=595c56f4-6afe-4979-a32d-16b79a43a558"]}],"mendeley":{"formattedCitation":"(3)","plainTextFormattedCitation":"(3)","previouslyFormattedCitation":"(3)"},"properties":{"noteIndex":0},"schema":"https://github.com/citation-style-language/schema/raw/master/csl-citation.json"}</w:instrText>
      </w:r>
      <w:r>
        <w:rPr>
          <w:color w:val="000000"/>
        </w:rPr>
        <w:fldChar w:fldCharType="separate"/>
      </w:r>
      <w:r w:rsidRPr="00FB114B">
        <w:rPr>
          <w:noProof/>
          <w:color w:val="000000"/>
        </w:rPr>
        <w:t>(3)</w:t>
      </w:r>
      <w:r>
        <w:rPr>
          <w:color w:val="000000"/>
        </w:rPr>
        <w:fldChar w:fldCharType="end"/>
      </w:r>
      <w:r>
        <w:rPr>
          <w:color w:val="000000"/>
        </w:rPr>
        <w:t xml:space="preserve">. Single nucleotide variants were called using bcftools </w:t>
      </w:r>
      <w:r>
        <w:rPr>
          <w:color w:val="000000"/>
        </w:rPr>
        <w:fldChar w:fldCharType="begin" w:fldLock="1"/>
      </w:r>
      <w:r>
        <w:rPr>
          <w:color w:val="000000"/>
        </w:rPr>
        <w:instrText>ADDIN CSL_CITATION {"citationItems":[{"id":"ITEM-1","itemData":{"DOI":"10.1093/bioinformatics/btr509","ISSN":"1367-4811","PMID":"21903627","abstract":"MOTIVATION Most existing methods for DNA sequence analysis rely on accurate sequences or genotypes. However, in applications of the next-generation sequencing (NGS), accurate genotypes may not be easily obtained (e.g. multi-sample low-coverage sequencing or somatic mutation discovery). These applications press for the development of new methods for analyzing sequence data with uncertainty. RESULTS We present a statistical framework for calling SNPs, discovering somatic mutations, inferring population genetical parameters and performing association tests directly based on sequencing data without explicit genotyping or linkage-based imputation. On real data, we demonstrate that our method achieves comparable accuracy to alternative methods for estimating site allele count, for inferring allele frequency spectrum and for association mapping. We also highlight the necessity of using symmetric datasets for finding somatic mutations and confirm that for discovering rare events, mismapping is frequently the leading source of errors. AVAILABILITY http://samtools.sourceforge.net. CONTACT hengli@broadinstitute.org.","author":[{"dropping-particle":"","family":"Li","given":"Heng","non-dropping-particle":"","parse-names":false,"suffix":""}],"container-title":"Bioinformatics (Oxford, England)","id":"ITEM-1","issue":"21","issued":{"date-parts":[["2011","11","1"]]},"page":"2987-93","publisher":"Oxford University Press","title":"A statistical framework for SNP calling, mutation discovery, association mapping and population genetical parameter estimation from sequencing data.","type":"article-journal","volume":"27"},"uris":["http://www.mendeley.com/documents/?uuid=be4874a2-683d-4e80-a2f0-e643258a2266"]}],"mendeley":{"formattedCitation":"(4)","plainTextFormattedCitation":"(4)","previouslyFormattedCitation":"(4)"},"properties":{"noteIndex":0},"schema":"https://github.com/citation-style-language/schema/raw/master/csl-citation.json"}</w:instrText>
      </w:r>
      <w:r>
        <w:rPr>
          <w:color w:val="000000"/>
        </w:rPr>
        <w:fldChar w:fldCharType="separate"/>
      </w:r>
      <w:r w:rsidRPr="00FB114B">
        <w:rPr>
          <w:noProof/>
          <w:color w:val="000000"/>
        </w:rPr>
        <w:t>(4)</w:t>
      </w:r>
      <w:r>
        <w:rPr>
          <w:color w:val="000000"/>
        </w:rPr>
        <w:fldChar w:fldCharType="end"/>
      </w:r>
      <w:r>
        <w:rPr>
          <w:color w:val="000000"/>
        </w:rPr>
        <w:t xml:space="preserve"> and then converted into amino acid variants with an internal R script. The number of unique amino acid variants at each position was calculated.  </w:t>
      </w:r>
    </w:p>
    <w:p w14:paraId="3E550475" w14:textId="77777777" w:rsidR="000B15D7" w:rsidRPr="008F2B7C" w:rsidRDefault="000B15D7" w:rsidP="000B15D7">
      <w:pPr>
        <w:jc w:val="both"/>
        <w:rPr>
          <w:b/>
          <w:color w:val="000000"/>
        </w:rPr>
      </w:pPr>
      <w:r w:rsidRPr="008F2B7C">
        <w:rPr>
          <w:b/>
          <w:color w:val="000000"/>
        </w:rPr>
        <w:t>Homolog Sequence Retrieval and Alignment</w:t>
      </w:r>
    </w:p>
    <w:p w14:paraId="5E98D884" w14:textId="77777777" w:rsidR="000B15D7" w:rsidRDefault="000B15D7" w:rsidP="000B15D7">
      <w:pPr>
        <w:ind w:firstLine="720"/>
      </w:pPr>
      <w:r>
        <w:rPr>
          <w:color w:val="000000"/>
        </w:rPr>
        <w:t xml:space="preserve">Databases: The UniRef90 and UniRef100 sequence databases were downloaded from </w:t>
      </w:r>
      <w:hyperlink r:id="rId10" w:history="1">
        <w:r>
          <w:rPr>
            <w:rStyle w:val="Hyperlink"/>
          </w:rPr>
          <w:t>https://www.uniprot.org/downloads</w:t>
        </w:r>
      </w:hyperlink>
      <w:r>
        <w:t xml:space="preserve"> (on 5/12/2020 and 5/15/2020 respectively)</w:t>
      </w:r>
      <w:r>
        <w:fldChar w:fldCharType="begin" w:fldLock="1"/>
      </w:r>
      <w:r>
        <w:instrText>ADDIN CSL_CITATION {"citationItems":[{"id":"ITEM-1","itemData":{"DOI":"10.1093/nar/gky1049","ISSN":"13624962","PMID":"30395287","abstract":"The UniProt Knowledgebase is a collection of sequences and annotations for over 120 million proteins across all branches of life. Detailed annotations extracted from the literature by expert curators have been collected for over half a million of these proteins. These annotations are supplemented by annotations provided by rule based automated systems, and those imported from other resources. In this article we describe significant updates that we have made over the last 2 years to the resource. We have greatly expanded the number of Reference Proteomes that we provide and in particular we have focussed on improving the number of viral Reference Proteomes. The UniProt website has been augmented with new data visualizations for the subcellular localization of proteins as well as their structure and interactions. UniProt resources are available under a CC-BY (4.0) license via the web at https://www.uniprot.org/.","author":[{"dropping-particle":"","family":"Bateman","given":"Alex","non-dropping-particle":"","parse-names":false,"suffix":""}],"container-title":"Nucleic Acids Research","id":"ITEM-1","issue":"D1","issued":{"date-parts":[["2019","1","8"]]},"page":"D506-D515","publisher":"Oxford University Press","title":"UniProt: A worldwide hub of protein knowledge","type":"article-journal","volume":"47"},"uris":["http://www.mendeley.com/documents/?uuid=73ba637a-fd23-30b6-b145-0cfd4326264f"]}],"mendeley":{"formattedCitation":"(5)","plainTextFormattedCitation":"(5)","previouslyFormattedCitation":"(5)"},"properties":{"noteIndex":0},"schema":"https://github.com/citation-style-language/schema/raw/master/csl-citation.json"}</w:instrText>
      </w:r>
      <w:r>
        <w:fldChar w:fldCharType="separate"/>
      </w:r>
      <w:r w:rsidRPr="00FB114B">
        <w:rPr>
          <w:noProof/>
        </w:rPr>
        <w:t>(5)</w:t>
      </w:r>
      <w:r>
        <w:fldChar w:fldCharType="end"/>
      </w:r>
      <w:r>
        <w:t xml:space="preserve"> and were subsequently filtered to remove any sequences which contained the terms “Fragment” or “LOW QUALITY”. The resulting fasta files were used to make databases for the BLAST+ tool </w:t>
      </w:r>
      <w:r>
        <w:fldChar w:fldCharType="begin" w:fldLock="1"/>
      </w:r>
      <w:r>
        <w:instrText>ADDIN CSL_CITATION {"citationItems":[{"id":"ITEM-1","itemData":{"DOI":"10.1186/1471-2105-10-421","ISSN":"14712105","PMID":"20003500","abstract":"Background: Sequence similarity searching is a very important bioinformatics task. While Basic Local Alignment Search Tool (BLAST) outperforms exact methods through its use of heuristics, the speed of the current BLAST software is suboptimal for very long queries or database sequences. There are also some shortcomings in the user-interface of the current command-line applications.Results: We describe features and improvements of rewritten BLAST software and introduce new command-line applications. Long query sequences are broken into chunks for processing, in some cases leading to dramatically shorter run times. For long database sequences, it is possible to retrieve only the relevant parts of the sequence, reducing CPU time and memory usage for searches of short queries against databases of contigs or chromosomes. The program can now retrieve masking information for database sequences from the BLAST databases. A new modular software library can now access subject sequence data from arbitrary data sources. We introduce several new features, including strategy files that allow a user to save and reuse their favorite set of options. The strategy files can be uploaded to and downloaded from the NCBI BLAST web site.Conclusion: The new BLAST command-line applications, compared to the current BLAST tools, demonstrate substantial speed improvements for long queries as well as chromosome length database sequences. We have also improved the user interface of the command-line applications. © 2009 Camacho et al; licensee BioMed Central Ltd.","author":[{"dropping-particle":"","family":"Camacho","given":"Christiam","non-dropping-particle":"","parse-names":false,"suffix":""},{"dropping-particle":"","family":"Coulouris","given":"George","non-dropping-particle":"","parse-names":false,"suffix":""},{"dropping-particle":"","family":"Avagyan","given":"Vahram","non-dropping-particle":"","parse-names":false,"suffix":""},{"dropping-particle":"","family":"Ma","given":"Ning","non-dropping-particle":"","parse-names":false,"suffix":""},{"dropping-particle":"","family":"Papadopoulos","given":"Jason","non-dropping-particle":"","parse-names":false,"suffix":""},{"dropping-particle":"","family":"Bealer","given":"Kevin","non-dropping-particle":"","parse-names":false,"suffix":""},{"dropping-particle":"","family":"Madden","given":"Thomas L.","non-dropping-particle":"","parse-names":false,"suffix":""}],"container-title":"BMC Bioinformatics","id":"ITEM-1","issued":{"date-parts":[["2009","12","15"]]},"publisher":"BMC Bioinformatics","title":"BLAST+: Architecture and applications","type":"article-journal","volume":"10"},"uris":["http://www.mendeley.com/documents/?uuid=b683c1ff-8ff6-3e71-ae10-267c52a8b1df"]}],"mendeley":{"formattedCitation":"(6)","plainTextFormattedCitation":"(6)","previouslyFormattedCitation":"(6)"},"properties":{"noteIndex":0},"schema":"https://github.com/citation-style-language/schema/raw/master/csl-citation.json"}</w:instrText>
      </w:r>
      <w:r>
        <w:fldChar w:fldCharType="separate"/>
      </w:r>
      <w:r w:rsidRPr="00FB114B">
        <w:rPr>
          <w:noProof/>
        </w:rPr>
        <w:t>(6)</w:t>
      </w:r>
      <w:r>
        <w:fldChar w:fldCharType="end"/>
      </w:r>
      <w:r>
        <w:t xml:space="preserve"> using the makeblastdb utility. The NCBI NR BLAST+ database was downloaded through the update_blastdb.pl utility on 5/12/2020. </w:t>
      </w:r>
    </w:p>
    <w:p w14:paraId="28B71BE4" w14:textId="77777777" w:rsidR="000B15D7" w:rsidRDefault="000B15D7" w:rsidP="000B15D7">
      <w:pPr>
        <w:ind w:firstLine="720"/>
      </w:pPr>
      <w:r>
        <w:t xml:space="preserve">BLAST: Homologs were identified by using the blastp (version 2.9.0, build May 27 2019) tool to search the three databases described above for each of the reference sequences described in the previous section. Settings used for blastp were a max e-value of 0.05 </w:t>
      </w:r>
      <w:r>
        <w:fldChar w:fldCharType="begin" w:fldLock="1"/>
      </w:r>
      <w:r>
        <w:instrText>ADDIN CSL_CITATION {"citationItems":[{"id":"ITEM-1","itemData":{"DOI":"10.1016/j.jmb.2003.12.078","ISSN":"00222836","abstract":"In order to identify the amino acids that determine protein structure and function it is useful to rank them by their relative importance. Previous approaches belong to two groups; those that rely on statistical inference, and those that focus on phylogenetic analysis. Here, we introduce a class of hybrid methods that combine evolutionary and entropic information from multiple sequence alignments. A detailed analysis in insulin receptor kinase domain and tests on proteins that are well-characterized experimentally show the hybrids' greater robustness with respect to the input choice of sequences, as well as improved sensitivity and specificity of prediction. This is a further step toward proteome scale analysis of protein structure and function. © 2004 Elsevier Ltd. All rights reserved.","author":[{"dropping-particle":"","family":"Mihalek","given":"I.","non-dropping-particle":"","parse-names":false,"suffix":""},{"dropping-particle":"","family":"Reš","given":"I.","non-dropping-particle":"","parse-names":false,"suffix":""},{"dropping-particle":"","family":"Lichtarge","given":"O.","non-dropping-particle":"","parse-names":false,"suffix":""}],"container-title":"Journal of Molecular Biology","id":"ITEM-1","issue":"5","issued":{"date-parts":[["2004","3","5"]]},"page":"1265-1282","publisher":"Academic Press","title":"A Family of Evolution-Entropy Hybrid Methods for Ranking Protein Residues by Importance","type":"article-journal","volume":"336"},"uris":["http://www.mendeley.com/documents/?uuid=48c83a51-77de-3bdf-b920-6b8c674df8a7"]}],"mendeley":{"formattedCitation":"(7)","plainTextFormattedCitation":"(7)","previouslyFormattedCitation":"(7)"},"properties":{"noteIndex":0},"schema":"https://github.com/citation-style-language/schema/raw/master/csl-citation.json"}</w:instrText>
      </w:r>
      <w:r>
        <w:fldChar w:fldCharType="separate"/>
      </w:r>
      <w:r w:rsidRPr="00FB114B">
        <w:rPr>
          <w:noProof/>
        </w:rPr>
        <w:t>(7)</w:t>
      </w:r>
      <w:r>
        <w:fldChar w:fldCharType="end"/>
      </w:r>
      <w:r>
        <w:t xml:space="preserve"> and maximum number of target sequences 20,000.</w:t>
      </w:r>
    </w:p>
    <w:p w14:paraId="13B5CECD" w14:textId="77777777" w:rsidR="000B15D7" w:rsidRDefault="000B15D7" w:rsidP="000B15D7">
      <w:pPr>
        <w:ind w:firstLine="720"/>
      </w:pPr>
      <w:r>
        <w:t xml:space="preserve">Filtering and Alignment: Sequences returned by each BLAST search were iteratively filtered and aligned. The first filtering step removed any sequences with less 70% coverage of the query sequence, or where the query sequence has coverage &lt;70% of the returned sequence. Additional filtering was performed to remove any sequences whose identity with respect to the query sequence were &lt; 25% or &gt;98% </w:t>
      </w:r>
      <w:r>
        <w:fldChar w:fldCharType="begin" w:fldLock="1"/>
      </w:r>
      <w:r>
        <w:instrText>ADDIN CSL_CITATION {"citationItems":[{"id":"ITEM-1","itemData":{"DOI":"10.1016/S0076-6879(02)44739-8","ISSN":"00766879","author":[{"dropping-particle":"","family":"Lichtarge","given":"Olivier","non-dropping-particle":"","parse-names":false,"suffix":""},{"dropping-particle":"","family":"Sowa","given":"Mathew E.","non-dropping-particle":"","parse-names":false,"suffix":""},{"dropping-particle":"","family":"Philippi","given":"Anne","non-dropping-particle":"","parse-names":false,"suffix":""}],"container-title":"Methods in Enzymology","id":"ITEM-1","issued":{"date-parts":[["2002"]]},"page":"536-556","publisher":"Academic Press Inc.","title":"Evolutionary traces of functional surfaces along G protein signaling pathway","type":"chapter","volume":"344"},"uris":["http://www.mendeley.com/documents/?uuid=8cc3213b-0b11-3635-ab9c-4794a38dbb32"]},{"id":"ITEM-2","itemData":{"DOI":"10.1016/j.jmb.2003.12.078","ISSN":"00222836","abstract":"In order to identify the amino acids that determine protein structure and function it is useful to rank them by their relative importance. Previous approaches belong to two groups; those that rely on statistical inference, and those that focus on phylogenetic analysis. Here, we introduce a class of hybrid methods that combine evolutionary and entropic information from multiple sequence alignments. A detailed analysis in insulin receptor kinase domain and tests on proteins that are well-characterized experimentally show the hybrids' greater robustness with respect to the input choice of sequences, as well as improved sensitivity and specificity of prediction. This is a further step toward proteome scale analysis of protein structure and function. © 2004 Elsevier Ltd. All rights reserved.","author":[{"dropping-particle":"","family":"Mihalek","given":"I.","non-dropping-particle":"","parse-names":false,"suffix":""},{"dropping-particle":"","family":"Reš","given":"I.","non-dropping-particle":"","parse-names":false,"suffix":""},{"dropping-particle":"","family":"Lichtarge","given":"O.","non-dropping-particle":"","parse-names":false,"suffix":""}],"container-title":"Journal of Molecular Biology","id":"ITEM-2","issue":"5","issued":{"date-parts":[["2004","3","5"]]},"page":"1265-1282","publisher":"Academic Press","title":"A Family of Evolution-Entropy Hybrid Methods for Ranking Protein Residues by Importance","type":"article-journal","volume":"336"},"uris":["http://www.mendeley.com/documents/?uuid=48c83a51-77de-3bdf-b920-6b8c674df8a7"]}],"mendeley":{"formattedCitation":"(7, 8)","plainTextFormattedCitation":"(7, 8)","previouslyFormattedCitation":"(7, 8)"},"properties":{"noteIndex":0},"schema":"https://github.com/citation-style-language/schema/raw/master/csl-citation.json"}</w:instrText>
      </w:r>
      <w:r>
        <w:fldChar w:fldCharType="separate"/>
      </w:r>
      <w:r w:rsidRPr="00FB114B">
        <w:rPr>
          <w:noProof/>
        </w:rPr>
        <w:t>(7, 8)</w:t>
      </w:r>
      <w:r>
        <w:fldChar w:fldCharType="end"/>
      </w:r>
      <w:r>
        <w:t xml:space="preserve">. Sequences containing any amino acid besides the standard twenty amino acids or gap symbol were also removed. Finally, sequence descriptions containing the words “artificial”, “fragment”, “low quality”, “partial”, or “synthetic” and sequences whose taxonomy included the words “synthetic” or “artificial” were also removed. The sequences passing these filters were aligned using ClustalW (version 2.1) </w:t>
      </w:r>
      <w:r>
        <w:fldChar w:fldCharType="begin" w:fldLock="1"/>
      </w:r>
      <w:r>
        <w:instrText>ADDIN CSL_CITATION {"citationItems":[{"id":"ITEM-1","itemData":{"DOI":"10.1093/bioinformatics/btm404","ISSN":"13674803","PMID":"17846036","abstract":"Summary: The Clustal W and Clustal X multiple sequence alignment programs have been completely rewritten in C++. This will facilitate the further development of the alignment algorithms in the future and has allowed proper porting of the programs to the latest versions of Linux, Macintosh and Windows operating systems. © The Author 2007. Published by Oxford University Press. All rights reserved.","author":[{"dropping-particle":"","family":"Larkin","given":"M. A.","non-dropping-particle":"","parse-names":false,"suffix":""},{"dropping-particle":"","family":"Blackshields","given":"G.","non-dropping-particle":"","parse-names":false,"suffix":""},{"dropping-particle":"","family":"Brown","given":"N. P.","non-dropping-particle":"","parse-names":false,"suffix":""},{"dropping-particle":"","family":"Chenna","given":"R.","non-dropping-particle":"","parse-names":false,"suffix":""},{"dropping-particle":"","family":"Mcgettigan","given":"P. A.","non-dropping-particle":"","parse-names":false,"suffix":""},{"dropping-particle":"","family":"McWilliam","given":"H.","non-dropping-particle":"","parse-names":false,"suffix":""},{"dropping-particle":"","family":"Valentin","given":"F.","non-dropping-particle":"","parse-names":false,"suffix":""},{"dropping-particle":"","family":"Wallace","given":"I. M.","non-dropping-particle":"","parse-names":false,"suffix":""},{"dropping-particle":"","family":"Wilm","given":"A.","non-dropping-particle":"","parse-names":false,"suffix":""},{"dropping-particle":"","family":"Lopez","given":"R.","non-dropping-particle":"","parse-names":false,"suffix":""},{"dropping-particle":"","family":"Thompson","given":"J. D.","non-dropping-particle":"","parse-names":false,"suffix":""},{"dropping-particle":"","family":"Gibson","given":"T. J.","non-dropping-particle":"","parse-names":false,"suffix":""},{"dropping-particle":"","family":"Higgins","given":"D. G.","non-dropping-particle":"","parse-names":false,"suffix":""}],"container-title":"Bioinformatics","id":"ITEM-1","issue":"21","issued":{"date-parts":[["2007","11"]]},"page":"2947-2948","publisher":"Bioinformatics","title":"Clustal W and Clustal X version 2.0","type":"article-journal","volume":"23"},"uris":["http://www.mendeley.com/documents/?uuid=36fbf5f7-8958-3a78-a90d-3a374655963d"]},{"id":"ITEM-2","itemData":{"DOI":"10.1006/jmbi.2001.5327","ISSN":"00222836","PMID":"11829509","abstract":"Given the massive increase in the number of new sequences and structures, a critical problem is how to integrate these raw data into meaningful biological information. One approach, the Evolutionary Trace, or ET, uses phylogenetic information to rank the residues in a protein sequence by evolutionary importance and then maps those ranked at the top onto a representative structure. If these residues form structural clusters, they can identify functional surfaces such as those involved in molecular recognition. Now that a number of examples have shown that ET can identify binding sites and focus mutational studies on their relevant functional determinants, we ask whether the method can be improved so as to be applicable on a large scale. To address this question, we introduce a new treatment of gaps resulting from insertions and deletions, which streamlines the selection of sequences used as input. We also introduce objective statistics to assess the significance of the total number of clusters and of the size of the largest one. As a result of the novel treatment of gaps, ET performance improves measurably. We find evolutionarily privileged clusters that are significant at the 5 % level in 45 out of 46 (98 %) proteins drawn from a variety of structural classes and biological functions. In 37 of the 38 proteins for which a protein-ligand complex is available, the dominant cluster contacts the ligand. We conclude that spatial clustering of evolutionarily important residues is a general phenomenon, consistent with the cooperative nature of residues that determine structure and function. In practice, these results suggest that ET can be applied on a large scale to identify functional sites in a significant fraction of the structures in the protein databank (PDB). This approach to combining raw sequences and structure to obtain detailed insights into the molecular basis of function should prove valuable in the context of the Structural Genomics Initiative. © 2002 Elsevier Science Ltd.","author":[{"dropping-particle":"","family":"Madabushi","given":"Srinivasan","non-dropping-particle":"","parse-names":false,"suffix":""},{"dropping-particle":"","family":"Yao","given":"Hui","non-dropping-particle":"","parse-names":false,"suffix":""},{"dropping-particle":"","family":"Marsh","given":"Mike","non-dropping-particle":"","parse-names":false,"suffix":""},{"dropping-particle":"","family":"Kristensen","given":"David M.","non-dropping-particle":"","parse-names":false,"suffix":""},{"dropping-particle":"","family":"Philippi","given":"Anne","non-dropping-particle":"","parse-names":false,"suffix":""},{"dropping-particle":"","family":"Sowa","given":"Mathew E.","non-dropping-particle":"","parse-names":false,"suffix":""},{"dropping-particle":"","family":"Lichtarge","given":"Olivier","non-dropping-particle":"","parse-names":false,"suffix":""}],"container-title":"Journal of Molecular Biology","id":"ITEM-2","issue":"1","issued":{"date-parts":[["2002"]]},"page":"139-154","publisher":"Academic Press","title":"Structural clusters of evolutionary trace residues are statistically significant and common in proteins","type":"article-journal","volume":"316"},"uris":["http://www.mendeley.com/documents/?uuid=779681a0-d825-38e2-a9c4-bfca7dd4b2b3","http://www.mendeley.com/documents/?uuid=a6e65b02-fb7c-438f-bf67-1cb987631551"]}],"mendeley":{"formattedCitation":"(9, 10)","plainTextFormattedCitation":"(9, 10)","previouslyFormattedCitation":"(9, 10)"},"properties":{"noteIndex":0},"schema":"https://github.com/citation-style-language/schema/raw/master/csl-citation.json"}</w:instrText>
      </w:r>
      <w:r>
        <w:fldChar w:fldCharType="separate"/>
      </w:r>
      <w:r w:rsidRPr="00FB114B">
        <w:rPr>
          <w:noProof/>
        </w:rPr>
        <w:t>(9, 10)</w:t>
      </w:r>
      <w:r>
        <w:fldChar w:fldCharType="end"/>
      </w:r>
      <w:r>
        <w:t>with the align and quick tree options set to True. The alignment is filtered again by computing all pairwise sequence identities and keeping only one sequence from any group with sequence identity &gt; 98%. All sequences passing this second filter had the gaps from the first alignment removed and were aligned again using ClustalW, with the same settings specified above, to create final alignments.</w:t>
      </w:r>
    </w:p>
    <w:p w14:paraId="40CB4133" w14:textId="77777777" w:rsidR="000B15D7" w:rsidRPr="00FB114B" w:rsidRDefault="000B15D7" w:rsidP="000B15D7">
      <w:pPr>
        <w:ind w:firstLine="720"/>
        <w:rPr>
          <w:rFonts w:cstheme="minorHAnsi"/>
          <w:color w:val="1D1C1D"/>
        </w:rPr>
      </w:pPr>
      <w:r w:rsidRPr="00FB114B">
        <w:rPr>
          <w:rFonts w:cstheme="minorHAnsi"/>
          <w:color w:val="1D1C1D"/>
        </w:rPr>
        <w:t>Sequence counts are available for all final alignments (</w:t>
      </w:r>
      <w:r w:rsidRPr="001A3894">
        <w:rPr>
          <w:rFonts w:cstheme="minorHAnsi"/>
          <w:b/>
          <w:bCs/>
          <w:color w:val="1D1C1D"/>
        </w:rPr>
        <w:t xml:space="preserve">Figure S1, </w:t>
      </w:r>
      <w:r>
        <w:rPr>
          <w:rFonts w:cstheme="minorHAnsi"/>
          <w:b/>
          <w:bCs/>
          <w:color w:val="1D1C1D"/>
        </w:rPr>
        <w:t>Dataset</w:t>
      </w:r>
      <w:r w:rsidRPr="001A3894">
        <w:rPr>
          <w:rFonts w:cstheme="minorHAnsi"/>
          <w:b/>
          <w:bCs/>
          <w:color w:val="1D1C1D"/>
        </w:rPr>
        <w:t xml:space="preserve"> S1</w:t>
      </w:r>
      <w:r w:rsidRPr="001A3894">
        <w:rPr>
          <w:rFonts w:cstheme="minorHAnsi"/>
          <w:color w:val="1D1C1D"/>
        </w:rPr>
        <w:t>),</w:t>
      </w:r>
      <w:r w:rsidRPr="00FB114B">
        <w:rPr>
          <w:rFonts w:cstheme="minorHAnsi"/>
          <w:color w:val="1D1C1D"/>
        </w:rPr>
        <w:t xml:space="preserve"> only two proteins had too few matches for ET, NSP11 and ORF10, both of which have unknown function and very short reference sequences (13 and 38 amino acids, respectively), while most other </w:t>
      </w:r>
      <w:r w:rsidRPr="00FB114B">
        <w:rPr>
          <w:rFonts w:cstheme="minorHAnsi"/>
          <w:color w:val="1D1C1D"/>
        </w:rPr>
        <w:lastRenderedPageBreak/>
        <w:t>nonstructural proteins, the membrane protein and the nucleocapsid protein each returned at least 50 sequences.</w:t>
      </w:r>
    </w:p>
    <w:p w14:paraId="50911A3E" w14:textId="77777777" w:rsidR="000B15D7" w:rsidRPr="00472AAA" w:rsidRDefault="000B15D7" w:rsidP="000B15D7">
      <w:pPr>
        <w:ind w:firstLine="720"/>
        <w:rPr>
          <w:rFonts w:cstheme="minorHAnsi"/>
        </w:rPr>
      </w:pPr>
      <w:r w:rsidRPr="00FB114B">
        <w:rPr>
          <w:rFonts w:cstheme="minorHAnsi"/>
          <w:color w:val="1D1C1D"/>
        </w:rPr>
        <w:t xml:space="preserve">Structure specific analyses for NSP3 domains were performed by using the amino acid sequence of a specific PDB structure and a specific chain in place of the Wuhan-HU-1 reference sequence. All other aspects of homolog retrieval and alignment were performed as described above. The size of the resulting alignments can be seen </w:t>
      </w:r>
      <w:r w:rsidRPr="001A3894">
        <w:rPr>
          <w:rFonts w:cstheme="minorHAnsi"/>
          <w:color w:val="1D1C1D"/>
        </w:rPr>
        <w:t xml:space="preserve">in </w:t>
      </w:r>
      <w:r w:rsidRPr="001A3894">
        <w:rPr>
          <w:rFonts w:cstheme="minorHAnsi"/>
          <w:b/>
          <w:bCs/>
          <w:color w:val="1D1C1D"/>
        </w:rPr>
        <w:t>Figure S5A</w:t>
      </w:r>
      <w:r w:rsidRPr="001A3894">
        <w:rPr>
          <w:rFonts w:cstheme="minorHAnsi"/>
          <w:color w:val="1D1C1D"/>
        </w:rPr>
        <w:t>.</w:t>
      </w:r>
    </w:p>
    <w:p w14:paraId="69A898C2" w14:textId="77777777" w:rsidR="000B15D7" w:rsidRPr="00F12411" w:rsidRDefault="000B15D7" w:rsidP="000B15D7"/>
    <w:p w14:paraId="03F93B53" w14:textId="77777777" w:rsidR="000B15D7" w:rsidRPr="008F2B7C" w:rsidRDefault="000B15D7" w:rsidP="000B15D7">
      <w:pPr>
        <w:jc w:val="both"/>
        <w:rPr>
          <w:b/>
          <w:color w:val="000000"/>
        </w:rPr>
      </w:pPr>
      <w:r w:rsidRPr="008F2B7C">
        <w:rPr>
          <w:b/>
          <w:color w:val="000000"/>
        </w:rPr>
        <w:t>Evolutionary Trace</w:t>
      </w:r>
    </w:p>
    <w:p w14:paraId="0B658166" w14:textId="77777777" w:rsidR="000B15D7" w:rsidRPr="00472AAA" w:rsidRDefault="000B15D7" w:rsidP="000B15D7">
      <w:pPr>
        <w:jc w:val="both"/>
        <w:rPr>
          <w:rFonts w:cstheme="minorHAnsi"/>
          <w:color w:val="000000"/>
        </w:rPr>
      </w:pPr>
      <w:r w:rsidRPr="00472AAA">
        <w:rPr>
          <w:rFonts w:cstheme="minorHAnsi"/>
          <w:color w:val="000000" w:themeColor="text1"/>
        </w:rPr>
        <w:t xml:space="preserve">Evolutionary Trace was run for each protein for each of the three alignments produced using the method described above. Residue importance was computed using the rvET method </w:t>
      </w:r>
      <w:r>
        <w:rPr>
          <w:rFonts w:cstheme="minorHAnsi"/>
          <w:color w:val="000000" w:themeColor="text1"/>
        </w:rPr>
        <w:fldChar w:fldCharType="begin" w:fldLock="1"/>
      </w:r>
      <w:r>
        <w:rPr>
          <w:rFonts w:cstheme="minorHAnsi"/>
          <w:color w:val="000000" w:themeColor="text1"/>
        </w:rPr>
        <w:instrText>ADDIN CSL_CITATION {"citationItems":[{"id":"ITEM-1","itemData":{"DOI":"10.1016/j.jmb.2003.12.078","ISSN":"00222836","abstract":"In order to identify the amino acids that determine protein structure and function it is useful to rank them by their relative importance. Previous approaches belong to two groups; those that rely on statistical inference, and those that focus on phylogenetic analysis. Here, we introduce a class of hybrid methods that combine evolutionary and entropic information from multiple sequence alignments. A detailed analysis in insulin receptor kinase domain and tests on proteins that are well-characterized experimentally show the hybrids' greater robustness with respect to the input choice of sequences, as well as improved sensitivity and specificity of prediction. This is a further step toward proteome scale analysis of protein structure and function. © 2004 Elsevier Ltd. All rights reserved.","author":[{"dropping-particle":"","family":"Mihalek","given":"I.","non-dropping-particle":"","parse-names":false,"suffix":""},{"dropping-particle":"","family":"Reš","given":"I.","non-dropping-particle":"","parse-names":false,"suffix":""},{"dropping-particle":"","family":"Lichtarge","given":"O.","non-dropping-particle":"","parse-names":false,"suffix":""}],"container-title":"Journal of Molecular Biology","id":"ITEM-1","issue":"5","issued":{"date-parts":[["2004","3","5"]]},"page":"1265-1282","publisher":"Academic Press","title":"A Family of Evolution-Entropy Hybrid Methods for Ranking Protein Residues by Importance","type":"article-journal","volume":"336"},"uris":["http://www.mendeley.com/documents/?uuid=48c83a51-77de-3bdf-b920-6b8c674df8a7"]}],"mendeley":{"formattedCitation":"(7)","plainTextFormattedCitation":"(7)","previouslyFormattedCitation":"(7)"},"properties":{"noteIndex":0},"schema":"https://github.com/citation-style-language/schema/raw/master/csl-citation.json"}</w:instrText>
      </w:r>
      <w:r>
        <w:rPr>
          <w:rFonts w:cstheme="minorHAnsi"/>
          <w:color w:val="000000" w:themeColor="text1"/>
        </w:rPr>
        <w:fldChar w:fldCharType="separate"/>
      </w:r>
      <w:r w:rsidRPr="00FB114B">
        <w:rPr>
          <w:rFonts w:cstheme="minorHAnsi"/>
          <w:noProof/>
          <w:color w:val="000000" w:themeColor="text1"/>
        </w:rPr>
        <w:t>(7)</w:t>
      </w:r>
      <w:r>
        <w:rPr>
          <w:rFonts w:cstheme="minorHAnsi"/>
          <w:color w:val="000000" w:themeColor="text1"/>
        </w:rPr>
        <w:fldChar w:fldCharType="end"/>
      </w:r>
      <w:r w:rsidRPr="00472AAA">
        <w:rPr>
          <w:rFonts w:cstheme="minorHAnsi"/>
          <w:color w:val="000000" w:themeColor="text1"/>
        </w:rPr>
        <w:t xml:space="preserve">, which is made publicly available through the UET server </w:t>
      </w:r>
      <w:r>
        <w:rPr>
          <w:rFonts w:cstheme="minorHAnsi"/>
          <w:color w:val="000000" w:themeColor="text1"/>
        </w:rPr>
        <w:fldChar w:fldCharType="begin" w:fldLock="1"/>
      </w:r>
      <w:r>
        <w:rPr>
          <w:rFonts w:cstheme="minorHAnsi"/>
          <w:color w:val="000000" w:themeColor="text1"/>
        </w:rPr>
        <w:instrText>ADDIN CSL_CITATION {"citationItems":[{"id":"ITEM-1","itemData":{"DOI":"10.1093/nar/gkv1279","ISSN":"13624962","PMID":"26590254","abstract":"The structure and function of proteins underlie most aspects of biology and theirmutational perturbations often cause disease. To identify the molecular determinants of function as well as targets for drugs, it is central to characterize the important residues and how they cluster to form functional sites. The Evolutionary Trace (ET) achieves this by ranking the functional and structural importance of the protein sequence positions. ET uses evolutionary distances to estimate functional distances and correlates genotype variations with those in the fitness phenotype. Thus, ET ranks are worse for sequence positions that vary among evolutionarily closer homologs but better for positions that vary mostly among distant homologs. This approach identifies functional determinants, predicts function, guides the mutational redesign of functional and allosteric specificity, and interprets the action of coding sequence variations in proteins, people and populations. Now, the UET database offers pre-computed ET analyses for the protein structure databank, and on-the-fly analysis of any protein sequence. A web interface retrieves ET rankings of sequence positions and maps results to a structure to identify functionally important regions. This UET database integrates several ways of viewing the results on the protein sequence or structure and can be found at http://mammoth.bcm.tmc.edu/uet/.","author":[{"dropping-particle":"","family":"Lua","given":"Rhonald C.","non-dropping-particle":"","parse-names":false,"suffix":""},{"dropping-particle":"","family":"Wilson","given":"Stephen J.","non-dropping-particle":"","parse-names":false,"suffix":""},{"dropping-particle":"","family":"Konecki","given":"Daniel M.","non-dropping-particle":"","parse-names":false,"suffix":""},{"dropping-particle":"","family":"Wilkins","given":"Angela D.","non-dropping-particle":"","parse-names":false,"suffix":""},{"dropping-particle":"","family":"Venner","given":"Eric","non-dropping-particle":"","parse-names":false,"suffix":""},{"dropping-particle":"","family":"Morgan","given":"Daniel H.","non-dropping-particle":"","parse-names":false,"suffix":""},{"dropping-particle":"","family":"Lichtarge","given":"Olivier","non-dropping-particle":"","parse-names":false,"suffix":""}],"container-title":"Nucleic Acids Research","id":"ITEM-1","issue":"D1","issued":{"date-parts":[["2016"]]},"page":"D308-D312","publisher":"Oxford University Press","title":"UET: A database of evolutionarily-predicted functional determinants of protein sequences that cluster as functional sites in protein structures","type":"article-journal","volume":"44"},"uris":["http://www.mendeley.com/documents/?uuid=296c32a1-3bce-330c-b959-e46730c6208c"]}],"mendeley":{"formattedCitation":"(11)","plainTextFormattedCitation":"(11)","previouslyFormattedCitation":"(11)"},"properties":{"noteIndex":0},"schema":"https://github.com/citation-style-language/schema/raw/master/csl-citation.json"}</w:instrText>
      </w:r>
      <w:r>
        <w:rPr>
          <w:rFonts w:cstheme="minorHAnsi"/>
          <w:color w:val="000000" w:themeColor="text1"/>
        </w:rPr>
        <w:fldChar w:fldCharType="separate"/>
      </w:r>
      <w:r w:rsidRPr="00FB114B">
        <w:rPr>
          <w:rFonts w:cstheme="minorHAnsi"/>
          <w:noProof/>
          <w:color w:val="000000" w:themeColor="text1"/>
        </w:rPr>
        <w:t>(11)</w:t>
      </w:r>
      <w:r>
        <w:rPr>
          <w:rFonts w:cstheme="minorHAnsi"/>
          <w:color w:val="000000" w:themeColor="text1"/>
        </w:rPr>
        <w:fldChar w:fldCharType="end"/>
      </w:r>
      <w:r w:rsidRPr="00472AAA">
        <w:rPr>
          <w:rFonts w:cstheme="minorHAnsi"/>
          <w:color w:val="000000" w:themeColor="text1"/>
        </w:rPr>
        <w:t xml:space="preserve">. Briefly, this method constructs a UPGMA like tree using the BLOSUM62 distance matrix for a given alignment. The trees constructed for </w:t>
      </w:r>
      <w:r w:rsidRPr="00FB114B">
        <w:rPr>
          <w:rFonts w:cstheme="minorHAnsi"/>
          <w:color w:val="1D1C1D"/>
        </w:rPr>
        <w:t xml:space="preserve">most nonstructural proteins, the membrane protein and the nucleocapsid protein each span the Alpha, Beta, Delta, and Gamma genera of coronavirus </w:t>
      </w:r>
      <w:r w:rsidRPr="001A3894">
        <w:rPr>
          <w:rFonts w:cstheme="minorHAnsi"/>
          <w:color w:val="1D1C1D"/>
        </w:rPr>
        <w:t>(</w:t>
      </w:r>
      <w:r w:rsidRPr="001A3894">
        <w:rPr>
          <w:rFonts w:cstheme="minorHAnsi"/>
          <w:b/>
          <w:color w:val="1D1C1D"/>
        </w:rPr>
        <w:t>Supplemental Figures 1-4</w:t>
      </w:r>
      <w:r w:rsidRPr="001A3894">
        <w:rPr>
          <w:rFonts w:cstheme="minorHAnsi"/>
          <w:color w:val="1D1C1D"/>
        </w:rPr>
        <w:t>).</w:t>
      </w:r>
      <w:r w:rsidRPr="00FB114B">
        <w:rPr>
          <w:rFonts w:cstheme="minorHAnsi"/>
          <w:color w:val="1D1C1D"/>
        </w:rPr>
        <w:t xml:space="preserve"> NSP1, NSP2, NSP3, the Spike protein (S), the envelope protein (E) and the remaining accessory proteins, each consisted almost exclusively of betacoronavirus homologs using our sequence identify cutoffs. These results suggest some coronavirus proteins (NSP1-3, S, E and the accessory proteins) are diverging more </w:t>
      </w:r>
      <w:r w:rsidRPr="001A3894">
        <w:rPr>
          <w:rFonts w:cstheme="minorHAnsi"/>
          <w:color w:val="1D1C1D"/>
        </w:rPr>
        <w:t>rapidly or were recruited at a different point than</w:t>
      </w:r>
      <w:r w:rsidRPr="00FB114B">
        <w:rPr>
          <w:rFonts w:cstheme="minorHAnsi"/>
          <w:color w:val="1D1C1D"/>
        </w:rPr>
        <w:t xml:space="preserve"> the core viral proteins involved in viral RNA synthesis, modification and packaging. </w:t>
      </w:r>
      <w:r w:rsidRPr="00472AAA">
        <w:rPr>
          <w:rFonts w:cstheme="minorHAnsi"/>
          <w:color w:val="000000" w:themeColor="text1"/>
        </w:rPr>
        <w:t>These trees along with Shannon entropy are used to measure how patterns of invariance correspond with phylogenetic divergence following the formula:</w:t>
      </w:r>
    </w:p>
    <w:p w14:paraId="5021D9E8" w14:textId="77777777" w:rsidR="000B15D7" w:rsidRDefault="000427E8" w:rsidP="000B15D7">
      <w:pPr>
        <w:jc w:val="both"/>
        <w:rPr>
          <w:color w:val="000000"/>
        </w:rPr>
      </w:pPr>
      <m:oMathPara>
        <m:oMath>
          <m:sSub>
            <m:sSubPr>
              <m:ctrlPr>
                <w:rPr>
                  <w:rFonts w:ascii="Cambria Math" w:hAnsi="Cambria Math"/>
                  <w:i/>
                  <w:color w:val="000000"/>
                </w:rPr>
              </m:ctrlPr>
            </m:sSubPr>
            <m:e>
              <m:r>
                <w:rPr>
                  <w:rFonts w:ascii="Cambria Math" w:hAnsi="Cambria Math"/>
                  <w:color w:val="000000"/>
                </w:rPr>
                <m:t>ρ</m:t>
              </m:r>
            </m:e>
            <m:sub>
              <m:r>
                <w:rPr>
                  <w:rFonts w:ascii="Cambria Math" w:hAnsi="Cambria Math"/>
                  <w:color w:val="000000"/>
                </w:rPr>
                <m:t>i</m:t>
              </m:r>
            </m:sub>
          </m:sSub>
          <m:r>
            <w:rPr>
              <w:rFonts w:ascii="Cambria Math" w:hAnsi="Cambria Math"/>
              <w:color w:val="000000"/>
            </w:rPr>
            <m:t>=1+</m:t>
          </m:r>
          <m:nary>
            <m:naryPr>
              <m:chr m:val="∑"/>
              <m:limLoc m:val="undOvr"/>
              <m:ctrlPr>
                <w:rPr>
                  <w:rFonts w:ascii="Cambria Math" w:hAnsi="Cambria Math"/>
                  <w:i/>
                  <w:color w:val="000000"/>
                </w:rPr>
              </m:ctrlPr>
            </m:naryPr>
            <m:sub>
              <m:r>
                <w:rPr>
                  <w:rFonts w:ascii="Cambria Math" w:hAnsi="Cambria Math"/>
                  <w:color w:val="000000"/>
                </w:rPr>
                <m:t>n=1</m:t>
              </m:r>
            </m:sub>
            <m:sup>
              <m:r>
                <w:rPr>
                  <w:rFonts w:ascii="Cambria Math" w:hAnsi="Cambria Math"/>
                  <w:color w:val="000000"/>
                </w:rPr>
                <m:t>N</m:t>
              </m:r>
            </m:sup>
            <m:e>
              <m:f>
                <m:fPr>
                  <m:ctrlPr>
                    <w:rPr>
                      <w:rFonts w:ascii="Cambria Math" w:hAnsi="Cambria Math"/>
                      <w:i/>
                      <w:color w:val="000000"/>
                    </w:rPr>
                  </m:ctrlPr>
                </m:fPr>
                <m:num>
                  <m:r>
                    <w:rPr>
                      <w:rFonts w:ascii="Cambria Math" w:hAnsi="Cambria Math"/>
                      <w:color w:val="000000"/>
                    </w:rPr>
                    <m:t>1</m:t>
                  </m:r>
                </m:num>
                <m:den>
                  <m:r>
                    <w:rPr>
                      <w:rFonts w:ascii="Cambria Math" w:hAnsi="Cambria Math"/>
                      <w:color w:val="000000"/>
                    </w:rPr>
                    <m:t>n</m:t>
                  </m:r>
                </m:den>
              </m:f>
              <m:nary>
                <m:naryPr>
                  <m:chr m:val="∑"/>
                  <m:limLoc m:val="undOvr"/>
                  <m:ctrlPr>
                    <w:rPr>
                      <w:rFonts w:ascii="Cambria Math" w:hAnsi="Cambria Math"/>
                      <w:i/>
                      <w:color w:val="000000"/>
                    </w:rPr>
                  </m:ctrlPr>
                </m:naryPr>
                <m:sub>
                  <m:r>
                    <w:rPr>
                      <w:rFonts w:ascii="Cambria Math" w:hAnsi="Cambria Math"/>
                      <w:color w:val="000000"/>
                    </w:rPr>
                    <m:t>g=1</m:t>
                  </m:r>
                </m:sub>
                <m:sup>
                  <m:r>
                    <w:rPr>
                      <w:rFonts w:ascii="Cambria Math" w:hAnsi="Cambria Math"/>
                      <w:color w:val="000000"/>
                    </w:rPr>
                    <m:t>n</m:t>
                  </m:r>
                </m:sup>
                <m:e>
                  <m:d>
                    <m:dPr>
                      <m:ctrlPr>
                        <w:rPr>
                          <w:rFonts w:ascii="Cambria Math" w:hAnsi="Cambria Math"/>
                          <w:i/>
                          <w:color w:val="000000"/>
                        </w:rPr>
                      </m:ctrlPr>
                    </m:dPr>
                    <m:e>
                      <m:r>
                        <w:rPr>
                          <w:rFonts w:ascii="Cambria Math" w:hAnsi="Cambria Math"/>
                          <w:color w:val="000000"/>
                        </w:rPr>
                        <m:t>-</m:t>
                      </m:r>
                      <m:nary>
                        <m:naryPr>
                          <m:chr m:val="∑"/>
                          <m:limLoc m:val="undOvr"/>
                          <m:ctrlPr>
                            <w:rPr>
                              <w:rFonts w:ascii="Cambria Math" w:hAnsi="Cambria Math"/>
                              <w:i/>
                              <w:color w:val="000000"/>
                            </w:rPr>
                          </m:ctrlPr>
                        </m:naryPr>
                        <m:sub>
                          <m:r>
                            <w:rPr>
                              <w:rFonts w:ascii="Cambria Math" w:hAnsi="Cambria Math"/>
                              <w:color w:val="000000"/>
                            </w:rPr>
                            <m:t>a=1</m:t>
                          </m:r>
                        </m:sub>
                        <m:sup>
                          <m:r>
                            <w:rPr>
                              <w:rFonts w:ascii="Cambria Math" w:hAnsi="Cambria Math"/>
                              <w:color w:val="000000"/>
                            </w:rPr>
                            <m:t>20</m:t>
                          </m:r>
                        </m:sup>
                        <m:e>
                          <m:sSubSup>
                            <m:sSubSupPr>
                              <m:ctrlPr>
                                <w:rPr>
                                  <w:rFonts w:ascii="Cambria Math" w:hAnsi="Cambria Math"/>
                                  <w:i/>
                                  <w:color w:val="000000"/>
                                </w:rPr>
                              </m:ctrlPr>
                            </m:sSubSupPr>
                            <m:e>
                              <m:r>
                                <w:rPr>
                                  <w:rFonts w:ascii="Cambria Math" w:hAnsi="Cambria Math"/>
                                  <w:color w:val="000000"/>
                                </w:rPr>
                                <m:t>f</m:t>
                              </m:r>
                            </m:e>
                            <m:sub>
                              <m:r>
                                <w:rPr>
                                  <w:rFonts w:ascii="Cambria Math" w:hAnsi="Cambria Math"/>
                                  <w:color w:val="000000"/>
                                </w:rPr>
                                <m:t>ia</m:t>
                              </m:r>
                            </m:sub>
                            <m:sup>
                              <m:r>
                                <w:rPr>
                                  <w:rFonts w:ascii="Cambria Math" w:hAnsi="Cambria Math"/>
                                  <w:color w:val="000000"/>
                                </w:rPr>
                                <m:t>g</m:t>
                              </m:r>
                            </m:sup>
                          </m:sSubSup>
                          <m:func>
                            <m:funcPr>
                              <m:ctrlPr>
                                <w:rPr>
                                  <w:rFonts w:ascii="Cambria Math" w:hAnsi="Cambria Math"/>
                                  <w:i/>
                                  <w:color w:val="000000"/>
                                </w:rPr>
                              </m:ctrlPr>
                            </m:funcPr>
                            <m:fName>
                              <m:r>
                                <m:rPr>
                                  <m:sty m:val="p"/>
                                </m:rPr>
                                <w:rPr>
                                  <w:rFonts w:ascii="Cambria Math" w:hAnsi="Cambria Math"/>
                                  <w:color w:val="000000"/>
                                </w:rPr>
                                <m:t>ln</m:t>
                              </m:r>
                            </m:fName>
                            <m:e>
                              <m:d>
                                <m:dPr>
                                  <m:ctrlPr>
                                    <w:rPr>
                                      <w:rFonts w:ascii="Cambria Math" w:hAnsi="Cambria Math"/>
                                      <w:i/>
                                      <w:color w:val="000000"/>
                                    </w:rPr>
                                  </m:ctrlPr>
                                </m:dPr>
                                <m:e>
                                  <m:sSubSup>
                                    <m:sSubSupPr>
                                      <m:ctrlPr>
                                        <w:rPr>
                                          <w:rFonts w:ascii="Cambria Math" w:hAnsi="Cambria Math"/>
                                          <w:i/>
                                          <w:color w:val="000000"/>
                                        </w:rPr>
                                      </m:ctrlPr>
                                    </m:sSubSupPr>
                                    <m:e>
                                      <m:r>
                                        <w:rPr>
                                          <w:rFonts w:ascii="Cambria Math" w:hAnsi="Cambria Math"/>
                                          <w:color w:val="000000"/>
                                        </w:rPr>
                                        <m:t>f</m:t>
                                      </m:r>
                                    </m:e>
                                    <m:sub>
                                      <m:r>
                                        <w:rPr>
                                          <w:rFonts w:ascii="Cambria Math" w:hAnsi="Cambria Math"/>
                                          <w:color w:val="000000"/>
                                        </w:rPr>
                                        <m:t>ia</m:t>
                                      </m:r>
                                    </m:sub>
                                    <m:sup>
                                      <m:r>
                                        <w:rPr>
                                          <w:rFonts w:ascii="Cambria Math" w:hAnsi="Cambria Math"/>
                                          <w:color w:val="000000"/>
                                        </w:rPr>
                                        <m:t>g</m:t>
                                      </m:r>
                                    </m:sup>
                                  </m:sSubSup>
                                </m:e>
                              </m:d>
                            </m:e>
                          </m:func>
                        </m:e>
                      </m:nary>
                    </m:e>
                  </m:d>
                </m:e>
              </m:nary>
            </m:e>
          </m:nary>
        </m:oMath>
      </m:oMathPara>
    </w:p>
    <w:p w14:paraId="3DB1676F" w14:textId="77777777" w:rsidR="000B15D7" w:rsidRDefault="000B15D7" w:rsidP="000B15D7">
      <w:pPr>
        <w:jc w:val="both"/>
        <w:rPr>
          <w:color w:val="000000"/>
        </w:rPr>
      </w:pPr>
      <w:r>
        <w:rPr>
          <w:color w:val="000000"/>
        </w:rPr>
        <w:t xml:space="preserve">Where </w:t>
      </w:r>
      <m:oMath>
        <m:sSub>
          <m:sSubPr>
            <m:ctrlPr>
              <w:rPr>
                <w:rFonts w:ascii="Cambria Math" w:hAnsi="Cambria Math"/>
                <w:i/>
                <w:color w:val="000000"/>
              </w:rPr>
            </m:ctrlPr>
          </m:sSubPr>
          <m:e>
            <m:r>
              <w:rPr>
                <w:rFonts w:ascii="Cambria Math" w:hAnsi="Cambria Math"/>
                <w:color w:val="000000"/>
              </w:rPr>
              <m:t>ρ</m:t>
            </m:r>
          </m:e>
          <m:sub>
            <m:r>
              <w:rPr>
                <w:rFonts w:ascii="Cambria Math" w:hAnsi="Cambria Math"/>
                <w:color w:val="000000"/>
              </w:rPr>
              <m:t>i</m:t>
            </m:r>
          </m:sub>
        </m:sSub>
      </m:oMath>
      <w:r>
        <w:rPr>
          <w:color w:val="000000"/>
        </w:rPr>
        <w:t xml:space="preserve"> is the rank of residue</w:t>
      </w:r>
      <m:oMath>
        <m:r>
          <w:rPr>
            <w:rFonts w:ascii="Cambria Math" w:hAnsi="Cambria Math"/>
            <w:color w:val="000000"/>
          </w:rPr>
          <m:t xml:space="preserve"> i</m:t>
        </m:r>
      </m:oMath>
      <w:r>
        <w:rPr>
          <w:color w:val="000000"/>
        </w:rPr>
        <w:t xml:space="preserve">, </w:t>
      </w:r>
      <m:oMath>
        <m:r>
          <w:rPr>
            <w:rFonts w:ascii="Cambria Math" w:hAnsi="Cambria Math"/>
            <w:color w:val="000000"/>
          </w:rPr>
          <m:t>N</m:t>
        </m:r>
      </m:oMath>
      <w:r>
        <w:rPr>
          <w:color w:val="000000"/>
        </w:rPr>
        <w:t xml:space="preserve"> is the height of the phylogenetic tree, </w:t>
      </w:r>
      <m:oMath>
        <m:r>
          <w:rPr>
            <w:rFonts w:ascii="Cambria Math" w:hAnsi="Cambria Math"/>
            <w:color w:val="000000"/>
          </w:rPr>
          <m:t>n</m:t>
        </m:r>
      </m:oMath>
      <w:r>
        <w:rPr>
          <w:color w:val="000000"/>
        </w:rPr>
        <w:t xml:space="preserve"> is a specific level in the tree (1 being the root and </w:t>
      </w:r>
      <m:oMath>
        <m:r>
          <w:rPr>
            <w:rFonts w:ascii="Cambria Math" w:hAnsi="Cambria Math"/>
            <w:color w:val="000000"/>
          </w:rPr>
          <m:t>N</m:t>
        </m:r>
      </m:oMath>
      <w:r>
        <w:rPr>
          <w:color w:val="000000"/>
        </w:rPr>
        <w:t xml:space="preserve"> being the leaves), </w:t>
      </w:r>
      <m:oMath>
        <m:r>
          <w:rPr>
            <w:rFonts w:ascii="Cambria Math" w:hAnsi="Cambria Math"/>
            <w:color w:val="000000"/>
          </w:rPr>
          <m:t>g</m:t>
        </m:r>
      </m:oMath>
      <w:r>
        <w:rPr>
          <w:color w:val="000000"/>
        </w:rPr>
        <w:t xml:space="preserve"> is a specific branch at level </w:t>
      </w:r>
      <m:oMath>
        <m:r>
          <w:rPr>
            <w:rFonts w:ascii="Cambria Math" w:hAnsi="Cambria Math"/>
            <w:color w:val="000000"/>
          </w:rPr>
          <m:t>n</m:t>
        </m:r>
      </m:oMath>
      <w:r>
        <w:rPr>
          <w:color w:val="000000"/>
        </w:rPr>
        <w:t xml:space="preserve">, and </w:t>
      </w:r>
      <m:oMath>
        <m:r>
          <w:rPr>
            <w:rFonts w:ascii="Cambria Math" w:hAnsi="Cambria Math"/>
            <w:color w:val="000000"/>
          </w:rPr>
          <m:t>a</m:t>
        </m:r>
      </m:oMath>
      <w:r>
        <w:rPr>
          <w:color w:val="000000"/>
        </w:rPr>
        <w:t xml:space="preserve"> is an amino acid. The ET ranking of a residue position is the percentile ranking (0-100, 0 for most important) of its raw ET score. An average trace was also computed by taking the raw residue importance scores from each of the three traces performed, averaging them and computing a new ET ranking based on the averaged raw scores.</w:t>
      </w:r>
    </w:p>
    <w:p w14:paraId="59D9D21B" w14:textId="77777777" w:rsidR="000B15D7" w:rsidRDefault="000B15D7" w:rsidP="000B15D7">
      <w:pPr>
        <w:jc w:val="both"/>
        <w:rPr>
          <w:color w:val="000000"/>
        </w:rPr>
      </w:pPr>
    </w:p>
    <w:p w14:paraId="145E4C46" w14:textId="77777777" w:rsidR="000B15D7" w:rsidRPr="008F2B7C" w:rsidRDefault="000B15D7" w:rsidP="000B15D7">
      <w:pPr>
        <w:jc w:val="both"/>
        <w:rPr>
          <w:b/>
          <w:color w:val="000000"/>
        </w:rPr>
      </w:pPr>
      <w:r w:rsidRPr="008F2B7C">
        <w:rPr>
          <w:b/>
          <w:color w:val="000000"/>
        </w:rPr>
        <w:t>Selection Cluster Weighting (SCW) Z-Score Evaluation</w:t>
      </w:r>
    </w:p>
    <w:p w14:paraId="00A0D394" w14:textId="77777777" w:rsidR="000B15D7" w:rsidRDefault="000B15D7" w:rsidP="000B15D7">
      <w:pPr>
        <w:jc w:val="both"/>
        <w:rPr>
          <w:color w:val="000000"/>
        </w:rPr>
      </w:pPr>
      <w:r>
        <w:rPr>
          <w:color w:val="000000"/>
        </w:rPr>
        <w:t xml:space="preserve">Traces were evaluated using the unbiased form of the SCW Z-Score metric </w:t>
      </w:r>
      <w:r>
        <w:rPr>
          <w:color w:val="000000"/>
        </w:rPr>
        <w:fldChar w:fldCharType="begin" w:fldLock="1"/>
      </w:r>
      <w:r>
        <w:rPr>
          <w:color w:val="000000"/>
        </w:rPr>
        <w:instrText>ADDIN CSL_CITATION {"citationItems":[{"id":"ITEM-1","itemData":{"DOI":"10.1016/j.jmb.2003.12.078","ISSN":"00222836","abstract":"In order to identify the amino acids that determine protein structure and function it is useful to rank them by their relative importance. Previous approaches belong to two groups; those that rely on statistical inference, and those that focus on phylogenetic analysis. Here, we introduce a class of hybrid methods that combine evolutionary and entropic information from multiple sequence alignments. A detailed analysis in insulin receptor kinase domain and tests on proteins that are well-characterized experimentally show the hybrids' greater robustness with respect to the input choice of sequences, as well as improved sensitivity and specificity of prediction. This is a further step toward proteome scale analysis of protein structure and function. © 2004 Elsevier Ltd. All rights reserved.","author":[{"dropping-particle":"","family":"Mihalek","given":"I.","non-dropping-particle":"","parse-names":false,"suffix":""},{"dropping-particle":"","family":"Reš","given":"I.","non-dropping-particle":"","parse-names":false,"suffix":""},{"dropping-particle":"","family":"Lichtarge","given":"O.","non-dropping-particle":"","parse-names":false,"suffix":""}],"container-title":"Journal of Molecular Biology","id":"ITEM-1","issue":"5","issued":{"date-parts":[["2004","3","5"]]},"page":"1265-1282","publisher":"Academic Press","title":"A Family of Evolution-Entropy Hybrid Methods for Ranking Protein Residues by Importance","type":"article-journal","volume":"336"},"uris":["http://www.mendeley.com/documents/?uuid=48c83a51-77de-3bdf-b920-6b8c674df8a7"]},{"id":"ITEM-2","itemData":{"DOI":"10.1186/1471-2105-8-488","ISSN":"14712105","abstract":"Background: Shannon entropy applied to columns of multiple sequence alignments as a score of residue conservation has proven one of the most fruitful ideas in bioinformatics. This straightforward and intuitively appealing measure clearly shows the regions of a protein under increased evolutionary pressure, highlighting their functional importance. The inability of the column entropy to differentiate between residue types, however, limits its resolution power. Results: In this work we suggest generalizing Shannon's expression to a function with similar mathematical properties, that, at the same time, includes observed propensities of residue types to mutate to each other. To do that, we revisit the original construction of BLOSUM matrices, and re-interpret them as mutation probability matrices. These probabilities are then used as background frequencies in the revised residue conservation measure. Conclusion: We show that joint entropy with BLOSUM-proportional probabilities as a reference distribution enables detection of protein functional sites comparable in quality to a time-costly maximum-likelihood evolution simulation method (rate4site), and offers greater resolution than the Shannon entropy alone, in particular in the cases when the available sequences are of narrow evolutionary scope. © 2007 Mihalek et al; licensee BioMed Central Ltd.","author":[{"dropping-particle":"","family":"Mihalek","given":"I.","non-dropping-particle":"","parse-names":false,"suffix":""},{"dropping-particle":"","family":"Reš","given":"I.","non-dropping-particle":"","parse-names":false,"suffix":""},{"dropping-particle":"","family":"Lichtarge","given":"O.","non-dropping-particle":"","parse-names":false,"suffix":""}],"container-title":"BMC Bioinformatics","id":"ITEM-2","issued":{"date-parts":[["2007","12","27"]]},"publisher":"BMC Bioinformatics","title":"Background frequencies for residue variability estimates: BLOSUM revisited","type":"article-journal","volume":"8"},"uris":["http://www.mendeley.com/documents/?uuid=5185f72c-7985-3373-a746-a6fe6759a0c9"]},{"id":"ITEM-3","itemData":{"DOI":"10.1002/pro.406","ISSN":"09618368","abstract":"Protein functional sites control most biological processes and are important targets for drug design and protein engineering. To characterize them, the evolutionary trace (ET) ranks the relative importance of residues according to their evolutionary variations. Generally, top-ranked residues cluster spatially to define evolutionary hotspots that predict functional sites in structures. Here, various functions that measure the physical continuity of ET ranks among neighboring residues in the structure, or in the sequence, are shown to inform sequence selection and to improve functional site resolution. This is shown first, in 110 proteins, for which the overlap between top-ranked residues and actual functional sites rose by 8% in significance. Then, on a structural proteomic scale, optimized ET led to better 3D structure-function motifs (3D templates) and, in turn, to enzyme function prediction by the Evolutionary Trace Annotation (ETA) method with better sensitivity of (40% to 53%) and positive predictive value (93% to 94%). This suggests that the similarity of evolutionary importance among neighboring residues in the sequence and in the structure is a universal feature of protein evolution. In practice, this yields a tool for optimizing sequence selections for comparative analysis and, via ET, for better predictions of functional site and function. This should prove useful for the efficient mutational redesign of protein function and for pharmaceutical targeting. Published by Wiley-Blackwell. © 2010 The Protein Society.","author":[{"dropping-particle":"","family":"Wilkins","given":"A. D.","non-dropping-particle":"","parse-names":false,"suffix":""},{"dropping-particle":"","family":"Lua","given":"R.","non-dropping-particle":"","parse-names":false,"suffix":""},{"dropping-particle":"","family":"Erdin","given":"S.","non-dropping-particle":"","parse-names":false,"suffix":""},{"dropping-particle":"","family":"Ward","given":"R. M.","non-dropping-particle":"","parse-names":false,"suffix":""},{"dropping-particle":"","family":"Lichtarge","given":"O.","non-dropping-particle":"","parse-names":false,"suffix":""}],"container-title":"Protein Science","id":"ITEM-3","issue":"7","issued":{"date-parts":[["2010","7","1"]]},"page":"1296-1311","publisher":"Cold Spring Harbor Laboratory Press","title":"Sequence and structure continuity of evolutionary importance improves protein functional site discovery and annotation","type":"article-journal","volume":"19"},"uris":["http://www.mendeley.com/documents/?uuid=9d85d5c8-5471-33f8-ba6e-ef7b02738806"]},{"id":"ITEM-4","itemData":{"DOI":"10.1093/bioinformatics/btt489","ISSN":"13674803","PMID":"24021383","abstract":"Motivation: The constraints under which sequence, structure and function coevolve are not fully understood. Bringing this mutual relationship to light can reveal the molecular basis of binding, catalysis and allostery, thereby identifying function and rationally guiding protein redesign. Underlying these relationships are the epistatic interactions that occur when the consequences of a mutation to a protein are determined by the genetic background in which it occurs. Based on prior data, we hypothesize that epistatic forces operate most strongly between residues nearby in the structure, resulting in smooth evolutionary importance across the structure. Methods and Results: We find that when residue scores of evolutionary importance are distributed smoothly between nearby residues, functional site prediction accuracy improves. Accordingly, we designed a novel measure of evolutionary importance that focuses on the interaction between pairs of structurally neighboring residues. This measure that we term pair-interaction Evolutionary Trace yields greater functional site overlap and better structure-based proteome-wide functional predictions. Conclusions: Our data show that the structural smoothness of evolutionary importance is a fundamental feature of the coevolution of sequence, structure and function. Mutations operate on individual residues, but selective pressure depends in part on the extent to which a mutation perturbs interactions with neighboring residues. In practice, this principle led us to redefine the importance of a residue in terms of the importance of its epistatic interactions with neighbors, yielding better annotation of functional residues, motivating experimental validation of a novel functional site in LexA and refining protein function prediction. © 2013 The Author 2013.","author":[{"dropping-particle":"","family":"Wilkins","given":"Angela D.","non-dropping-particle":"","parse-names":false,"suffix":""},{"dropping-particle":"","family":"Venner","given":"Eric","non-dropping-particle":"","parse-names":false,"suffix":""},{"dropping-particle":"","family":"Marciano","given":"David C.","non-dropping-particle":"","parse-names":false,"suffix":""},{"dropping-particle":"","family":"Erdin","given":"Serkan","non-dropping-particle":"","parse-names":false,"suffix":""},{"dropping-particle":"","family":"Atri","given":"Benu","non-dropping-particle":"","parse-names":false,"suffix":""},{"dropping-particle":"","family":"Lua","given":"Rhonald C.","non-dropping-particle":"","parse-names":false,"suffix":""},{"dropping-particle":"","family":"Lichtarge","given":"Olivier","non-dropping-particle":"","parse-names":false,"suffix":""}],"container-title":"Bioinformatics","id":"ITEM-4","issue":"21","issued":{"date-parts":[["2013","11","1"]]},"page":"2714-2721","publisher":"Bioinformatics","title":"Accounting for epistatic interactions improves the functional analysis of protein structures","type":"article-journal","volume":"29"},"uris":["http://www.mendeley.com/documents/?uuid=d6235d91-46e6-3839-8488-257c07658319"]}],"mendeley":{"formattedCitation":"(7, 12–14)","plainTextFormattedCitation":"(7, 12–14)","previouslyFormattedCitation":"(7, 12–14)"},"properties":{"noteIndex":0},"schema":"https://github.com/citation-style-language/schema/raw/master/csl-citation.json"}</w:instrText>
      </w:r>
      <w:r>
        <w:rPr>
          <w:color w:val="000000"/>
        </w:rPr>
        <w:fldChar w:fldCharType="separate"/>
      </w:r>
      <w:r w:rsidRPr="00FB114B">
        <w:rPr>
          <w:noProof/>
          <w:color w:val="000000"/>
        </w:rPr>
        <w:t>(7, 12–14)</w:t>
      </w:r>
      <w:r>
        <w:rPr>
          <w:color w:val="000000"/>
        </w:rPr>
        <w:fldChar w:fldCharType="end"/>
      </w:r>
      <w:r>
        <w:rPr>
          <w:color w:val="000000"/>
        </w:rPr>
        <w:t xml:space="preserve">, which measures how clustered top ranked residues are on the three-dimensional protein structure, it is available through the PyETViewer plugin for PyMol </w:t>
      </w:r>
      <w:r>
        <w:rPr>
          <w:color w:val="000000"/>
        </w:rPr>
        <w:fldChar w:fldCharType="begin" w:fldLock="1"/>
      </w:r>
      <w:r>
        <w:rPr>
          <w:color w:val="000000"/>
        </w:rPr>
        <w:instrText>ADDIN CSL_CITATION {"citationItems":[{"id":"ITEM-1","itemData":{"DOI":"10.1093/bioinformatics/btq566","ISSN":"13674803","PMID":"20929911","abstract":"Summary: PyETV is a PyMOL plugin for viewing, analyzing and manipulating predictions of evolutionarily important residues and sites in protein structures and their complexes. It seamlessly captures the output of the Evolutionary Trace server, namely ranked importance of residues, for multiple chains of a complex. It then yields a high resolution graphical interface showing their distribution and clustering throughout a quaternary structure, including at interfaces. Together with other tools in the popular PyMOL viewer, PyETV thus provides a novel tool to integrate evolutionary forces into the design of experiments targeting the most functionally relevant sites of a protein. © The Author 2010. Published by Oxford University Press. All rights reserved.","author":[{"dropping-particle":"","family":"Lua","given":"Rhonald C.","non-dropping-particle":"","parse-names":false,"suffix":""},{"dropping-particle":"","family":"Lichtarge","given":"Olivier","non-dropping-particle":"","parse-names":false,"suffix":""}],"container-title":"Bioinformatics","id":"ITEM-1","issue":"23","issued":{"date-parts":[["2010","12","1"]]},"page":"2981-2982","publisher":"Oxford Academic","title":"PyETV: A PyMOL evolutionary trace viewer to analyze functional site predictions in protein complexes","type":"article-journal","volume":"26"},"uris":["http://www.mendeley.com/documents/?uuid=e219dcbd-0d32-3e48-9245-1668db221f28"]}],"mendeley":{"formattedCitation":"(15)","plainTextFormattedCitation":"(15)","previouslyFormattedCitation":"(15)"},"properties":{"noteIndex":0},"schema":"https://github.com/citation-style-language/schema/raw/master/csl-citation.json"}</w:instrText>
      </w:r>
      <w:r>
        <w:rPr>
          <w:color w:val="000000"/>
        </w:rPr>
        <w:fldChar w:fldCharType="separate"/>
      </w:r>
      <w:r w:rsidRPr="00FB114B">
        <w:rPr>
          <w:noProof/>
          <w:color w:val="000000"/>
        </w:rPr>
        <w:t>(15)</w:t>
      </w:r>
      <w:r>
        <w:rPr>
          <w:color w:val="000000"/>
        </w:rPr>
        <w:fldChar w:fldCharType="end"/>
      </w:r>
      <w:r>
        <w:rPr>
          <w:color w:val="000000"/>
        </w:rPr>
        <w:t>. Briefly, the weight assigned to a selection of residues is given by:</w:t>
      </w:r>
    </w:p>
    <w:p w14:paraId="34E18672" w14:textId="77777777" w:rsidR="000B15D7" w:rsidRDefault="000B15D7" w:rsidP="000B15D7">
      <w:pPr>
        <w:jc w:val="both"/>
        <w:rPr>
          <w:color w:val="000000"/>
        </w:rPr>
      </w:pPr>
      <m:oMathPara>
        <m:oMath>
          <m:r>
            <w:rPr>
              <w:rFonts w:ascii="Cambria Math" w:hAnsi="Cambria Math"/>
              <w:color w:val="000000"/>
            </w:rPr>
            <m:t>w=</m:t>
          </m:r>
          <m:nary>
            <m:naryPr>
              <m:chr m:val="∑"/>
              <m:limLoc m:val="undOvr"/>
              <m:ctrlPr>
                <w:rPr>
                  <w:rFonts w:ascii="Cambria Math" w:hAnsi="Cambria Math"/>
                  <w:i/>
                  <w:color w:val="000000"/>
                </w:rPr>
              </m:ctrlPr>
            </m:naryPr>
            <m:sub>
              <m:r>
                <w:rPr>
                  <w:rFonts w:ascii="Cambria Math" w:hAnsi="Cambria Math"/>
                  <w:color w:val="000000"/>
                </w:rPr>
                <m:t>i&lt;j</m:t>
              </m:r>
            </m:sub>
            <m:sup>
              <m:r>
                <w:rPr>
                  <w:rFonts w:ascii="Cambria Math" w:hAnsi="Cambria Math"/>
                  <w:color w:val="000000"/>
                </w:rPr>
                <m:t>L</m:t>
              </m:r>
            </m:sup>
            <m:e>
              <m:r>
                <w:rPr>
                  <w:rFonts w:ascii="Cambria Math" w:hAnsi="Cambria Math"/>
                  <w:color w:val="000000"/>
                </w:rPr>
                <m:t>S</m:t>
              </m:r>
              <m:d>
                <m:dPr>
                  <m:ctrlPr>
                    <w:rPr>
                      <w:rFonts w:ascii="Cambria Math" w:hAnsi="Cambria Math"/>
                      <w:i/>
                      <w:color w:val="000000"/>
                    </w:rPr>
                  </m:ctrlPr>
                </m:dPr>
                <m:e>
                  <m:r>
                    <w:rPr>
                      <w:rFonts w:ascii="Cambria Math" w:hAnsi="Cambria Math"/>
                      <w:color w:val="000000"/>
                    </w:rPr>
                    <m:t>i</m:t>
                  </m:r>
                </m:e>
              </m:d>
              <m:r>
                <w:rPr>
                  <w:rFonts w:ascii="Cambria Math" w:hAnsi="Cambria Math"/>
                  <w:color w:val="000000"/>
                </w:rPr>
                <m:t>S</m:t>
              </m:r>
              <m:d>
                <m:dPr>
                  <m:ctrlPr>
                    <w:rPr>
                      <w:rFonts w:ascii="Cambria Math" w:hAnsi="Cambria Math"/>
                      <w:i/>
                      <w:color w:val="000000"/>
                    </w:rPr>
                  </m:ctrlPr>
                </m:dPr>
                <m:e>
                  <m:r>
                    <w:rPr>
                      <w:rFonts w:ascii="Cambria Math" w:hAnsi="Cambria Math"/>
                      <w:color w:val="000000"/>
                    </w:rPr>
                    <m:t>j</m:t>
                  </m:r>
                </m:e>
              </m:d>
              <m:r>
                <w:rPr>
                  <w:rFonts w:ascii="Cambria Math" w:hAnsi="Cambria Math"/>
                  <w:color w:val="000000"/>
                </w:rPr>
                <m:t>A</m:t>
              </m:r>
              <m:d>
                <m:dPr>
                  <m:ctrlPr>
                    <w:rPr>
                      <w:rFonts w:ascii="Cambria Math" w:hAnsi="Cambria Math"/>
                      <w:i/>
                      <w:color w:val="000000"/>
                    </w:rPr>
                  </m:ctrlPr>
                </m:dPr>
                <m:e>
                  <m:r>
                    <w:rPr>
                      <w:rFonts w:ascii="Cambria Math" w:hAnsi="Cambria Math"/>
                      <w:color w:val="000000"/>
                    </w:rPr>
                    <m:t>i,j</m:t>
                  </m:r>
                </m:e>
              </m:d>
            </m:e>
          </m:nary>
        </m:oMath>
      </m:oMathPara>
    </w:p>
    <w:p w14:paraId="4AEF874D" w14:textId="77777777" w:rsidR="000B15D7" w:rsidRPr="003264C8" w:rsidRDefault="000B15D7" w:rsidP="000B15D7">
      <w:pPr>
        <w:jc w:val="both"/>
        <w:rPr>
          <w:color w:val="000000"/>
        </w:rPr>
      </w:pPr>
      <w:r>
        <w:rPr>
          <w:color w:val="000000"/>
        </w:rPr>
        <w:lastRenderedPageBreak/>
        <w:t xml:space="preserve">where </w:t>
      </w:r>
      <m:oMath>
        <m:r>
          <w:rPr>
            <w:rFonts w:ascii="Cambria Math" w:hAnsi="Cambria Math"/>
            <w:color w:val="000000"/>
          </w:rPr>
          <m:t>L</m:t>
        </m:r>
      </m:oMath>
      <w:r>
        <w:rPr>
          <w:color w:val="000000"/>
        </w:rPr>
        <w:t xml:space="preserve"> is the full set of pairs of residues in a protein (counted only once per pair as specified by the term </w:t>
      </w:r>
      <m:oMath>
        <m:r>
          <w:rPr>
            <w:rFonts w:ascii="Cambria Math" w:hAnsi="Cambria Math"/>
            <w:color w:val="000000"/>
          </w:rPr>
          <m:t>i&lt;j</m:t>
        </m:r>
      </m:oMath>
      <w:r>
        <w:rPr>
          <w:color w:val="000000"/>
        </w:rPr>
        <w:t>), S is a selection function and returns 1 for a given residue (</w:t>
      </w:r>
      <m:oMath>
        <m:r>
          <w:rPr>
            <w:rFonts w:ascii="Cambria Math" w:hAnsi="Cambria Math"/>
            <w:color w:val="000000"/>
          </w:rPr>
          <m:t>i</m:t>
        </m:r>
      </m:oMath>
      <w:r>
        <w:rPr>
          <w:color w:val="000000"/>
        </w:rPr>
        <w:t xml:space="preserve"> or </w:t>
      </w:r>
      <m:oMath>
        <m:r>
          <w:rPr>
            <w:rFonts w:ascii="Cambria Math" w:hAnsi="Cambria Math"/>
            <w:color w:val="000000"/>
          </w:rPr>
          <m:t>j</m:t>
        </m:r>
      </m:oMath>
      <w:r>
        <w:rPr>
          <w:color w:val="000000"/>
        </w:rPr>
        <w:t xml:space="preserve">) if that residue passes a </w:t>
      </w:r>
      <w:r w:rsidRPr="001A3894">
        <w:rPr>
          <w:color w:val="000000"/>
        </w:rPr>
        <w:t>given ET ranking (coverage) cutoff. For all measurements taken in this manuscript, a cutoff of coverage of</w:t>
      </w:r>
      <w:r>
        <w:rPr>
          <w:color w:val="000000"/>
        </w:rPr>
        <w:t xml:space="preserve"> 30 was used.</w:t>
      </w:r>
    </w:p>
    <w:p w14:paraId="622669AD" w14:textId="77777777" w:rsidR="000B15D7" w:rsidRDefault="000B15D7" w:rsidP="000B15D7">
      <w:pPr>
        <w:jc w:val="both"/>
        <w:rPr>
          <w:color w:val="000000"/>
        </w:rPr>
      </w:pPr>
    </w:p>
    <w:p w14:paraId="76B10C21" w14:textId="77777777" w:rsidR="000B15D7" w:rsidRPr="001A3894" w:rsidRDefault="000B15D7" w:rsidP="000B15D7">
      <w:pPr>
        <w:jc w:val="both"/>
        <w:rPr>
          <w:b/>
          <w:color w:val="000000"/>
        </w:rPr>
      </w:pPr>
      <w:r w:rsidRPr="001A3894">
        <w:rPr>
          <w:b/>
          <w:color w:val="000000"/>
        </w:rPr>
        <w:t>Evolutionary Therapeutic Sites</w:t>
      </w:r>
    </w:p>
    <w:p w14:paraId="012B389E" w14:textId="77777777" w:rsidR="000B15D7" w:rsidRPr="001A3894" w:rsidRDefault="000B15D7" w:rsidP="000B15D7">
      <w:pPr>
        <w:jc w:val="both"/>
        <w:rPr>
          <w:color w:val="000000"/>
        </w:rPr>
      </w:pPr>
      <w:r w:rsidRPr="001A3894">
        <w:rPr>
          <w:color w:val="000000"/>
        </w:rPr>
        <w:t>Structural sites were</w:t>
      </w:r>
      <w:r>
        <w:rPr>
          <w:color w:val="000000"/>
        </w:rPr>
        <w:t xml:space="preserve"> predicted by filtering all atoms in a protein structure for the Evolutionary Trace coverage score and unique variant count of their residue, and their surface accessibility. An atom was considered a candidate if its residue’s ET ranking was </w:t>
      </w:r>
      <w:r>
        <w:rPr>
          <w:rFonts w:ascii="Symbol" w:eastAsia="Symbol" w:hAnsi="Symbol" w:cs="Symbol"/>
          <w:color w:val="000000"/>
        </w:rPr>
        <w:t></w:t>
      </w:r>
      <w:r>
        <w:rPr>
          <w:color w:val="000000"/>
        </w:rPr>
        <w:t xml:space="preserve"> 30 and had 0 </w:t>
      </w:r>
      <w:r w:rsidRPr="001A3894">
        <w:rPr>
          <w:color w:val="000000"/>
        </w:rPr>
        <w:t xml:space="preserve">unique SARS-CoV-2 variants (i.e. has not been seen to vary in the current outbreak), and if it had an accessible surface area </w:t>
      </w:r>
      <w:r w:rsidRPr="001A3894">
        <w:rPr>
          <w:rFonts w:ascii="Symbol" w:eastAsia="Symbol" w:hAnsi="Symbol" w:cs="Symbol"/>
          <w:color w:val="000000"/>
        </w:rPr>
        <w:t></w:t>
      </w:r>
      <w:r w:rsidRPr="001A3894">
        <w:rPr>
          <w:color w:val="000000"/>
        </w:rPr>
        <w:t xml:space="preserve"> 0.04 Angstroms</w:t>
      </w:r>
      <w:r w:rsidRPr="001A3894">
        <w:rPr>
          <w:color w:val="000000"/>
          <w:vertAlign w:val="superscript"/>
        </w:rPr>
        <w:t>2</w:t>
      </w:r>
      <w:r w:rsidRPr="001A3894">
        <w:rPr>
          <w:color w:val="000000"/>
        </w:rPr>
        <w:t xml:space="preserve"> as measured by the get_area command in PyMol </w:t>
      </w:r>
      <w:r w:rsidRPr="001A3894">
        <w:rPr>
          <w:color w:val="000000"/>
        </w:rPr>
        <w:fldChar w:fldCharType="begin" w:fldLock="1"/>
      </w:r>
      <w:r w:rsidRPr="001A3894">
        <w:rPr>
          <w:color w:val="000000"/>
        </w:rPr>
        <w:instrText>ADDIN CSL_CITATION {"citationItems":[{"id":"ITEM-1","itemData":{"id":"ITEM-1","issued":{"date-parts":[["0"]]},"number":"2.3.5","publisher":"Schrödinger, LLC.","title":"The PyMOL Molecular Graphics System","type":"article"},"uris":["http://www.mendeley.com/documents/?uuid=3f98acf9-b890-3dee-a832-d7600eac7e74","http://www.mendeley.com/documents/?uuid=c05a2cff-a64b-4862-a23b-91991e208e9b"]}],"mendeley":{"formattedCitation":"(16)","plainTextFormattedCitation":"(16)","previouslyFormattedCitation":"(16)"},"properties":{"noteIndex":0},"schema":"https://github.com/citation-style-language/schema/raw/master/csl-citation.json"}</w:instrText>
      </w:r>
      <w:r w:rsidRPr="001A3894">
        <w:rPr>
          <w:color w:val="000000"/>
        </w:rPr>
        <w:fldChar w:fldCharType="separate"/>
      </w:r>
      <w:r w:rsidRPr="001A3894">
        <w:rPr>
          <w:noProof/>
          <w:color w:val="000000"/>
        </w:rPr>
        <w:t>(16)</w:t>
      </w:r>
      <w:r w:rsidRPr="001A3894">
        <w:rPr>
          <w:color w:val="000000"/>
        </w:rPr>
        <w:fldChar w:fldCharType="end"/>
      </w:r>
      <w:r w:rsidRPr="001A3894">
        <w:rPr>
          <w:color w:val="000000"/>
        </w:rPr>
        <w:t>. The distance between candidate atoms was then measured and clusters of atoms within 5 angstroms of one another were formed. For each such cluster the residue to which each atom belongs was identified and clusters with &gt;2 residues were nominated as potential structural epitopes.</w:t>
      </w:r>
    </w:p>
    <w:p w14:paraId="7227A4CA" w14:textId="77777777" w:rsidR="000B15D7" w:rsidRDefault="000B15D7" w:rsidP="000B15D7">
      <w:pPr>
        <w:jc w:val="both"/>
        <w:rPr>
          <w:color w:val="000000"/>
        </w:rPr>
      </w:pPr>
      <w:r w:rsidRPr="001A3894">
        <w:rPr>
          <w:color w:val="000000"/>
        </w:rPr>
        <w:t xml:space="preserve">Linear epitopes were defined as consecutive amino acids (more than 1) in the protein sequences that have ET ranking </w:t>
      </w:r>
      <w:r w:rsidRPr="001A3894">
        <w:rPr>
          <w:rFonts w:ascii="Symbol" w:eastAsia="Symbol" w:hAnsi="Symbol" w:cs="Symbol"/>
          <w:color w:val="000000"/>
        </w:rPr>
        <w:t></w:t>
      </w:r>
      <w:r w:rsidRPr="001A3894">
        <w:rPr>
          <w:color w:val="000000"/>
        </w:rPr>
        <w:t xml:space="preserve"> 30 and that are not mutated in the current outbr</w:t>
      </w:r>
      <w:r>
        <w:rPr>
          <w:color w:val="000000"/>
        </w:rPr>
        <w:t xml:space="preserve">eak. </w:t>
      </w:r>
    </w:p>
    <w:p w14:paraId="75E9DDB4" w14:textId="77777777" w:rsidR="000B15D7" w:rsidRDefault="000B15D7" w:rsidP="000B15D7">
      <w:pPr>
        <w:jc w:val="both"/>
        <w:rPr>
          <w:color w:val="000000"/>
        </w:rPr>
      </w:pPr>
    </w:p>
    <w:p w14:paraId="27EB4598" w14:textId="77777777" w:rsidR="000B15D7" w:rsidRPr="008F2B7C" w:rsidRDefault="000B15D7" w:rsidP="000B15D7">
      <w:pPr>
        <w:jc w:val="both"/>
        <w:rPr>
          <w:b/>
          <w:color w:val="000000"/>
        </w:rPr>
      </w:pPr>
      <w:r w:rsidRPr="008F2B7C">
        <w:rPr>
          <w:b/>
          <w:color w:val="000000"/>
        </w:rPr>
        <w:t>Comparison to Known Drugs</w:t>
      </w:r>
    </w:p>
    <w:p w14:paraId="07D98DCC" w14:textId="77777777" w:rsidR="000B15D7" w:rsidRDefault="000B15D7" w:rsidP="000B15D7">
      <w:pPr>
        <w:jc w:val="both"/>
        <w:rPr>
          <w:color w:val="000000"/>
        </w:rPr>
      </w:pPr>
      <w:r>
        <w:rPr>
          <w:color w:val="000000"/>
        </w:rPr>
        <w:t>Structural</w:t>
      </w:r>
      <w:r w:rsidRPr="00D74A99">
        <w:rPr>
          <w:color w:val="000000"/>
        </w:rPr>
        <w:t xml:space="preserve"> epitopes</w:t>
      </w:r>
      <w:r>
        <w:rPr>
          <w:color w:val="000000"/>
        </w:rPr>
        <w:t xml:space="preserve"> (5Å cutoff)</w:t>
      </w:r>
      <w:r w:rsidRPr="00D74A99">
        <w:rPr>
          <w:color w:val="000000"/>
        </w:rPr>
        <w:t xml:space="preserve"> were identified using apo form structures, then mapped to the co-structures of NSP3 with peptide inhibitor </w:t>
      </w:r>
      <w:r w:rsidRPr="001A3894">
        <w:rPr>
          <w:color w:val="000000"/>
        </w:rPr>
        <w:t>vir251 (PDB:6wx4),</w:t>
      </w:r>
      <w:r w:rsidRPr="00D74A99">
        <w:rPr>
          <w:color w:val="000000"/>
        </w:rPr>
        <w:t xml:space="preserve"> NSP5 with potential drug 13b (PDB:6y2f), NSP12 with drug remdesivir (7bv2), NSP15 in complex with potential drug tipiracil (PDB:6wxc), and NSP16 with sinefungin (PDB:6wkq).</w:t>
      </w:r>
    </w:p>
    <w:p w14:paraId="402179B7" w14:textId="77777777" w:rsidR="000B15D7" w:rsidRDefault="000B15D7" w:rsidP="000B15D7">
      <w:pPr>
        <w:jc w:val="both"/>
        <w:rPr>
          <w:color w:val="000000"/>
        </w:rPr>
      </w:pPr>
    </w:p>
    <w:p w14:paraId="5F473A92" w14:textId="77777777" w:rsidR="000B15D7" w:rsidRPr="001B439B" w:rsidRDefault="000B15D7" w:rsidP="000B15D7">
      <w:pPr>
        <w:jc w:val="both"/>
        <w:rPr>
          <w:b/>
          <w:bCs/>
          <w:color w:val="000000"/>
        </w:rPr>
      </w:pPr>
      <w:r>
        <w:rPr>
          <w:b/>
          <w:bCs/>
          <w:color w:val="000000"/>
        </w:rPr>
        <w:t xml:space="preserve">Analysis of </w:t>
      </w:r>
      <w:proofErr w:type="gramStart"/>
      <w:r>
        <w:rPr>
          <w:b/>
          <w:bCs/>
          <w:color w:val="000000"/>
        </w:rPr>
        <w:t>Cross Reactive</w:t>
      </w:r>
      <w:proofErr w:type="gramEnd"/>
      <w:r>
        <w:rPr>
          <w:b/>
          <w:bCs/>
          <w:color w:val="000000"/>
        </w:rPr>
        <w:t xml:space="preserve"> Epitopes</w:t>
      </w:r>
    </w:p>
    <w:p w14:paraId="4A9ECBC1" w14:textId="77777777" w:rsidR="000B15D7" w:rsidRDefault="000B15D7" w:rsidP="000B15D7">
      <w:pPr>
        <w:autoSpaceDE w:val="0"/>
        <w:autoSpaceDN w:val="0"/>
        <w:adjustRightInd w:val="0"/>
        <w:rPr>
          <w:rFonts w:eastAsiaTheme="minorEastAsia"/>
          <w:lang w:eastAsia="zh-CN"/>
        </w:rPr>
      </w:pPr>
      <w:r>
        <w:rPr>
          <w:color w:val="000000"/>
        </w:rPr>
        <w:t xml:space="preserve">Mateus et al. identified 61 SARS-CoV-2 T-cell epitopes (15mers) that have homologous sequences in other </w:t>
      </w:r>
      <w:r>
        <w:rPr>
          <w:rFonts w:eastAsiaTheme="minorEastAsia"/>
          <w:lang w:eastAsia="zh-CN"/>
        </w:rPr>
        <w:t xml:space="preserve">Alphacoronaviruses and Embecoviruses (subgenus of Betacoronaviruses), which include 4 common human coronaviruses (229E, NL63, HKU1 and OC43) </w:t>
      </w:r>
      <w:r>
        <w:rPr>
          <w:rFonts w:eastAsiaTheme="minorEastAsia"/>
          <w:lang w:eastAsia="zh-CN"/>
        </w:rPr>
        <w:fldChar w:fldCharType="begin" w:fldLock="1"/>
      </w:r>
      <w:r>
        <w:rPr>
          <w:rFonts w:eastAsiaTheme="minorEastAsia"/>
          <w:lang w:eastAsia="zh-CN"/>
        </w:rPr>
        <w:instrText>ADDIN CSL_CITATION {"citationItems":[{"id":"ITEM-1","itemData":{"DOI":"10.1126/science.abd3871","ISSN":"0036-8075","PMID":"32753554","abstract":" Many unknowns exist about human immune responses to the SARS-CoV-2 virus. SARS-CoV-2 reactive CD4 + T cells have been reported in unexposed individuals, suggesting pre-existing cross-reactive T cell memory in 20-50% of people. However, the source of those T cells has been speculative. Using human blood samples derived before the SARS-CoV-2 virus was discovered in 2019, we mapped 142 T cell epitopes across the SARS-CoV-2 genome to facilitate precise interrogation of the SARS-CoV-2-specific CD4 + T cell repertoire. We demonstrate a range of pre-existing memory CD4 + T cells that are cross-reactive with comparable affinity to SARS-CoV-2 and the common cold coronaviruses HCoV-OC43, HCoV-229E, HCoV-NL63, or HCoV-HKU1. Thus, variegated T cell memory to coronaviruses that cause the common cold may underlie at least some of the extensive heterogeneity observed in COVID-19 disease. ","author":[{"dropping-particle":"","family":"Mateus","given":"Jose","non-dropping-particle":"","parse-names":false,"suffix":""},{"dropping-particle":"","family":"Grifoni","given":"Alba","non-dropping-particle":"","parse-names":false,"suffix":""},{"dropping-particle":"","family":"Tarke","given":"Alison","non-dropping-particle":"","parse-names":false,"suffix":""},{"dropping-particle":"","family":"Sidney","given":"John","non-dropping-particle":"","parse-names":false,"suffix":""},{"dropping-particle":"","family":"Ramirez","given":"Sydney I.","non-dropping-particle":"","parse-names":false,"suffix":""},{"dropping-particle":"","family":"Dan","given":"Jennifer M.","non-dropping-particle":"","parse-names":false,"suffix":""},{"dropping-particle":"","family":"Burger","given":"Zoe C.","non-dropping-particle":"","parse-names":false,"suffix":""},{"dropping-particle":"","family":"Rawlings","given":"Stephen A.","non-dropping-particle":"","parse-names":false,"suffix":""},{"dropping-particle":"","family":"Smith","given":"Davey M.","non-dropping-particle":"","parse-names":false,"suffix":""},{"dropping-particle":"","family":"Phillips","given":"Elizabeth","non-dropping-particle":"","parse-names":false,"suffix":""},{"dropping-particle":"","family":"Mallal","given":"Simon","non-dropping-particle":"","parse-names":false,"suffix":""},{"dropping-particle":"","family":"Lammers","given":"Marshall","non-dropping-particle":"","parse-names":false,"suffix":""},{"dropping-particle":"","family":"Rubiro","given":"Paul","non-dropping-particle":"","parse-names":false,"suffix":""},{"dropping-particle":"","family":"Quiambao","given":"Lorenzo","non-dropping-particle":"","parse-names":false,"suffix":""},{"dropping-particle":"","family":"Sutherland","given":"Aaron","non-dropping-particle":"","parse-names":false,"suffix":""},{"dropping-particle":"","family":"Yu","given":"Esther Dawen","non-dropping-particle":"","parse-names":false,"suffix":""},{"dropping-particle":"","family":"Silva Antunes","given":"Ricardo","non-dropping-particle":"da","parse-names":false,"suffix":""},{"dropping-particle":"","family":"Greenbaum","given":"Jason","non-dropping-particle":"","parse-names":false,"suffix":""},{"dropping-particle":"","family":"Frazier","given":"April","non-dropping-particle":"","parse-names":false,"suffix":""},{"dropping-particle":"","family":"Markmann","given":"Alena J.","non-dropping-particle":"","parse-names":false,"suffix":""},{"dropping-particle":"","family":"Premkumar","given":"Lakshmanane","non-dropping-particle":"","parse-names":false,"suffix":""},{"dropping-particle":"","family":"Silva","given":"Aravinda","non-dropping-particle":"de","parse-names":false,"suffix":""},{"dropping-particle":"","family":"Peters","given":"Bjoern","non-dropping-particle":"","parse-names":false,"suffix":""},{"dropping-particle":"","family":"Crotty","given":"Shane","non-dropping-particle":"","parse-names":false,"suffix":""},{"dropping-particle":"","family":"Sette","given":"Alessandro","non-dropping-particle":"","parse-names":false,"suffix":""},{"dropping-particle":"","family":"Weiskopf","given":"Daniela","non-dropping-particle":"","parse-names":false,"suffix":""}],"container-title":"Science","id":"ITEM-1","issued":{"date-parts":[["2020","8","4"]]},"page":"eabd3871","publisher":"American Association for the Advancement of Science (AAAS)","title":"Selective and cross-reactive SARS-CoV-2 T cell epitopes in unexposed humans","type":"article-journal"},"uris":["http://www.mendeley.com/documents/?uuid=1520be96-a1b8-385a-89e8-3a95a4ca39f0"]}],"mendeley":{"formattedCitation":"(17)","plainTextFormattedCitation":"(17)","previouslyFormattedCitation":"(17)"},"properties":{"noteIndex":0},"schema":"https://github.com/citation-style-language/schema/raw/master/csl-citation.json"}</w:instrText>
      </w:r>
      <w:r>
        <w:rPr>
          <w:rFonts w:eastAsiaTheme="minorEastAsia"/>
          <w:lang w:eastAsia="zh-CN"/>
        </w:rPr>
        <w:fldChar w:fldCharType="separate"/>
      </w:r>
      <w:r w:rsidRPr="00FB114B">
        <w:rPr>
          <w:rFonts w:eastAsiaTheme="minorEastAsia"/>
          <w:noProof/>
          <w:lang w:eastAsia="zh-CN"/>
        </w:rPr>
        <w:t>(17)</w:t>
      </w:r>
      <w:r>
        <w:rPr>
          <w:rFonts w:eastAsiaTheme="minorEastAsia"/>
          <w:lang w:eastAsia="zh-CN"/>
        </w:rPr>
        <w:fldChar w:fldCharType="end"/>
      </w:r>
      <w:r>
        <w:rPr>
          <w:rFonts w:eastAsiaTheme="minorEastAsia"/>
          <w:lang w:eastAsia="zh-CN"/>
        </w:rPr>
        <w:t xml:space="preserve">. 40 of those epitopes were tested for cross reactivity against their homologs, which we used as training set. The homologs of the remaining 21 SARS-CoV-2 epitopes that weren’t tested for cross-reactivity were used as testing set. The Evolutionary Action (EA), </w:t>
      </w:r>
      <w:r w:rsidRPr="001A3894">
        <w:rPr>
          <w:rFonts w:eastAsiaTheme="minorEastAsia"/>
          <w:lang w:eastAsia="zh-CN"/>
        </w:rPr>
        <w:t>which predicts the impact of a given</w:t>
      </w:r>
      <w:r>
        <w:rPr>
          <w:rFonts w:eastAsiaTheme="minorEastAsia"/>
          <w:lang w:eastAsia="zh-CN"/>
        </w:rPr>
        <w:t xml:space="preserve"> amino acid substitution in a protein, for each SARS-CoV-2 protein was calculated based on previously described method </w:t>
      </w:r>
      <w:r>
        <w:rPr>
          <w:rFonts w:eastAsiaTheme="minorEastAsia"/>
          <w:lang w:eastAsia="zh-CN"/>
        </w:rPr>
        <w:fldChar w:fldCharType="begin" w:fldLock="1"/>
      </w:r>
      <w:r>
        <w:rPr>
          <w:rFonts w:eastAsiaTheme="minorEastAsia"/>
          <w:lang w:eastAsia="zh-CN"/>
        </w:rPr>
        <w:instrText>ADDIN CSL_CITATION {"citationItems":[{"id":"ITEM-1","itemData":{"DOI":"10.1101/gr.176214.114","ISSN":"15495469","PMID":"25217195","abstract":"The relationship between genotype mutations and phenotype variations determines health in the short term and evolution over the long term, and it hinges on the action of mutations on fitness. A fundamental difficulty in determining this action, however, is that it depends on the unique context of each mutation, which is complex and often cryptic. As a result, the effect of most genome variations on molecular function and overall fitness remains unknown and stands apart from population genetics theories linking fitness effect to polymorphism frequency. Here, we hypothesize that evolution is a continuous and differentiable physical process coupling genotype to phenotype. This leads to a formal equation for the action of coding mutations on fitness that can be interpreted as a product of the evolutionary importance of the mutated site with the difference in amino acid similarity. Approximations for these terms are readily computable from phylogenetic sequence analysis, and we show mutational, clinical, and population genetic evidence that this action equation predicts the effect of point mutations in vivo and in vitro in diverse proteins, correlates disease-causing gene mutations with morbidity, and determines the frequency of human coding polymorphisms, respectively. Thus, elementary calculus and phylogenetics can be integrated into a perturbation analysis of the evolutionary relationship between genotype and phenotype that quantitatively links point mutations to function and fitness and that opens a new analytic framework for equations of biology. In practice, this work explicitly bridges molecular evolution with population genetics with applications from protein redesign to the clinical assessment of human genetic variations.","author":[{"dropping-particle":"","family":"Katsonis","given":"Panagiotis","non-dropping-particle":"","parse-names":false,"suffix":""},{"dropping-particle":"","family":"Lichtarge","given":"Olivier","non-dropping-particle":"","parse-names":false,"suffix":""}],"container-title":"Genome Research","id":"ITEM-1","issue":"12","issued":{"date-parts":[["2014"]]},"page":"2050-2058","title":"A formal perturbation equation between genotype and phenotype determines the Evolutionary Action of protein-coding variations on fitness","type":"article-journal","volume":"24"},"uris":["http://www.mendeley.com/documents/?uuid=39ccfc17-3aa1-491d-b806-92d1c7afa0f9"]}],"mendeley":{"formattedCitation":"(18)","plainTextFormattedCitation":"(18)","previouslyFormattedCitation":"(18)"},"properties":{"noteIndex":0},"schema":"https://github.com/citation-style-language/schema/raw/master/csl-citation.json"}</w:instrText>
      </w:r>
      <w:r>
        <w:rPr>
          <w:rFonts w:eastAsiaTheme="minorEastAsia"/>
          <w:lang w:eastAsia="zh-CN"/>
        </w:rPr>
        <w:fldChar w:fldCharType="separate"/>
      </w:r>
      <w:r w:rsidRPr="00FB114B">
        <w:rPr>
          <w:rFonts w:eastAsiaTheme="minorEastAsia"/>
          <w:noProof/>
          <w:lang w:eastAsia="zh-CN"/>
        </w:rPr>
        <w:t>(18)</w:t>
      </w:r>
      <w:r>
        <w:rPr>
          <w:rFonts w:eastAsiaTheme="minorEastAsia"/>
          <w:lang w:eastAsia="zh-CN"/>
        </w:rPr>
        <w:fldChar w:fldCharType="end"/>
      </w:r>
      <w:r>
        <w:rPr>
          <w:rFonts w:eastAsiaTheme="minorEastAsia"/>
          <w:lang w:eastAsia="zh-CN"/>
        </w:rPr>
        <w:t>. For each homolog in the training set, the percent identity, sum of (100 - ET rankings), sum of EA scores for mutated residues (sumEA), and sumEA/</w:t>
      </w:r>
      <w:proofErr w:type="gramStart"/>
      <w:r>
        <w:rPr>
          <w:rFonts w:eastAsiaTheme="minorEastAsia"/>
          <w:lang w:eastAsia="zh-CN"/>
        </w:rPr>
        <w:t>sum(</w:t>
      </w:r>
      <w:proofErr w:type="gramEnd"/>
      <w:r>
        <w:rPr>
          <w:rFonts w:eastAsiaTheme="minorEastAsia"/>
          <w:lang w:eastAsia="zh-CN"/>
        </w:rPr>
        <w:t>100 - ET rankings) were calculated. Note that sum of (100 - ET rankings) was calculated for all residues in the 15 mer, while the sumEA was only based on the mutated positions. The optimal cut point (0.168) of sumEA/</w:t>
      </w:r>
      <w:proofErr w:type="gramStart"/>
      <w:r>
        <w:rPr>
          <w:rFonts w:eastAsiaTheme="minorEastAsia"/>
          <w:lang w:eastAsia="zh-CN"/>
        </w:rPr>
        <w:t>sum(</w:t>
      </w:r>
      <w:proofErr w:type="gramEnd"/>
      <w:r>
        <w:rPr>
          <w:rFonts w:eastAsiaTheme="minorEastAsia"/>
          <w:lang w:eastAsia="zh-CN"/>
        </w:rPr>
        <w:t>100 - ET rankings) that best separates cross reactive and not cross reactive homologs was determined by maximizing the F1 score. The optimal cut point was then applied to the testing set to predict cross reactivity.</w:t>
      </w:r>
    </w:p>
    <w:p w14:paraId="48FB875A" w14:textId="77777777" w:rsidR="000B15D7" w:rsidRPr="00307E2D" w:rsidRDefault="000B15D7" w:rsidP="000B15D7">
      <w:pPr>
        <w:keepNext/>
        <w:pBdr>
          <w:top w:val="nil"/>
          <w:left w:val="nil"/>
          <w:bottom w:val="nil"/>
          <w:right w:val="nil"/>
          <w:between w:val="nil"/>
        </w:pBdr>
        <w:spacing w:before="240" w:after="60"/>
        <w:contextualSpacing/>
        <w:rPr>
          <w:rFonts w:ascii="Arial" w:hAnsi="Arial"/>
          <w:bCs/>
          <w:color w:val="000000"/>
          <w:sz w:val="20"/>
          <w:szCs w:val="20"/>
        </w:rPr>
      </w:pPr>
      <w:r>
        <w:rPr>
          <w:rFonts w:ascii="Arial" w:hAnsi="Arial"/>
          <w:b/>
          <w:noProof/>
          <w:color w:val="000000"/>
          <w:sz w:val="20"/>
          <w:szCs w:val="20"/>
        </w:rPr>
        <w:lastRenderedPageBreak/>
        <w:drawing>
          <wp:inline distT="0" distB="0" distL="0" distR="0" wp14:anchorId="0F7F5C98" wp14:editId="240FF47C">
            <wp:extent cx="5486400" cy="5486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ide06.jpg"/>
                    <pic:cNvPicPr/>
                  </pic:nvPicPr>
                  <pic:blipFill>
                    <a:blip r:embed="rId11">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r w:rsidRPr="001A3894">
        <w:rPr>
          <w:rFonts w:ascii="Arial" w:hAnsi="Arial"/>
          <w:b/>
          <w:color w:val="000000"/>
          <w:sz w:val="20"/>
          <w:szCs w:val="20"/>
        </w:rPr>
        <w:t xml:space="preserve"> Figure </w:t>
      </w:r>
      <w:r>
        <w:rPr>
          <w:rFonts w:ascii="Arial" w:hAnsi="Arial"/>
          <w:b/>
          <w:color w:val="000000"/>
          <w:sz w:val="20"/>
          <w:szCs w:val="20"/>
        </w:rPr>
        <w:t>S</w:t>
      </w:r>
      <w:r w:rsidRPr="001A3894">
        <w:rPr>
          <w:rFonts w:ascii="Arial" w:hAnsi="Arial"/>
          <w:b/>
          <w:color w:val="000000"/>
          <w:sz w:val="20"/>
          <w:szCs w:val="20"/>
        </w:rPr>
        <w:t>1. Quality of homologous sequences and ET</w:t>
      </w:r>
      <w:r w:rsidRPr="001A3894">
        <w:rPr>
          <w:rFonts w:ascii="Arial" w:hAnsi="Arial"/>
          <w:bCs/>
          <w:color w:val="000000"/>
          <w:sz w:val="20"/>
          <w:szCs w:val="20"/>
        </w:rPr>
        <w:t xml:space="preserve">. A) Number of homologs used for each SARS-CoV-2 protein to build multiple sequence alignments. B) Number of coronavirus genera covered by the homolog selections. Genera count </w:t>
      </w:r>
      <w:r w:rsidRPr="001A3894">
        <w:rPr>
          <w:rFonts w:ascii="Symbol" w:eastAsia="Symbol" w:hAnsi="Symbol" w:cs="Symbol"/>
          <w:bCs/>
          <w:color w:val="000000"/>
          <w:sz w:val="20"/>
          <w:szCs w:val="20"/>
        </w:rPr>
        <w:t></w:t>
      </w:r>
      <w:r w:rsidRPr="001A3894">
        <w:rPr>
          <w:rFonts w:ascii="Arial" w:hAnsi="Arial"/>
          <w:bCs/>
          <w:color w:val="000000"/>
          <w:sz w:val="20"/>
          <w:szCs w:val="20"/>
        </w:rPr>
        <w:t xml:space="preserve"> 4 ind</w:t>
      </w:r>
      <w:r w:rsidRPr="00307E2D">
        <w:rPr>
          <w:rFonts w:ascii="Arial" w:hAnsi="Arial"/>
          <w:bCs/>
          <w:color w:val="000000"/>
          <w:sz w:val="20"/>
          <w:szCs w:val="20"/>
        </w:rPr>
        <w:t xml:space="preserve">icates evolutionary information was gathered beyond the Orthocoronavirinae subfamily. C) The z-score rankings for using different protein sequence databases. * indicates significant difference (&lt;0.05, paired t-test, n=31) compared to z-score rankings of average ET scores. D) The distribution of clustering z-scores for each protein using average ET approach. </w:t>
      </w:r>
    </w:p>
    <w:p w14:paraId="7484522C" w14:textId="77777777" w:rsidR="000B15D7" w:rsidRPr="00F649EE" w:rsidRDefault="000B15D7" w:rsidP="000B15D7">
      <w:pPr>
        <w:keepNext/>
        <w:pBdr>
          <w:top w:val="nil"/>
          <w:left w:val="nil"/>
          <w:bottom w:val="nil"/>
          <w:right w:val="nil"/>
          <w:between w:val="nil"/>
        </w:pBdr>
        <w:spacing w:before="240" w:after="60"/>
        <w:contextualSpacing/>
        <w:rPr>
          <w:rFonts w:ascii="Arial" w:hAnsi="Arial"/>
          <w:b/>
          <w:color w:val="000000"/>
          <w:sz w:val="20"/>
          <w:szCs w:val="20"/>
        </w:rPr>
      </w:pPr>
    </w:p>
    <w:p w14:paraId="135150F5" w14:textId="77777777" w:rsidR="000B15D7" w:rsidRPr="00F649EE" w:rsidRDefault="000B15D7" w:rsidP="000B15D7">
      <w:pPr>
        <w:keepNext/>
        <w:pBdr>
          <w:top w:val="nil"/>
          <w:left w:val="nil"/>
          <w:bottom w:val="nil"/>
          <w:right w:val="nil"/>
          <w:between w:val="nil"/>
        </w:pBdr>
        <w:spacing w:before="240" w:after="60"/>
        <w:contextualSpacing/>
        <w:rPr>
          <w:rFonts w:ascii="Arial" w:hAnsi="Arial"/>
          <w:color w:val="000000"/>
          <w:sz w:val="20"/>
          <w:szCs w:val="20"/>
        </w:rPr>
      </w:pPr>
    </w:p>
    <w:p w14:paraId="319B7AEE" w14:textId="77777777" w:rsidR="000B15D7" w:rsidRDefault="000B15D7" w:rsidP="000B15D7">
      <w:pPr>
        <w:rPr>
          <w:rFonts w:ascii="Arial" w:hAnsi="Arial"/>
          <w:sz w:val="20"/>
          <w:szCs w:val="20"/>
        </w:rPr>
      </w:pPr>
    </w:p>
    <w:p w14:paraId="34C7D195" w14:textId="77777777" w:rsidR="000B15D7" w:rsidRDefault="000B15D7" w:rsidP="000B15D7">
      <w:pPr>
        <w:rPr>
          <w:rFonts w:ascii="Arial" w:hAnsi="Arial"/>
          <w:sz w:val="20"/>
          <w:szCs w:val="20"/>
        </w:rPr>
      </w:pPr>
    </w:p>
    <w:p w14:paraId="70C001CA" w14:textId="77777777" w:rsidR="000B15D7" w:rsidRPr="00980C22" w:rsidRDefault="000B15D7" w:rsidP="000B15D7">
      <w:pPr>
        <w:rPr>
          <w:rFonts w:ascii="Arial" w:hAnsi="Arial"/>
          <w:sz w:val="20"/>
          <w:szCs w:val="20"/>
        </w:rPr>
      </w:pPr>
    </w:p>
    <w:p w14:paraId="11119939" w14:textId="77777777" w:rsidR="000B15D7" w:rsidRPr="00980C22" w:rsidRDefault="000B15D7" w:rsidP="000B15D7">
      <w:pPr>
        <w:rPr>
          <w:rFonts w:ascii="Arial" w:hAnsi="Arial"/>
          <w:sz w:val="20"/>
          <w:szCs w:val="20"/>
        </w:rPr>
      </w:pPr>
    </w:p>
    <w:p w14:paraId="6B2FD67A" w14:textId="77777777" w:rsidR="000B15D7" w:rsidRPr="00307E2D" w:rsidRDefault="000B15D7" w:rsidP="000B15D7">
      <w:pPr>
        <w:rPr>
          <w:rFonts w:ascii="Arial" w:hAnsi="Arial"/>
          <w:b/>
          <w:bCs/>
          <w:sz w:val="20"/>
          <w:szCs w:val="20"/>
        </w:rPr>
      </w:pPr>
      <w:r>
        <w:rPr>
          <w:rFonts w:ascii="Arial" w:hAnsi="Arial"/>
          <w:b/>
          <w:bCs/>
          <w:noProof/>
          <w:sz w:val="20"/>
          <w:szCs w:val="20"/>
        </w:rPr>
        <w:lastRenderedPageBreak/>
        <w:drawing>
          <wp:inline distT="0" distB="0" distL="0" distR="0" wp14:anchorId="1322F48B" wp14:editId="3F0C3484">
            <wp:extent cx="5486400" cy="5486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de07.jpg"/>
                    <pic:cNvPicPr/>
                  </pic:nvPicPr>
                  <pic:blipFill>
                    <a:blip r:embed="rId12">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r w:rsidRPr="00307E2D">
        <w:rPr>
          <w:rFonts w:ascii="Arial" w:hAnsi="Arial"/>
          <w:b/>
          <w:bCs/>
          <w:sz w:val="20"/>
          <w:szCs w:val="20"/>
        </w:rPr>
        <w:t xml:space="preserve">Figure </w:t>
      </w:r>
      <w:r>
        <w:rPr>
          <w:rFonts w:ascii="Arial" w:hAnsi="Arial"/>
          <w:b/>
          <w:bCs/>
          <w:sz w:val="20"/>
          <w:szCs w:val="20"/>
        </w:rPr>
        <w:t>S</w:t>
      </w:r>
      <w:r w:rsidRPr="00307E2D">
        <w:rPr>
          <w:rFonts w:ascii="Arial" w:hAnsi="Arial"/>
          <w:b/>
          <w:bCs/>
          <w:sz w:val="20"/>
          <w:szCs w:val="20"/>
        </w:rPr>
        <w:t>2. Phylogenetic trees generated using the sequences recovered from the UniRef90 sequence database.</w:t>
      </w:r>
    </w:p>
    <w:p w14:paraId="2543FE0F" w14:textId="77777777" w:rsidR="000B15D7" w:rsidRDefault="000B15D7" w:rsidP="000B15D7">
      <w:pPr>
        <w:rPr>
          <w:rFonts w:ascii="Arial" w:hAnsi="Arial"/>
          <w:sz w:val="20"/>
          <w:szCs w:val="20"/>
        </w:rPr>
      </w:pPr>
    </w:p>
    <w:p w14:paraId="3C76431E" w14:textId="77777777" w:rsidR="000B15D7" w:rsidRDefault="000B15D7" w:rsidP="000B15D7">
      <w:pPr>
        <w:rPr>
          <w:rFonts w:ascii="Arial" w:hAnsi="Arial"/>
          <w:sz w:val="20"/>
          <w:szCs w:val="20"/>
        </w:rPr>
      </w:pPr>
      <w:r>
        <w:rPr>
          <w:rFonts w:ascii="Arial" w:hAnsi="Arial"/>
          <w:sz w:val="20"/>
          <w:szCs w:val="20"/>
        </w:rPr>
        <w:br w:type="page"/>
      </w:r>
    </w:p>
    <w:p w14:paraId="1FF99C2F" w14:textId="77777777" w:rsidR="000B15D7" w:rsidRPr="000754DB" w:rsidRDefault="000B15D7" w:rsidP="000B15D7">
      <w:pPr>
        <w:rPr>
          <w:rFonts w:ascii="Arial" w:hAnsi="Arial"/>
          <w:b/>
          <w:bCs/>
          <w:sz w:val="20"/>
          <w:szCs w:val="20"/>
        </w:rPr>
      </w:pPr>
      <w:r>
        <w:rPr>
          <w:rFonts w:ascii="Arial" w:hAnsi="Arial"/>
          <w:b/>
          <w:bCs/>
          <w:noProof/>
          <w:sz w:val="20"/>
          <w:szCs w:val="20"/>
        </w:rPr>
        <w:lastRenderedPageBreak/>
        <w:drawing>
          <wp:inline distT="0" distB="0" distL="0" distR="0" wp14:anchorId="52477263" wp14:editId="19FC0FEA">
            <wp:extent cx="5486400" cy="5486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de08.jpg"/>
                    <pic:cNvPicPr/>
                  </pic:nvPicPr>
                  <pic:blipFill>
                    <a:blip r:embed="rId13">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r w:rsidRPr="001A3894">
        <w:rPr>
          <w:rFonts w:ascii="Arial" w:hAnsi="Arial"/>
          <w:b/>
          <w:bCs/>
          <w:sz w:val="20"/>
          <w:szCs w:val="20"/>
        </w:rPr>
        <w:t xml:space="preserve">Figure </w:t>
      </w:r>
      <w:r>
        <w:rPr>
          <w:rFonts w:ascii="Arial" w:hAnsi="Arial"/>
          <w:b/>
          <w:bCs/>
          <w:sz w:val="20"/>
          <w:szCs w:val="20"/>
        </w:rPr>
        <w:t>S</w:t>
      </w:r>
      <w:r w:rsidRPr="001A3894">
        <w:rPr>
          <w:rFonts w:ascii="Arial" w:hAnsi="Arial"/>
          <w:b/>
          <w:bCs/>
          <w:sz w:val="20"/>
          <w:szCs w:val="20"/>
        </w:rPr>
        <w:t>3</w:t>
      </w:r>
      <w:r>
        <w:rPr>
          <w:rFonts w:ascii="Arial" w:hAnsi="Arial"/>
          <w:b/>
          <w:bCs/>
          <w:sz w:val="20"/>
          <w:szCs w:val="20"/>
        </w:rPr>
        <w:t>.</w:t>
      </w:r>
      <w:r w:rsidRPr="000754DB">
        <w:rPr>
          <w:rFonts w:ascii="Arial" w:hAnsi="Arial"/>
          <w:b/>
          <w:bCs/>
          <w:sz w:val="20"/>
          <w:szCs w:val="20"/>
        </w:rPr>
        <w:t xml:space="preserve"> Phylogenetic trees generated using the sequences recovered from the UniRef100 sequence database.</w:t>
      </w:r>
    </w:p>
    <w:p w14:paraId="45E97916" w14:textId="77777777" w:rsidR="000B15D7" w:rsidRDefault="000B15D7" w:rsidP="000B15D7">
      <w:pPr>
        <w:rPr>
          <w:rFonts w:ascii="Arial" w:hAnsi="Arial"/>
          <w:b/>
          <w:bCs/>
          <w:sz w:val="20"/>
          <w:szCs w:val="20"/>
        </w:rPr>
      </w:pPr>
      <w:r>
        <w:rPr>
          <w:rFonts w:ascii="Arial" w:hAnsi="Arial"/>
          <w:b/>
          <w:bCs/>
          <w:sz w:val="20"/>
          <w:szCs w:val="20"/>
        </w:rPr>
        <w:br w:type="page"/>
      </w:r>
    </w:p>
    <w:p w14:paraId="28D71BCF" w14:textId="77777777" w:rsidR="000B15D7" w:rsidRPr="000754DB" w:rsidRDefault="000B15D7" w:rsidP="000B15D7">
      <w:pPr>
        <w:rPr>
          <w:rFonts w:ascii="Arial" w:hAnsi="Arial"/>
          <w:b/>
          <w:bCs/>
          <w:sz w:val="20"/>
          <w:szCs w:val="20"/>
        </w:rPr>
      </w:pPr>
      <w:r>
        <w:rPr>
          <w:rFonts w:ascii="Arial" w:hAnsi="Arial"/>
          <w:b/>
          <w:bCs/>
          <w:noProof/>
          <w:sz w:val="20"/>
          <w:szCs w:val="20"/>
        </w:rPr>
        <w:lastRenderedPageBreak/>
        <w:drawing>
          <wp:inline distT="0" distB="0" distL="0" distR="0" wp14:anchorId="75FB5693" wp14:editId="46354C0C">
            <wp:extent cx="5486400" cy="5486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de09.jpg"/>
                    <pic:cNvPicPr/>
                  </pic:nvPicPr>
                  <pic:blipFill>
                    <a:blip r:embed="rId14">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r w:rsidRPr="001A3894">
        <w:rPr>
          <w:rFonts w:ascii="Arial" w:hAnsi="Arial"/>
          <w:b/>
          <w:bCs/>
          <w:sz w:val="20"/>
          <w:szCs w:val="20"/>
        </w:rPr>
        <w:t xml:space="preserve">Figure </w:t>
      </w:r>
      <w:r>
        <w:rPr>
          <w:rFonts w:ascii="Arial" w:hAnsi="Arial"/>
          <w:b/>
          <w:bCs/>
          <w:sz w:val="20"/>
          <w:szCs w:val="20"/>
        </w:rPr>
        <w:t>S</w:t>
      </w:r>
      <w:r w:rsidRPr="001A3894">
        <w:rPr>
          <w:rFonts w:ascii="Arial" w:hAnsi="Arial"/>
          <w:b/>
          <w:bCs/>
          <w:sz w:val="20"/>
          <w:szCs w:val="20"/>
        </w:rPr>
        <w:t xml:space="preserve">4. </w:t>
      </w:r>
      <w:r w:rsidRPr="000754DB">
        <w:rPr>
          <w:rFonts w:ascii="Arial" w:hAnsi="Arial"/>
          <w:b/>
          <w:bCs/>
          <w:sz w:val="20"/>
          <w:szCs w:val="20"/>
        </w:rPr>
        <w:t>Phylogenetic trees generated using the sequences recovered from the NCBI NR sequence database.</w:t>
      </w:r>
    </w:p>
    <w:p w14:paraId="5F528D5E" w14:textId="77777777" w:rsidR="000B15D7" w:rsidRDefault="000B15D7" w:rsidP="000B15D7">
      <w:pPr>
        <w:rPr>
          <w:rFonts w:ascii="Arial" w:hAnsi="Arial"/>
          <w:sz w:val="20"/>
          <w:szCs w:val="20"/>
        </w:rPr>
      </w:pPr>
      <w:r>
        <w:rPr>
          <w:rFonts w:ascii="Arial" w:hAnsi="Arial"/>
          <w:sz w:val="20"/>
          <w:szCs w:val="20"/>
        </w:rPr>
        <w:br w:type="page"/>
      </w:r>
      <w:r>
        <w:rPr>
          <w:rFonts w:ascii="Arial" w:hAnsi="Arial"/>
          <w:b/>
          <w:bCs/>
          <w:noProof/>
          <w:sz w:val="20"/>
          <w:szCs w:val="20"/>
        </w:rPr>
        <w:lastRenderedPageBreak/>
        <w:drawing>
          <wp:inline distT="0" distB="0" distL="0" distR="0" wp14:anchorId="05B351F0" wp14:editId="4B5B150A">
            <wp:extent cx="5486400" cy="548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_v5 (dragged).pdf"/>
                    <pic:cNvPicPr/>
                  </pic:nvPicPr>
                  <pic:blipFill>
                    <a:blip r:embed="rId15">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r w:rsidRPr="001A3894">
        <w:rPr>
          <w:rFonts w:ascii="Arial" w:hAnsi="Arial"/>
          <w:b/>
          <w:bCs/>
          <w:sz w:val="20"/>
          <w:szCs w:val="20"/>
        </w:rPr>
        <w:t xml:space="preserve">Figure </w:t>
      </w:r>
      <w:r>
        <w:rPr>
          <w:rFonts w:ascii="Arial" w:hAnsi="Arial"/>
          <w:b/>
          <w:bCs/>
          <w:sz w:val="20"/>
          <w:szCs w:val="20"/>
        </w:rPr>
        <w:t>S</w:t>
      </w:r>
      <w:r w:rsidRPr="001A3894">
        <w:rPr>
          <w:rFonts w:ascii="Arial" w:hAnsi="Arial"/>
          <w:b/>
          <w:bCs/>
          <w:sz w:val="20"/>
          <w:szCs w:val="20"/>
        </w:rPr>
        <w:t>5. Performing sequence selection and Evolutionary Traces for the full NSP3 reference sequence and for specific structures/domains leads to dramatic changes in the recovered sequences and identification of key residues.</w:t>
      </w:r>
      <w:r w:rsidRPr="001A3894">
        <w:rPr>
          <w:rFonts w:ascii="Arial" w:hAnsi="Arial"/>
          <w:sz w:val="20"/>
          <w:szCs w:val="20"/>
        </w:rPr>
        <w:t xml:space="preserve"> A) Number of sequences retrieved when indicated databases were queried with the full NSP3 reference (‘-’ indicates no full-length structure or corresponding chain), ADP-ribose-phosphatase domain sequence (6w02</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{"citationItems":[{"id":"ITEM-1","itemData":{"DOI":"10.1107/S2052252520009653","ISSN":"2052-2525","abstract":"Among 15 nonstructural proteins (Nsps), the newly emerging Severe Acute Respiratory Syndrome coronavirus 2 (SARS-CoV-2) encodes a large, multidomain Nsp3. One of its units is the ADP-ribose phosphatase domain (ADRP; also known as the macrodomain, MacroD), which is believed to interfere with the host immune response. Such a function appears to be linked to the ability of the protein to remove ADP-ribose from ADP-ribosylated proteins and RNA, yet the precise role and molecular targets of the enzyme remain unknown. Here, five high-resolution (1.07–2.01 Å) crystal structures corresponding to the apo form of the protein and its complexes with 2-( N -morpholino)ethanesulfonic acid (MES), AMP and ADP-ribose have been determined. The protein is shown to undergo conformational changes to adapt to the ligand in the manner previously observed in close homologues from other viruses. A conserved water molecule is also identified that may participate in hydrolysis. This work builds foundations for future structure-based research on ADRP, including the search for potential antiviral therapeutics.","author":[{"dropping-particle":"","family":"Michalska","given":"Karolina","non-dropping-particle":"","parse-names":false,"suffix":""},{"dropping-particle":"","family":"Kim","given":"Youngchang","non-dropping-particle":"","parse-names":false,"suffix":""},{"dropping-particle":"","family":"Jedrzejczak","given":"Robert","non-dropping-particle":"","parse-names":false,"suffix":""},{"dropping-particle":"","family":"Maltseva","given":"Natalia I.","non-dropping-particle":"","parse-names":false,"suffix":""},{"dropping-particle":"","family":"Stols","given":"Lucy","non-dropping-particle":"","parse-names":false,"suffix":""},{"dropping-particle":"","family":"Endres","given":"Michael","non-dropping-particle":"","parse-names":false,"suffix":""},{"dropping-particle":"","family":"Joachimiak","given":"Andrzej","non-dropping-particle":"","parse-names":false,"suffix":""}],"container-title":"IUCrJ","id":"ITEM-1","issue":"5","issued":{"date-parts":[["2020","9","1"]]},"page":"814-824","title":"Crystal structures of SARS-CoV-2 ADP-ribose phosphatase: from the apo form to ligand complexes","type":"article-journal","volume":"7"},"uris":["http://www.mendeley.com/documents/?uuid=2d005938-f589-43c5-a296-327d3c9a37cf"]}],"mendeley":{"formattedCitation":"(19)","plainTextFormattedCitation":"(19)","previouslyFormattedCitation":"(19)"},"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(19)</w:t>
      </w:r>
      <w:r w:rsidRPr="001A3894">
        <w:rPr>
          <w:rFonts w:ascii="Arial" w:hAnsi="Arial"/>
          <w:sz w:val="20"/>
          <w:szCs w:val="20"/>
        </w:rPr>
        <w:fldChar w:fldCharType="end"/>
      </w:r>
      <w:r w:rsidRPr="001A3894">
        <w:rPr>
          <w:rFonts w:ascii="Arial" w:hAnsi="Arial"/>
          <w:sz w:val="20"/>
          <w:szCs w:val="20"/>
        </w:rPr>
        <w:t>), Macro domain (6woj</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{"citationItems":[{"id":"ITEM-1","itemData":{"DOI":"10.1101/2020.05.11.089375","abstract":"Severe acute respiratory syndrome coronavirus 2 (SARS-CoV-2) and other SARS-like-CoVs encode 3 tandem macrodomains within non-structural protein 3 (nsp3). The first macrodomain, Mac1, is conserved throughout CoVs, binds to and hydrolyzes mono-ADP-ribose (MAR) from target proteins. Mac1 likely counters host-mediated anti-viral ADP-ribosylation, a posttranslational modification that is part of the host response to viral infections. Mac1 is essential for pathogenesis in multiple animal models of CoV infection, implicating it as a virulence factor and potential therapeutic target. Here we report the crystal structure of SARS-CoV-2 Mac1 in complex with ADP-ribose. SARS-CoV-2, SARS-CoV and MERS-CoV Mac1 exhibit similar structural folds and all 3 proteins bound to ADP-ribose with low μM affinities. In contrast, we found that only the MERS-CoV Mac1 protein bound to poly-ADP-ribose (PAR), and none of these enzymes could hydrolyze PAR. Importantly, using ADP-ribose detecting antibodies and both gel-based assay and novel ELISA assays, we demonstrated highly efficient de-MARylating activity for all 3 CoV Mac1 proteins. We conclude that the SARS-CoV-2 and other CoV Mac1 proteins are highly efficient MAR-hydrolases with strikingly similar activity, indicating that compounds targeting CoV Mac1 proteins may have broad anti-CoV activity.IMPORTANCE SARS-CoV-2 has recently emerged into the human population and has led to a worldwide pandemic of COVID-19 that has caused nearly 350 thousand deaths worldwide. With, no currently approved treatments, novel therapeutic strategies are desperately needed. All coronaviruses encode for a highly conserved macrodomain (Mac1) that binds to and removes ADP-ribose adducts from proteins in a dynamic post-translational process increasingly recognized as an important factor that regulates viral infection. The macrodomain is essential for CoV pathogenesis and may be a novel therapeutic target. Thus, understanding its biochemistry and enzyme activity are critical first steps for these efforts. Here we report the crystal structure of SARS-CoV-2 Mac1 in complex with ADP-ribose, and describe its ADP-ribose binding and hydrolysis activities in direct comparison to SARS-CoV and MERS-CoV Mac1 proteins. These results are an important first step for the design and testing of potential therapies targeting this unique protein domain.Competing Interest StatementThe authors have declared no competing interest.","author":[{"dropping-particle":"","family":"Alhammad","given":"Yousef M O","non-dropping-particle":"","parse-names":false,"suffix":""},{"dropping-particle":"","family":"Kashipathy","given":"Maithri M","non-dropping-particle":"","parse-names":false,"suffix":""},{"dropping-particle":"","family":"Roy","given":"Anuradha","non-dropping-particle":"","parse-names":false,"suffix":""},{"dropping-particle":"","family":"Gagné","given":"Jean-Philippe","non-dropping-particle":"","parse-names":false,"suffix":""},{"dropping-particle":"","family":"Nonfoux","given":"Louis","non-dropping-particle":"","parse-names":false,"suffix":""},{"dropping-particle":"","family":"McDonald","given":"Peter","non-dropping-particle":"","parse-names":false,"suffix":""},{"dropping-particle":"","family":"Gao","given":"Philip","non-dropping-particle":"","parse-names":false,"suffix":""},{"dropping-particle":"","family":"Battaile","given":"Kevin P","non-dropping-particle":"","parse-names":false,"suffix":""},{"dropping-particle":"","family":"Johnson","given":"David K","non-dropping-particle":"","parse-names":false,"suffix":""},{"dropping-particle":"","family":"Poirier","given":"Guy G","non-dropping-particle":"","parse-names":false,"suffix":""},{"dropping-particle":"","family":"Lovell","given":"Scott","non-dropping-particle":"","parse-names":false,"suffix":""},{"dropping-particle":"","family":"Fehr","given":"Anthony R","non-dropping-particle":"","parse-names":false,"suffix":""}],"container-title":"bioRxiv","id":"ITEM-1","issued":{"date-parts":[["2020","1","1"]]},"page":"2020.05.11.089375","title":"The SARS-CoV-2 conserved macrodomain is a highly efficient ADP-ribosylhydrolase","type":"article-journal"},"uris":["http://www.mendeley.com/documents/?uuid=463467f4-3e40-4c39-a34a-3e610c1e77f5"]}],"mendeley":{"formattedCitation":"(20)","plainTextFormattedCitation":"(20)","previouslyFormattedCitation":"(20)"},"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(20)</w:t>
      </w:r>
      <w:r w:rsidRPr="001A3894">
        <w:rPr>
          <w:rFonts w:ascii="Arial" w:hAnsi="Arial"/>
          <w:sz w:val="20"/>
          <w:szCs w:val="20"/>
        </w:rPr>
        <w:fldChar w:fldCharType="end"/>
      </w:r>
      <w:r w:rsidRPr="001A3894">
        <w:rPr>
          <w:rFonts w:ascii="Arial" w:hAnsi="Arial"/>
          <w:sz w:val="20"/>
          <w:szCs w:val="20"/>
        </w:rPr>
        <w:t>) or the papain-like protease domain (6w9c</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{"citationItems":[{"id":"ITEM-1","itemData":{"DOI":"10.1101/2020.08.06.240192","abstract":"The number of new cases world-wide for the COVID-19 disease is increasing dramatically, while efforts to contain Severe Acute Respiratory Syndrome Coronavirus 2 is producing varied results in different countries. There are three key SARS-CoV-2 enzymes potentially targetable with antivirals: papain-like protease (PLpro), main protease (Mpro), and RNA-dependent RNA polymerase. Of these, PLpro is an especially attractive target because it plays an essential role in several viral replication processes, including cleavage and maturation of viral polyproteins, assembly of the replicase-transcriptase complex (RTC), and disruption of host viral response machinery to facilitate viral proliferation and replication. Moreover, this enzyme is conserved across different coronaviruses and promising inhibitors have already been discovered for its SARS-CoV variant. Here we report a substantive body of structural, biochemical, and virus replication studies that identify several inhibitors of the enzyme from SARS-CoV-2 in both wild-type and mutant forms. These efforts include the first structures of wild-type PLpro, the active site C111S mutant, and their complexes with inhibitors, determined at 1.60–2.70 Angstroms. This collection of structures provides fundamental molecular and mechanistic insight to PLpro, and critically, illustrates details for inhibitors recognition and interactions. All presented compounds inhibit the peptidase activity of PLpro in vitro, and some molecules block SARS-CoV-2 replication in cell culture assays. These collated findings will accelerate further structure-based drug design efforts targeting PLpro, with the ultimate goal of identifying high-affinity inhibitors of clinical value for SARS-CoV-2.Competing Interest StatementThe authors have declared no competing interest.","author":[{"dropping-particle":"","family":"Osipiuk","given":"Jerzy","non-dropping-particle":"","parse-names":false,"suffix":""},{"dropping-particle":"","family":"Azizi","given":"Saara-Anne","non-dropping-particle":"","parse-names":false,"suffix":""},{"dropping-particle":"","family":"Dvorkin","given":"Steve","non-dropping-particle":"","parse-names":false,"suffix":""},{"dropping-particle":"","family":"Endres","given":"Michael","non-dropping-particle":"","parse-names":false,"suffix":""},{"dropping-particle":"","family":"Jedrzejczak","given":"Robert","non-dropping-particle":"","parse-names":false,"suffix":""},{"dropping-particle":"","family":"Jones","given":"Krysten A","non-dropping-particle":"","parse-names":false,"suffix":""},{"dropping-particle":"","family":"Kang","given":"Soowon","non-dropping-particle":"","parse-names":false,"suffix":""},{"dropping-particle":"","family":"Kathayat","given":"Rahul S","non-dropping-particle":"","parse-names":false,"suffix":""},{"dropping-particle":"","family":"Kim","given":"Youngchang","non-dropping-particle":"","parse-names":false,"suffix":""},{"dropping-particle":"","family":"Lisnyak","given":"Vladislav G","non-dropping-particle":"","parse-names":false,"suffix":""},{"dropping-particle":"","family":"Maki","given":"Samantha L","non-dropping-particle":"","parse-names":false,"suffix":""},{"dropping-particle":"","family":"Nicolaescu","given":"Vlad","non-dropping-particle":"","parse-names":false,"suffix":""},{"dropping-particle":"","family":"Taylor","given":"Cooper A","non-dropping-particle":"","parse-names":false,"suffix":""},{"dropping-particle":"","family":"Tesar","given":"Christine","non-dropping-particle":"","parse-names":false,"suffix":""},{"dropping-particle":"","family":"Zhang","given":"Yu-An","non-dropping-particle":"","parse-names":false,"suffix":""},{"dropping-particle":"","family":"Zhou","given":"Zhiyao","non-dropping-particle":"","parse-names":false,"suffix":""},{"dropping-particle":"","family":"Randall","given":"Glenn","non-dropping-particle":"","parse-names":false,"suffix":""},{"dropping-particle":"","family":"Michalska","given":"Karolina","non-dropping-particle":"","parse-names":false,"suffix":""},{"dropping-particle":"","family":"Snyder","given":"Scott A","non-dropping-particle":"","parse-names":false,"suffix":""},{"dropping-particle":"","family":"Dickinson","given":"Bryan C","non-dropping-particle":"","parse-names":false,"suffix":""},{"dropping-particle":"","family":"Joachimiak","given":"Andrzej","non-dropping-particle":"","parse-names":false,"suffix":""}],"container-title":"bioRxiv","id":"ITEM-1","issued":{"date-parts":[["2020","1","1"]]},"page":"2020.08.06.240192","title":"Structure of papain-like protease from SARS-CoV-2 and its complexes with non-covalent inhibitors","type":"article-journal"},"uris":["http://www.mendeley.com/documents/?uuid=195ddb99-2444-4d20-997f-c1dd97c8fc2b"]}],"mendeley":{"formattedCitation":"(21)","plainTextFormattedCitation":"(21)","previouslyFormattedCitation":"(21)"},"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(21)</w:t>
      </w:r>
      <w:r w:rsidRPr="001A3894">
        <w:rPr>
          <w:rFonts w:ascii="Arial" w:hAnsi="Arial"/>
          <w:sz w:val="20"/>
          <w:szCs w:val="20"/>
        </w:rPr>
        <w:fldChar w:fldCharType="end"/>
      </w:r>
      <w:r w:rsidRPr="001A3894">
        <w:rPr>
          <w:rFonts w:ascii="Arial" w:hAnsi="Arial"/>
          <w:sz w:val="20"/>
          <w:szCs w:val="20"/>
        </w:rPr>
        <w:t>). B) Phylogenetic trees generated for alignments in A showing the wide coverage of alignments for the ADPRP subdomain and macro domain and the much narrower coverage of phylogeny in the PL2</w:t>
      </w:r>
      <w:r w:rsidRPr="001A3894">
        <w:rPr>
          <w:rFonts w:ascii="Arial" w:hAnsi="Arial"/>
          <w:sz w:val="20"/>
          <w:szCs w:val="20"/>
          <w:vertAlign w:val="superscript"/>
        </w:rPr>
        <w:t>pro</w:t>
      </w:r>
      <w:r w:rsidRPr="001A3894">
        <w:rPr>
          <w:rFonts w:ascii="Arial" w:hAnsi="Arial"/>
          <w:sz w:val="20"/>
          <w:szCs w:val="20"/>
        </w:rPr>
        <w:t xml:space="preserve"> domain and full reference sequence. C) SCW Z-Scores measured for NSP3 structures for ET rankings resulting from the full reference (NSP3) and with queries based on specific structures and chains. D-G) The Evolutionary Trace scores mapped onto apo NSP3 structures 6w02 chain A (D)</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{"citationItems":[{"id":"ITEM-1","itemData":{"DOI":"10.1107/S2052252520009653","ISSN":"2052-2525","abstract":"Among 15 nonstructural proteins (Nsps), the newly emerging Severe Acute Respiratory Syndrome coronavirus 2 (SARS-CoV-2) encodes a large, multidomain Nsp3. One of its units is the ADP-ribose phosphatase domain (ADRP; also known as the macrodomain, MacroD), which is believed to interfere with the host immune response. Such a function appears to be linked to the ability of the protein to remove ADP-ribose from ADP-ribosylated proteins and RNA, yet the precise role and molecular targets of the enzyme remain unknown. Here, five high-resolution (1.07–2.01 Å) crystal structures corresponding to the apo form of the protein and its complexes with 2-( N -morpholino)ethanesulfonic acid (MES), AMP and ADP-ribose have been determined. The protein is shown to undergo conformational changes to adapt to the ligand in the manner previously observed in close homologues from other viruses. A conserved water molecule is also identified that may participate in hydrolysis. This work builds foundations for future structure-based research on ADRP, including the search for potential antiviral therapeutics.","author":[{"dropping-particle":"","family":"Michalska","given":"Karolina","non-dropping-particle":"","parse-names":false,"suffix":""},{"dropping-particle":"","family":"Kim","given":"Youngchang","non-dropping-particle":"","parse-names":false,"suffix":""},{"dropping-particle":"","family":"Jedrzejczak","given":"Robert","non-dropping-particle":"","parse-names":false,"suffix":""},{"dropping-particle":"","family":"Maltseva","given":"Natalia I.","non-dropping-particle":"","parse-names":false,"suffix":""},{"dropping-particle":"","family":"Stols","given":"Lucy","non-dropping-particle":"","parse-names":false,"suffix":""},{"dropping-particle":"","family":"Endres","given":"Michael","non-dropping-particle":"","parse-names":false,"suffix":""},{"dropping-particle":"","family":"Joachimiak","given":"Andrzej","non-dropping-particle":"","parse-names":false,"suffix":""}],"container-title":"IUCrJ","id":"ITEM-1","issue":"5","issued":{"date-parts":[["2020","9","1"]]},"page":"814-824","title":"Crystal structures of SARS-CoV-2 ADP-ribose phosphatase: from the apo form to ligand complexes","type":"article-journal","volume":"7"},"uris":["http://www.mendeley.com/documents/?uuid=2d005938-f589-43c5-a296-327d3c9a37cf"]}],"mendeley":{"formattedCitation":"(19)","plainTextFormattedCitation":"(19)","previouslyFormattedCitation":"(19)"},"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(19)</w:t>
      </w:r>
      <w:r w:rsidRPr="001A3894">
        <w:rPr>
          <w:rFonts w:ascii="Arial" w:hAnsi="Arial"/>
          <w:sz w:val="20"/>
          <w:szCs w:val="20"/>
        </w:rPr>
        <w:fldChar w:fldCharType="end"/>
      </w:r>
      <w:r w:rsidRPr="001A3894">
        <w:rPr>
          <w:rFonts w:ascii="Arial" w:hAnsi="Arial"/>
          <w:sz w:val="20"/>
          <w:szCs w:val="20"/>
        </w:rPr>
        <w:t>, 6woj chain A (E)</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{"citationItems":[{"id":"ITEM-1","itemData":{"DOI":"10.1101/2020.05.11.089375","abstract":"Severe acute respiratory syndrome coronavirus 2 (SARS-CoV-2) and other SARS-like-CoVs encode 3 tandem macrodomains within non-structural protein 3 (nsp3). The first macrodomain, Mac1, is conserved throughout CoVs, binds to and hydrolyzes mono-ADP-ribose (MAR) from target proteins. Mac1 likely counters host-mediated anti-viral ADP-ribosylation, a posttranslational modification that is part of the host response to viral infections. Mac1 is essential for pathogenesis in multiple animal models of CoV infection, implicating it as a virulence factor and potential therapeutic target. Here we report the crystal structure of SARS-CoV-2 Mac1 in complex with ADP-ribose. SARS-CoV-2, SARS-CoV and MERS-CoV Mac1 exhibit similar structural folds and all 3 proteins bound to ADP-ribose with low μM affinities. In contrast, we found that only the MERS-CoV Mac1 protein bound to poly-ADP-ribose (PAR), and none of these enzymes could hydrolyze PAR. Importantly, using ADP-ribose detecting antibodies and both gel-based assay and novel ELISA assays, we demonstrated highly efficient de-MARylating activity for all 3 CoV Mac1 proteins. We conclude that the SARS-CoV-2 and other CoV Mac1 proteins are highly efficient MAR-hydrolases with strikingly similar activity, indicating that compounds targeting CoV Mac1 proteins may have broad anti-CoV activity.IMPORTANCE SARS-CoV-2 has recently emerged into the human population and has led to a worldwide pandemic of COVID-19 that has caused nearly 350 thousand deaths worldwide. With, no currently approved treatments, novel therapeutic strategies are desperately needed. All coronaviruses encode for a highly conserved macrodomain (Mac1) that binds to and removes ADP-ribose adducts from proteins in a dynamic post-translational process increasingly recognized as an important factor that regulates viral infection. The macrodomain is essential for CoV pathogenesis and may be a novel therapeutic target. Thus, understanding its biochemistry and enzyme activity are critical first steps for these efforts. Here we report the crystal structure of SARS-CoV-2 Mac1 in complex with ADP-ribose, and describe its ADP-ribose binding and hydrolysis activities in direct comparison to SARS-CoV and MERS-CoV Mac1 proteins. These results are an important first step for the design and testing of potential therapies targeting this unique protein domain.Competing Interest StatementThe authors have declared no competing interest.","author":[{"dropping-particle":"","family":"Alhammad","given":"Yousef M O","non-dropping-particle":"","parse-names":false,"suffix":""},{"dropping-particle":"","family":"Kashipathy","given":"Maithri M","non-dropping-particle":"","parse-names":false,"suffix":""},{"dropping-particle":"","family":"Roy","given":"Anuradha","non-dropping-particle":"","parse-names":false,"suffix":""},{"dropping-particle":"","family":"Gagné","given":"Jean-Philippe","non-dropping-particle":"","parse-names":false,"suffix":""},{"dropping-particle":"","family":"Nonfoux","given":"Louis","non-dropping-particle":"","parse-names":false,"suffix":""},{"dropping-particle":"","family":"McDonald","given":"Peter","non-dropping-particle":"","parse-names":false,"suffix":""},{"dropping-particle":"","family":"Gao","given":"Philip","non-dropping-particle":"","parse-names":false,"suffix":""},{"dropping-particle":"","family":"Battaile","given":"Kevin P","non-dropping-particle":"","parse-names":false,"suffix":""},{"dropping-particle":"","family":"Johnson","given":"David K","non-dropping-particle":"","parse-names":false,"suffix":""},{"dropping-particle":"","family":"Poirier","given":"Guy G","non-dropping-particle":"","parse-names":false,"suffix":""},{"dropping-particle":"","family":"Lovell","given":"Scott","non-dropping-particle":"","parse-names":false,"suffix":""},{"dropping-particle":"","family":"Fehr","given":"Anthony R","non-dropping-particle":"","parse-names":false,"suffix":""}],"container-title":"bioRxiv","id":"ITEM-1","issued":{"date-parts":[["2020","1","1"]]},"page":"2020.05.11.089375","title":"The SARS-CoV-2 conserved macrodomain is a highly efficient ADP-ribosylhydrolase","type":"article-journal"},"uris":["http://www.mendeley.com/documents/?uuid=463467f4-3e40-4c39-a34a-3e610c1e77f5"]}],"mendeley":{"formattedCitation":"(20)","plainTextFormattedCitation":"(20)","previouslyFormattedCitation":"(20)"},"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(20)</w:t>
      </w:r>
      <w:r w:rsidRPr="001A3894">
        <w:rPr>
          <w:rFonts w:ascii="Arial" w:hAnsi="Arial"/>
          <w:sz w:val="20"/>
          <w:szCs w:val="20"/>
        </w:rPr>
        <w:fldChar w:fldCharType="end"/>
      </w:r>
      <w:r w:rsidRPr="001A3894">
        <w:rPr>
          <w:rFonts w:ascii="Arial" w:hAnsi="Arial"/>
          <w:sz w:val="20"/>
          <w:szCs w:val="20"/>
        </w:rPr>
        <w:t>, 6w9c (F)</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{"citationItems":[{"id":"ITEM-1","itemData":{"DOI":"10.1101/2020.08.06.240192","abstract":"The number of new cases world-wide for the COVID-19 disease is increasing dramatically, while efforts to contain Severe Acute Respiratory Syndrome Coronavirus 2 is producing varied results in different countries. There are three key SARS-CoV-2 enzymes potentially targetable with antivirals: papain-like protease (PLpro), main protease (Mpro), and RNA-dependent RNA polymerase. Of these, PLpro is an especially attractive target because it plays an essential role in several viral replication processes, including cleavage and maturation of viral polyproteins, assembly of the replicase-transcriptase complex (RTC), and disruption of host viral response machinery to facilitate viral proliferation and replication. Moreover, this enzyme is conserved across different coronaviruses and promising inhibitors have already been discovered for its SARS-CoV variant. Here we report a substantive body of structural, biochemical, and virus replication studies that identify several inhibitors of the enzyme from SARS-CoV-2 in both wild-type and mutant forms. These efforts include the first structures of wild-type PLpro, the active site C111S mutant, and their complexes with inhibitors, determined at 1.60–2.70 Angstroms. This collection of structures provides fundamental molecular and mechanistic insight to PLpro, and critically, illustrates details for inhibitors recognition and interactions. All presented compounds inhibit the peptidase activity of PLpro in vitro, and some molecules block SARS-CoV-2 replication in cell culture assays. These collated findings will accelerate further structure-based drug design efforts targeting PLpro, with the ultimate goal of identifying high-affinity inhibitors of clinical value for SARS-CoV-2.Competing Interest StatementThe authors have declared no competing interest.","author":[{"dropping-particle":"","family":"Osipiuk","given":"Jerzy","non-dropping-particle":"","parse-names":false,"suffix":""},{"dropping-particle":"","family":"Azizi","given":"Saara-Anne","non-dropping-particle":"","parse-names":false,"suffix":""},{"dropping-particle":"","family":"Dvorkin","given":"Steve","non-dropping-particle":"","parse-names":false,"suffix":""},{"dropping-particle":"","family":"Endres","given":"Michael","non-dropping-particle":"","parse-names":false,"suffix":""},{"dropping-particle":"","family":"Jedrzejczak","given":"Robert","non-dropping-particle":"","parse-names":false,"suffix":""},{"dropping-particle":"","family":"Jones","given":"Krysten A","non-dropping-particle":"","parse-names":false,"suffix":""},{"dropping-particle":"","family":"Kang","given":"Soowon","non-dropping-particle":"","parse-names":false,"suffix":""},{"dropping-particle":"","family":"Kathayat","given":"Rahul S","non-dropping-particle":"","parse-names":false,"suffix":""},{"dropping-particle":"","family":"Kim","given":"Youngchang","non-dropping-particle":"","parse-names":false,"suffix":""},{"dropping-particle":"","family":"Lisnyak","given":"Vladislav G","non-dropping-particle":"","parse-names":false,"suffix":""},{"dropping-particle":"","family":"Maki","given":"Samantha L","non-dropping-particle":"","parse-names":false,"suffix":""},{"dropping-particle":"","family":"Nicolaescu","given":"Vlad","non-dropping-particle":"","parse-names":false,"suffix":""},{"dropping-particle":"","family":"Taylor","given":"Cooper A","non-dropping-particle":"","parse-names":false,"suffix":""},{"dropping-particle":"","family":"Tesar","given":"Christine","non-dropping-particle":"","parse-names":false,"suffix":""},{"dropping-particle":"","family":"Zhang","given":"Yu-An","non-dropping-particle":"","parse-names":false,"suffix":""},{"dropping-particle":"","family":"Zhou","given":"Zhiyao","non-dropping-particle":"","parse-names":false,"suffix":""},{"dropping-particle":"","family":"Randall","given":"Glenn","non-dropping-particle":"","parse-names":false,"suffix":""},{"dropping-particle":"","family":"Michalska","given":"Karolina","non-dropping-particle":"","parse-names":false,"suffix":""},{"dropping-particle":"","family":"Snyder","given":"Scott A","non-dropping-particle":"","parse-names":false,"suffix":""},{"dropping-particle":"","family":"Dickinson","given":"Bryan C","non-dropping-particle":"","parse-names":false,"suffix":""},{"dropping-particle":"","family":"Joachimiak","given":"Andrzej","non-dropping-particle":"","parse-names":false,"suffix":""}],"container-title":"bioRxiv","id":"ITEM-1","issued":{"date-parts":[["2020","1","1"]]},"page":"2020.08.06.240192","title":"Structure of papain-like protease from SARS-CoV-2 and its complexes with non-covalent inhibitors","type":"article-journal"},"uris":["http://www.mendeley.com/documents/?uuid=195ddb99-2444-4d20-997f-c1dd97c8fc2b"]}],"mendeley":{"formattedCitation":"(21)","plainTextFormattedCitation":"(21)","previouslyFormattedCitation":"(21)"},"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(21)</w:t>
      </w:r>
      <w:r w:rsidRPr="001A3894">
        <w:rPr>
          <w:rFonts w:ascii="Arial" w:hAnsi="Arial"/>
          <w:sz w:val="20"/>
          <w:szCs w:val="20"/>
        </w:rPr>
        <w:fldChar w:fldCharType="end"/>
      </w:r>
      <w:r w:rsidRPr="001A3894">
        <w:rPr>
          <w:rFonts w:ascii="Arial" w:hAnsi="Arial"/>
          <w:sz w:val="20"/>
          <w:szCs w:val="20"/>
        </w:rPr>
        <w:t>, and 6xaa (G)</w:t>
      </w:r>
      <w:r w:rsidRPr="001A3894">
        <w:rPr>
          <w:rFonts w:ascii="Arial" w:hAnsi="Arial"/>
          <w:sz w:val="20"/>
          <w:szCs w:val="20"/>
        </w:rPr>
        <w:fldChar w:fldCharType="begin" w:fldLock="1"/>
      </w:r>
      <w:r w:rsidRPr="001A3894">
        <w:rPr>
          <w:rFonts w:ascii="Arial" w:hAnsi="Arial"/>
          <w:sz w:val="20"/>
          <w:szCs w:val="20"/>
        </w:rPr>
        <w:instrText>ADDIN CSL_CITATION {"citationItems":[{"id":"ITEM-1","itemData":{"DOI":"10.1101/2020.06.18.160614","abstract":"Coronaviruses, including SARS-CoV-2, encode multifunctional proteases that are essential for viral replication and evasion of host innate immune mechanisms. The papain-like protease PLpro cleaves the viral polyprotein, and reverses inflammatory ubiquitin and anti-viral ubiquitin-like ISG15 protein modifications1,2. Drugs that target SARS-CoV-2 PLpro (hereafter, SARS2 PLpro) may hence be effective as treatments or prophylaxis for COVID-19, reducing viral load and reinstating innate immune responses3. We here characterise SARS2 PLpro in molecular and biochemical detail. SARS2 PLpro cleaves Lys48-linked polyubiquitin and ISG15 modifications with high activity. Structures of PLpro bound to ubiquitin and ISG15 reveal that the S1 ubiquitin binding site is responsible for high ISG15 activity, while the S2 binding site provides Lys48 chain specificity and cleavage efficiency. We further exploit two strategies to target PLpro. A repurposing approach, screening 3727 unique approved drugs and clinical compounds against SARS2 PLpro, identified no compounds that inhibited PLpro consistently or that could be validated in counterscreens. More promisingly, non-covalent small molecule SARS PLpro inhibitors were able to inhibit SARS2 PLpro with high potency and excellent antiviral activity in SARS-CoV-2 infection models.Competing Interest StatementThe authors have declared no competing interest.","author":[{"dropping-particle":"","family":"Klemm","given":"Theresa","non-dropping-particle":"","parse-names":false,"suffix":""},{"dropping-particle":"","family":"Ebert","given":"Gregor","non-dropping-particle":"","parse-names":false,"suffix":""},{"dropping-particle":"","family":"Calleja","given":"Dale J","non-dropping-particle":"","parse-names":false,"suffix":""},{"dropping-particle":"","family":"Allison","given":"Cody C","non-dropping-particle":"","parse-names":false,"suffix":""},{"dropping-particle":"","family":"Richardson","given":"Lachlan W","non-dropping-particle":"","parse-names":false,"suffix":""},{"dropping-particle":"","family":"Bernardini","given":"Jonathan P","non-dropping-particle":"","parse-names":false,"suffix":""},{"dropping-particle":"","family":"Lu","given":"Bernadine G C","non-dropping-particle":"","parse-names":false,"suffix":""},{"dropping-particle":"","family":"Kuchel","given":"Nathan W","non-dropping-particle":"","parse-names":false,"suffix":""},{"dropping-particle":"","family":"Grohmann","given":"Christoph","non-dropping-particle":"","parse-names":false,"suffix":""},{"dropping-particle":"","family":"Shibata","given":"Yuri","non-dropping-particle":"","parse-names":false,"suffix":""},{"dropping-particle":"","family":"Gan","given":"Zhong Yan","non-dropping-particle":"","parse-names":false,"suffix":""},{"dropping-particle":"","family":"Cooney","given":"James P","non-dropping-particle":"","parse-names":false,"suffix":""},{"dropping-particle":"","family":"Doerflinger","given":"Marcel","non-dropping-particle":"","parse-names":false,"suffix":""},{"dropping-particle":"","family":"Au","given":"Amanda E","non-dropping-particle":"","parse-names":false,"suffix":""},{"dropping-particle":"","family":"Blackmore","given":"Timothy R","non-dropping-particle":"","parse-names":false,"suffix":""},{"dropping-particle":"","family":"Geurink","given":"Paul P","non-dropping-particle":"","parse-names":false,"suffix":""},{"dropping-particle":"","family":"Ovaa","given":"Huib","non-dropping-particle":"","parse-names":false,"suffix":""},{"dropping-particle":"","family":"Newman","given":"Janet","non-dropping-particle":"","parse-names":false,"suffix":""},{"dropping-particle":"","family":"Riboldi-Tunnicliffe","given":"Alan","non-dropping-particle":"","parse-names":false,"suffix":""},{"dropping-particle":"","family":"Czabotar","given":"Peter E","non-dropping-particle":"","parse-names":false,"suffix":""},{"dropping-particle":"","family":"Mitchell","given":"Jeffrey P","non-dropping-particle":"","parse-names":false,"suffix":""},{"dropping-particle":"","family":"Feltham","given":"Rebecca","non-dropping-particle":"","parse-names":false,"suffix":""},{"dropping-particle":"","family":"Lechtenberg","given":"Bernhard C","non-dropping-particle":"","parse-names":false,"suffix":""},{"dropping-particle":"","family":"Lowes","given":"Kym N","non-dropping-particle":"","parse-names":false,"suffix":""},{"dropping-particle":"","family":"Dewson","given":"Grant","non-dropping-particle":"","parse-names":false,"suffix":""},{"dropping-particle":"","family":"Pellegrini","given":"Marc","non-dropping-particle":"","parse-names":false,"suffix":""},{"dropping-particle":"","family":"Lessene","given":"Guillaume","non-dropping-particle":"","parse-names":false,"suffix":""},{"dropping-particle":"","family":"Komander","given":"David","non-dropping-particle":"","parse-names":false,"suffix":""}],"container-title":"bioRxiv","id":"ITEM-1","issued":{"date-parts":[["2020","1","1"]]},"page":"2020.06.18.160614","title":"Mechanism and inhibition of SARS-CoV-2 PLpro","type":"article-journal"},"uris":["http://www.mendeley.com/documents/?uuid=5102cf37-c310-41a9-8b35-e66b5480022e"]}],"mendeley":{"formattedCitation":"(22)","plainTextFormattedCitation":"(22)","previouslyFormattedCitation":"(22)"},"properties":{"noteIndex":0},"schema":"https://github.com/citation-style-language/schema/raw/master/csl-citation.json"}</w:instrText>
      </w:r>
      <w:r w:rsidRPr="001A3894">
        <w:rPr>
          <w:rFonts w:ascii="Arial" w:hAnsi="Arial"/>
          <w:sz w:val="20"/>
          <w:szCs w:val="20"/>
        </w:rPr>
        <w:fldChar w:fldCharType="separate"/>
      </w:r>
      <w:r w:rsidRPr="001A3894">
        <w:rPr>
          <w:rFonts w:ascii="Arial" w:hAnsi="Arial"/>
          <w:noProof/>
          <w:sz w:val="20"/>
          <w:szCs w:val="20"/>
        </w:rPr>
        <w:t>(22)</w:t>
      </w:r>
      <w:r w:rsidRPr="001A3894">
        <w:rPr>
          <w:rFonts w:ascii="Arial" w:hAnsi="Arial"/>
          <w:sz w:val="20"/>
          <w:szCs w:val="20"/>
        </w:rPr>
        <w:fldChar w:fldCharType="end"/>
      </w:r>
      <w:r w:rsidRPr="001A3894">
        <w:rPr>
          <w:rFonts w:ascii="Arial" w:hAnsi="Arial"/>
          <w:sz w:val="20"/>
          <w:szCs w:val="20"/>
        </w:rPr>
        <w:t xml:space="preserve"> with the full NSP3 reference scores on the left and the structure specific query on the right.</w:t>
      </w:r>
      <w:r>
        <w:rPr>
          <w:rFonts w:ascii="Arial" w:hAnsi="Arial"/>
          <w:sz w:val="20"/>
          <w:szCs w:val="20"/>
        </w:rPr>
        <w:br w:type="page"/>
      </w:r>
    </w:p>
    <w:p w14:paraId="7D063FB0" w14:textId="77777777" w:rsidR="000B15D7" w:rsidRDefault="000B15D7" w:rsidP="000B15D7">
      <w:pPr>
        <w:rPr>
          <w:rFonts w:ascii="Arial" w:hAnsi="Arial"/>
          <w:b/>
          <w:bCs/>
          <w:sz w:val="20"/>
          <w:szCs w:val="20"/>
        </w:rPr>
      </w:pPr>
      <w:r w:rsidRPr="00F32835">
        <w:rPr>
          <w:rFonts w:ascii="Arial" w:hAnsi="Arial"/>
          <w:b/>
          <w:bCs/>
          <w:noProof/>
          <w:sz w:val="20"/>
          <w:szCs w:val="20"/>
        </w:rPr>
        <w:lastRenderedPageBreak/>
        <w:drawing>
          <wp:inline distT="0" distB="0" distL="0" distR="0" wp14:anchorId="00430AF6" wp14:editId="2708292E">
            <wp:extent cx="3880236" cy="3233530"/>
            <wp:effectExtent l="0" t="0" r="635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91716" cy="3243097"/>
                    </a:xfrm>
                    <a:prstGeom prst="rect">
                      <a:avLst/>
                    </a:prstGeom>
                  </pic:spPr>
                </pic:pic>
              </a:graphicData>
            </a:graphic>
          </wp:inline>
        </w:drawing>
      </w:r>
    </w:p>
    <w:p w14:paraId="73C63C65" w14:textId="77777777" w:rsidR="000B15D7" w:rsidRDefault="000B15D7" w:rsidP="000B15D7">
      <w:pPr>
        <w:rPr>
          <w:rFonts w:ascii="Arial" w:hAnsi="Arial"/>
          <w:b/>
          <w:bCs/>
          <w:sz w:val="20"/>
          <w:szCs w:val="20"/>
        </w:rPr>
      </w:pPr>
      <w:r w:rsidRPr="00F32835">
        <w:rPr>
          <w:rFonts w:ascii="Arial" w:hAnsi="Arial"/>
          <w:b/>
          <w:bCs/>
          <w:noProof/>
          <w:sz w:val="20"/>
          <w:szCs w:val="20"/>
        </w:rPr>
        <w:drawing>
          <wp:inline distT="0" distB="0" distL="0" distR="0" wp14:anchorId="7F208AD2" wp14:editId="1E7AA2F6">
            <wp:extent cx="3879850" cy="3233208"/>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892932" cy="3244109"/>
                    </a:xfrm>
                    <a:prstGeom prst="rect">
                      <a:avLst/>
                    </a:prstGeom>
                  </pic:spPr>
                </pic:pic>
              </a:graphicData>
            </a:graphic>
          </wp:inline>
        </w:drawing>
      </w:r>
    </w:p>
    <w:p w14:paraId="1707D978" w14:textId="77777777" w:rsidR="000B15D7" w:rsidRPr="000754DB" w:rsidRDefault="000B15D7" w:rsidP="000B15D7">
      <w:pPr>
        <w:rPr>
          <w:rFonts w:ascii="Arial" w:hAnsi="Arial"/>
          <w:sz w:val="20"/>
          <w:szCs w:val="20"/>
        </w:rPr>
      </w:pPr>
      <w:r w:rsidRPr="001A3894">
        <w:rPr>
          <w:rFonts w:ascii="Arial" w:hAnsi="Arial"/>
          <w:b/>
          <w:bCs/>
          <w:sz w:val="20"/>
          <w:szCs w:val="20"/>
        </w:rPr>
        <w:t xml:space="preserve">Figure </w:t>
      </w:r>
      <w:r>
        <w:rPr>
          <w:rFonts w:ascii="Arial" w:hAnsi="Arial"/>
          <w:b/>
          <w:bCs/>
          <w:sz w:val="20"/>
          <w:szCs w:val="20"/>
        </w:rPr>
        <w:t>S</w:t>
      </w:r>
      <w:r w:rsidRPr="001A3894">
        <w:rPr>
          <w:rFonts w:ascii="Arial" w:hAnsi="Arial"/>
          <w:b/>
          <w:bCs/>
          <w:sz w:val="20"/>
          <w:szCs w:val="20"/>
        </w:rPr>
        <w:t xml:space="preserve">6. Identification of linear epitopes from coronavirus family combining evolutionary information from the coronavirus family with the current outbreak. </w:t>
      </w:r>
      <w:r w:rsidRPr="001A3894">
        <w:rPr>
          <w:rFonts w:ascii="Arial" w:hAnsi="Arial"/>
          <w:sz w:val="20"/>
          <w:szCs w:val="20"/>
        </w:rPr>
        <w:t>Identification of linear epitopes in each SARS-CoV-2 protein with an Evolutionary Trace. Past evolutionary information is represented by 100 - ET ranking. Number of unique variants summarizes the evolutionary information in the current outbreak. Tandem regions in the linear sequence with low ET ranking (&lt;=</w:t>
      </w:r>
      <w:r w:rsidRPr="000754DB">
        <w:rPr>
          <w:rFonts w:ascii="Arial" w:hAnsi="Arial"/>
          <w:sz w:val="20"/>
          <w:szCs w:val="20"/>
        </w:rPr>
        <w:t xml:space="preserve"> 30) and no current mutations are shown as blacklines above each plot. </w:t>
      </w:r>
    </w:p>
    <w:p w14:paraId="232E7DED" w14:textId="77777777" w:rsidR="000B15D7" w:rsidRPr="000754DB" w:rsidRDefault="000B15D7" w:rsidP="000B15D7">
      <w:pPr>
        <w:rPr>
          <w:rFonts w:ascii="Arial" w:hAnsi="Arial"/>
          <w:sz w:val="20"/>
          <w:szCs w:val="20"/>
        </w:rPr>
      </w:pPr>
    </w:p>
    <w:p w14:paraId="49A1C2D1" w14:textId="77777777" w:rsidR="000B15D7" w:rsidRPr="003E305E" w:rsidRDefault="000B15D7" w:rsidP="000B15D7">
      <w:pPr>
        <w:rPr>
          <w:rFonts w:ascii="Arial" w:hAnsi="Arial"/>
          <w:sz w:val="20"/>
          <w:szCs w:val="20"/>
        </w:rPr>
      </w:pPr>
      <w:r w:rsidRPr="004B1065">
        <w:rPr>
          <w:noProof/>
        </w:rPr>
        <w:lastRenderedPageBreak/>
        <w:t xml:space="preserve"> </w:t>
      </w:r>
      <w:r w:rsidRPr="00B16562">
        <w:rPr>
          <w:noProof/>
        </w:rPr>
        <w:drawing>
          <wp:inline distT="0" distB="0" distL="0" distR="0" wp14:anchorId="61CA76D4" wp14:editId="2F3D9D73">
            <wp:extent cx="5486400" cy="1837690"/>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86400" cy="1837690"/>
                    </a:xfrm>
                    <a:prstGeom prst="rect">
                      <a:avLst/>
                    </a:prstGeom>
                  </pic:spPr>
                </pic:pic>
              </a:graphicData>
            </a:graphic>
          </wp:inline>
        </w:drawing>
      </w:r>
      <w:r w:rsidRPr="001A3894">
        <w:rPr>
          <w:rFonts w:ascii="Arial" w:hAnsi="Arial"/>
          <w:b/>
          <w:bCs/>
          <w:sz w:val="20"/>
          <w:szCs w:val="20"/>
        </w:rPr>
        <w:t xml:space="preserve">Figure </w:t>
      </w:r>
      <w:r>
        <w:rPr>
          <w:rFonts w:ascii="Arial" w:hAnsi="Arial"/>
          <w:b/>
          <w:bCs/>
          <w:sz w:val="20"/>
          <w:szCs w:val="20"/>
        </w:rPr>
        <w:t>S</w:t>
      </w:r>
      <w:r w:rsidRPr="001A3894">
        <w:rPr>
          <w:rFonts w:ascii="Arial" w:hAnsi="Arial"/>
          <w:b/>
          <w:bCs/>
          <w:sz w:val="20"/>
          <w:szCs w:val="20"/>
        </w:rPr>
        <w:t>7. The EA/ET metric outperforms several alternative methods to separate cross reactive T-cell epitopes from non-</w:t>
      </w:r>
      <w:proofErr w:type="gramStart"/>
      <w:r w:rsidRPr="001A3894">
        <w:rPr>
          <w:rFonts w:ascii="Arial" w:hAnsi="Arial"/>
          <w:b/>
          <w:bCs/>
          <w:sz w:val="20"/>
          <w:szCs w:val="20"/>
        </w:rPr>
        <w:t>cross reactive</w:t>
      </w:r>
      <w:proofErr w:type="gramEnd"/>
      <w:r w:rsidRPr="001A3894">
        <w:rPr>
          <w:rFonts w:ascii="Arial" w:hAnsi="Arial"/>
          <w:b/>
          <w:bCs/>
          <w:sz w:val="20"/>
          <w:szCs w:val="20"/>
        </w:rPr>
        <w:t xml:space="preserve"> epitopes.</w:t>
      </w:r>
      <w:r w:rsidRPr="001A3894">
        <w:rPr>
          <w:rFonts w:ascii="Arial" w:hAnsi="Arial"/>
          <w:sz w:val="20"/>
          <w:szCs w:val="20"/>
        </w:rPr>
        <w:t xml:space="preserve"> A) Relative frequency distributions of percent identity (relative to SARS-CoV-2) for T-cell epitopes shown to either be cross reactive (red) or not (blue). A Kolmogorov-Smirnov test (ks test) shows a significant difference in the distributions. B) Receiver operator curves of correctly classifying cross reactive epitopes are shown for sumEA/</w:t>
      </w:r>
      <w:proofErr w:type="gramStart"/>
      <w:r w:rsidRPr="001A3894">
        <w:rPr>
          <w:rFonts w:ascii="Arial" w:hAnsi="Arial"/>
          <w:sz w:val="20"/>
          <w:szCs w:val="20"/>
        </w:rPr>
        <w:t>sum(</w:t>
      </w:r>
      <w:proofErr w:type="gramEnd"/>
      <w:r w:rsidRPr="001A3894">
        <w:rPr>
          <w:rFonts w:ascii="Arial" w:hAnsi="Arial"/>
          <w:sz w:val="20"/>
          <w:szCs w:val="20"/>
        </w:rPr>
        <w:t>100-ET ranking) (red</w:t>
      </w:r>
      <w:r w:rsidRPr="003E305E">
        <w:rPr>
          <w:rFonts w:ascii="Arial" w:hAnsi="Arial"/>
          <w:sz w:val="20"/>
          <w:szCs w:val="20"/>
        </w:rPr>
        <w:t>), sumEA (blue), sum(100-ET ranking) (green) and percent identity (black). C) Precision recall curves for the same four classifier approaches.</w:t>
      </w:r>
    </w:p>
    <w:p w14:paraId="5DBB9DF9" w14:textId="77777777" w:rsidR="000B15D7" w:rsidRDefault="000B15D7" w:rsidP="000B15D7">
      <w:pPr>
        <w:rPr>
          <w:rFonts w:ascii="Arial" w:hAnsi="Arial"/>
          <w:sz w:val="20"/>
          <w:szCs w:val="20"/>
        </w:rPr>
      </w:pPr>
      <w:r>
        <w:rPr>
          <w:rFonts w:ascii="Arial" w:hAnsi="Arial"/>
          <w:sz w:val="20"/>
          <w:szCs w:val="20"/>
        </w:rPr>
        <w:br w:type="page"/>
      </w:r>
    </w:p>
    <w:p w14:paraId="01A82F54" w14:textId="77777777" w:rsidR="000B15D7" w:rsidRPr="00A8057F" w:rsidRDefault="000B15D7" w:rsidP="000B15D7">
      <w:pPr>
        <w:rPr>
          <w:rFonts w:ascii="Arial" w:hAnsi="Arial"/>
          <w:b/>
          <w:bCs/>
          <w:sz w:val="20"/>
          <w:szCs w:val="20"/>
        </w:rPr>
      </w:pPr>
      <w:r w:rsidRPr="00A8057F">
        <w:rPr>
          <w:rFonts w:ascii="Arial" w:hAnsi="Arial"/>
          <w:b/>
          <w:bCs/>
          <w:sz w:val="20"/>
          <w:szCs w:val="20"/>
        </w:rPr>
        <w:lastRenderedPageBreak/>
        <w:t>Legends for Datasets</w:t>
      </w:r>
    </w:p>
    <w:p w14:paraId="2C2C6323" w14:textId="77777777" w:rsidR="000B15D7" w:rsidRPr="00B22CF5" w:rsidRDefault="000B15D7" w:rsidP="000B15D7">
      <w:pPr>
        <w:rPr>
          <w:rFonts w:ascii="Arial" w:hAnsi="Arial"/>
          <w:sz w:val="20"/>
          <w:szCs w:val="20"/>
        </w:rPr>
      </w:pPr>
      <w:r w:rsidRPr="00A8057F">
        <w:rPr>
          <w:rFonts w:ascii="Arial" w:hAnsi="Arial"/>
          <w:b/>
          <w:bCs/>
          <w:sz w:val="20"/>
          <w:szCs w:val="20"/>
        </w:rPr>
        <w:t>Dataset S1. Alignment Sequence Counts Each Filtering Step.</w:t>
      </w:r>
      <w:r>
        <w:rPr>
          <w:rFonts w:ascii="Arial" w:hAnsi="Arial"/>
          <w:b/>
          <w:bCs/>
          <w:sz w:val="20"/>
          <w:szCs w:val="20"/>
        </w:rPr>
        <w:t xml:space="preserve"> </w:t>
      </w:r>
      <w:r w:rsidRPr="0085782F">
        <w:rPr>
          <w:rFonts w:ascii="Arial" w:hAnsi="Arial"/>
          <w:sz w:val="20"/>
          <w:szCs w:val="20"/>
        </w:rPr>
        <w:t>Reported are</w:t>
      </w:r>
      <w:r>
        <w:rPr>
          <w:rFonts w:ascii="Arial" w:hAnsi="Arial"/>
          <w:b/>
          <w:bCs/>
          <w:sz w:val="20"/>
          <w:szCs w:val="20"/>
        </w:rPr>
        <w:t xml:space="preserve"> </w:t>
      </w:r>
      <w:r w:rsidRPr="00930191">
        <w:rPr>
          <w:rFonts w:ascii="Arial" w:hAnsi="Arial"/>
          <w:sz w:val="20"/>
          <w:szCs w:val="20"/>
        </w:rPr>
        <w:t xml:space="preserve">the </w:t>
      </w:r>
      <w:r w:rsidRPr="00EA18D2">
        <w:rPr>
          <w:rFonts w:ascii="Arial" w:hAnsi="Arial"/>
          <w:sz w:val="20"/>
          <w:szCs w:val="20"/>
        </w:rPr>
        <w:t>number</w:t>
      </w:r>
      <w:r>
        <w:rPr>
          <w:rFonts w:ascii="Arial" w:hAnsi="Arial"/>
          <w:sz w:val="20"/>
          <w:szCs w:val="20"/>
        </w:rPr>
        <w:t xml:space="preserve"> of sequences from:</w:t>
      </w:r>
      <w:r>
        <w:rPr>
          <w:rFonts w:ascii="Arial" w:hAnsi="Arial"/>
          <w:b/>
          <w:bCs/>
          <w:sz w:val="20"/>
          <w:szCs w:val="20"/>
        </w:rPr>
        <w:t xml:space="preserve"> </w:t>
      </w:r>
      <w:r w:rsidRPr="00B22CF5">
        <w:rPr>
          <w:rFonts w:ascii="Arial" w:hAnsi="Arial"/>
          <w:sz w:val="20"/>
          <w:szCs w:val="20"/>
        </w:rPr>
        <w:t>BLAST</w:t>
      </w:r>
      <w:r>
        <w:rPr>
          <w:rFonts w:ascii="Arial" w:hAnsi="Arial"/>
          <w:sz w:val="20"/>
          <w:szCs w:val="20"/>
        </w:rPr>
        <w:t xml:space="preserve"> hits retrieved from UniRef90, UniRef100 or NCBI non-redundant databases, filtering for our search criteria and second filtering step after removing alignment gaps. Final filtered sequence number data were used to generate Figure S1A.</w:t>
      </w:r>
    </w:p>
    <w:p w14:paraId="3DE40358" w14:textId="77777777" w:rsidR="000B15D7" w:rsidRPr="009F4690" w:rsidRDefault="000B15D7" w:rsidP="000B15D7">
      <w:pPr>
        <w:rPr>
          <w:rFonts w:ascii="Arial" w:hAnsi="Arial"/>
          <w:sz w:val="20"/>
          <w:szCs w:val="20"/>
        </w:rPr>
      </w:pPr>
      <w:r w:rsidRPr="00A8057F">
        <w:rPr>
          <w:rFonts w:ascii="Arial" w:hAnsi="Arial"/>
          <w:b/>
          <w:bCs/>
          <w:sz w:val="20"/>
          <w:szCs w:val="20"/>
        </w:rPr>
        <w:t>Dataset S2. ET Rankings and Unique Variant Counts.</w:t>
      </w:r>
      <w:r>
        <w:rPr>
          <w:rFonts w:ascii="Arial" w:hAnsi="Arial"/>
          <w:b/>
          <w:bCs/>
          <w:sz w:val="20"/>
          <w:szCs w:val="20"/>
        </w:rPr>
        <w:t xml:space="preserve"> </w:t>
      </w:r>
      <w:r>
        <w:rPr>
          <w:rFonts w:ascii="Arial" w:hAnsi="Arial"/>
          <w:sz w:val="20"/>
          <w:szCs w:val="20"/>
        </w:rPr>
        <w:t xml:space="preserve">For each protein, amino acid position, amino acid, ET ranking, 100-ET ranking and number of unique variants in current SARS-CoV-2 outbreak are reported. </w:t>
      </w:r>
    </w:p>
    <w:p w14:paraId="6F610CD6" w14:textId="77777777" w:rsidR="000B15D7" w:rsidRPr="008A78B0" w:rsidRDefault="000B15D7" w:rsidP="000B15D7">
      <w:pPr>
        <w:rPr>
          <w:rFonts w:ascii="Arial" w:hAnsi="Arial"/>
          <w:sz w:val="20"/>
          <w:szCs w:val="20"/>
        </w:rPr>
      </w:pPr>
      <w:r w:rsidRPr="003C62E5">
        <w:rPr>
          <w:rFonts w:ascii="Arial" w:hAnsi="Arial"/>
          <w:b/>
          <w:bCs/>
          <w:sz w:val="20"/>
          <w:szCs w:val="20"/>
          <w:lang w:val="pl-PL"/>
        </w:rPr>
        <w:t>Dataset S3. SCW Z-scores.</w:t>
      </w:r>
      <w:r w:rsidRPr="003C62E5">
        <w:rPr>
          <w:rFonts w:ascii="Arial" w:hAnsi="Arial"/>
          <w:sz w:val="20"/>
          <w:szCs w:val="20"/>
          <w:lang w:val="pl-PL"/>
        </w:rPr>
        <w:t xml:space="preserve"> </w:t>
      </w:r>
      <w:r>
        <w:rPr>
          <w:rFonts w:ascii="Arial" w:hAnsi="Arial"/>
          <w:sz w:val="20"/>
          <w:szCs w:val="20"/>
        </w:rPr>
        <w:t xml:space="preserve">Data for each of the structures used in this study including the selected chain, species of origin, identity to the reference protein sequence, and coverage of the reference are reported. In addition, </w:t>
      </w:r>
      <w:r w:rsidRPr="008A78B0">
        <w:rPr>
          <w:rFonts w:ascii="Arial" w:hAnsi="Arial"/>
          <w:sz w:val="20"/>
          <w:szCs w:val="20"/>
        </w:rPr>
        <w:t>ET rankings produced by</w:t>
      </w:r>
      <w:r>
        <w:rPr>
          <w:rFonts w:ascii="Arial" w:hAnsi="Arial"/>
          <w:sz w:val="20"/>
          <w:szCs w:val="20"/>
        </w:rPr>
        <w:t xml:space="preserve"> alignments built from the UniRef90, UniRef100, and NCBI NR databases and the average of these rankings are scored using the SCW z-score to determine clustering on each 3D structure. Residues corresponding to ET rankings &lt;= 30 were scored to produce these z-scores.</w:t>
      </w:r>
    </w:p>
    <w:p w14:paraId="7936695F" w14:textId="77777777" w:rsidR="000B15D7" w:rsidRPr="004B078D" w:rsidRDefault="000B15D7" w:rsidP="000B15D7">
      <w:pPr>
        <w:rPr>
          <w:rFonts w:ascii="Arial" w:hAnsi="Arial"/>
          <w:sz w:val="20"/>
          <w:szCs w:val="20"/>
        </w:rPr>
      </w:pPr>
      <w:r w:rsidRPr="00A8057F">
        <w:rPr>
          <w:rFonts w:ascii="Arial" w:hAnsi="Arial"/>
          <w:b/>
          <w:bCs/>
          <w:sz w:val="20"/>
          <w:szCs w:val="20"/>
        </w:rPr>
        <w:t>Dataset S4. Structural Sites with 5A Proximity Cutoff.</w:t>
      </w:r>
      <w:r>
        <w:rPr>
          <w:rFonts w:ascii="Arial" w:hAnsi="Arial"/>
          <w:b/>
          <w:bCs/>
          <w:sz w:val="20"/>
          <w:szCs w:val="20"/>
        </w:rPr>
        <w:t xml:space="preserve"> </w:t>
      </w:r>
      <w:r>
        <w:rPr>
          <w:rFonts w:ascii="Arial" w:hAnsi="Arial"/>
          <w:sz w:val="20"/>
          <w:szCs w:val="20"/>
        </w:rPr>
        <w:t>Structural sites for each of the proteins with solved structures. Sites reported have a size &gt;= 2 residues, ET rankings &lt;= 30, atoms within 5Å of one another, are surface accessible, and have no variants in the current outbreak. Sites are organized by protein, structure, and then site size.</w:t>
      </w:r>
    </w:p>
    <w:p w14:paraId="377556A0" w14:textId="77777777" w:rsidR="000B15D7" w:rsidRPr="00C66981" w:rsidRDefault="000B15D7" w:rsidP="000B15D7">
      <w:pPr>
        <w:rPr>
          <w:rFonts w:ascii="Arial" w:hAnsi="Arial"/>
          <w:sz w:val="20"/>
          <w:szCs w:val="20"/>
        </w:rPr>
      </w:pPr>
      <w:r w:rsidRPr="00A8057F">
        <w:rPr>
          <w:rFonts w:ascii="Arial" w:hAnsi="Arial"/>
          <w:b/>
          <w:bCs/>
          <w:sz w:val="20"/>
          <w:szCs w:val="20"/>
        </w:rPr>
        <w:t>Dataset S5. Linear Sites.</w:t>
      </w:r>
      <w:r>
        <w:rPr>
          <w:rFonts w:ascii="Arial" w:hAnsi="Arial"/>
          <w:b/>
          <w:bCs/>
          <w:sz w:val="20"/>
          <w:szCs w:val="20"/>
        </w:rPr>
        <w:t xml:space="preserve"> </w:t>
      </w:r>
      <w:r>
        <w:rPr>
          <w:rFonts w:ascii="Arial" w:hAnsi="Arial"/>
          <w:sz w:val="20"/>
          <w:szCs w:val="20"/>
        </w:rPr>
        <w:t>Linear sites for each of the proteins in the SARS-CoV-2 proteome. The first page details all linear sites with regard to the reference genome, while the second page provides linear sites which map to the selected structures. Sites in this data set have a size &gt;= 2 residues, ET rankings &lt;= 30, are connected in sequence, and have no variants in the current outbreak. Sites are organized by protein, structure (for the second page), and site size.</w:t>
      </w:r>
    </w:p>
    <w:p w14:paraId="2B890E5E" w14:textId="77777777" w:rsidR="000B15D7" w:rsidRPr="0098554E" w:rsidRDefault="000B15D7" w:rsidP="000B15D7">
      <w:pPr>
        <w:rPr>
          <w:rFonts w:ascii="Arial" w:hAnsi="Arial"/>
          <w:sz w:val="20"/>
          <w:szCs w:val="20"/>
        </w:rPr>
      </w:pPr>
      <w:r w:rsidRPr="00A8057F">
        <w:rPr>
          <w:rFonts w:ascii="Arial" w:hAnsi="Arial"/>
          <w:b/>
          <w:bCs/>
          <w:sz w:val="20"/>
          <w:szCs w:val="20"/>
        </w:rPr>
        <w:t>Dataset S6. Comparison of Linear ET Sites and Structural ET Sites.</w:t>
      </w:r>
      <w:r>
        <w:rPr>
          <w:rFonts w:ascii="Arial" w:hAnsi="Arial"/>
          <w:b/>
          <w:bCs/>
          <w:sz w:val="20"/>
          <w:szCs w:val="20"/>
        </w:rPr>
        <w:t xml:space="preserve"> </w:t>
      </w:r>
      <w:r>
        <w:rPr>
          <w:rFonts w:ascii="Arial" w:hAnsi="Arial"/>
          <w:sz w:val="20"/>
          <w:szCs w:val="20"/>
        </w:rPr>
        <w:t>Linear ET sites and structural ET sites were compared for each protein structure. Linear ET sites were truncated to match the coverage of the protein structure. The Jaccard similarity and Fisher exact test p-values were reported for each linear-structural site comparison.</w:t>
      </w:r>
    </w:p>
    <w:p w14:paraId="43F9089C" w14:textId="77777777" w:rsidR="000B15D7" w:rsidRPr="00634744" w:rsidRDefault="000B15D7" w:rsidP="000B15D7">
      <w:pPr>
        <w:rPr>
          <w:rFonts w:ascii="Arial" w:hAnsi="Arial"/>
          <w:sz w:val="20"/>
          <w:szCs w:val="20"/>
        </w:rPr>
      </w:pPr>
      <w:r w:rsidRPr="00A8057F">
        <w:rPr>
          <w:rFonts w:ascii="Arial" w:hAnsi="Arial"/>
          <w:b/>
          <w:bCs/>
          <w:sz w:val="20"/>
          <w:szCs w:val="20"/>
        </w:rPr>
        <w:t>Dataset S7. Cross-reactive T Cell Epitopes Training Set.</w:t>
      </w:r>
      <w:r>
        <w:rPr>
          <w:rFonts w:ascii="Arial" w:hAnsi="Arial"/>
          <w:b/>
          <w:bCs/>
          <w:sz w:val="20"/>
          <w:szCs w:val="20"/>
        </w:rPr>
        <w:t xml:space="preserve"> </w:t>
      </w:r>
      <w:r>
        <w:rPr>
          <w:rFonts w:ascii="Arial" w:hAnsi="Arial"/>
          <w:sz w:val="20"/>
          <w:szCs w:val="20"/>
        </w:rPr>
        <w:t xml:space="preserve">For each SARS-CoV-2 homologous T-cell epitopes that were tested for cross reactive by Mateus et al., the percent identity, sumEA, </w:t>
      </w:r>
      <w:proofErr w:type="gramStart"/>
      <w:r>
        <w:rPr>
          <w:rFonts w:ascii="Arial" w:hAnsi="Arial"/>
          <w:sz w:val="20"/>
          <w:szCs w:val="20"/>
        </w:rPr>
        <w:t>sum(</w:t>
      </w:r>
      <w:proofErr w:type="gramEnd"/>
      <w:r>
        <w:rPr>
          <w:rFonts w:ascii="Arial" w:hAnsi="Arial"/>
          <w:sz w:val="20"/>
          <w:szCs w:val="20"/>
        </w:rPr>
        <w:t>100-ET ranking), and sumEA/sum(100-ET ranking) were calculated. The optimal cutoff point for sumEA/</w:t>
      </w:r>
      <w:proofErr w:type="gramStart"/>
      <w:r>
        <w:rPr>
          <w:rFonts w:ascii="Arial" w:hAnsi="Arial"/>
          <w:sz w:val="20"/>
          <w:szCs w:val="20"/>
        </w:rPr>
        <w:t>sum(</w:t>
      </w:r>
      <w:proofErr w:type="gramEnd"/>
      <w:r>
        <w:rPr>
          <w:rFonts w:ascii="Arial" w:hAnsi="Arial"/>
          <w:sz w:val="20"/>
          <w:szCs w:val="20"/>
        </w:rPr>
        <w:t xml:space="preserve">100-ET ranking) that best predict cross-reactivity was determined using this dataset. </w:t>
      </w:r>
    </w:p>
    <w:p w14:paraId="43CC280E" w14:textId="77777777" w:rsidR="000B15D7" w:rsidRPr="00B0080C" w:rsidRDefault="000B15D7" w:rsidP="000B15D7">
      <w:pPr>
        <w:rPr>
          <w:rFonts w:ascii="Arial" w:hAnsi="Arial"/>
          <w:sz w:val="20"/>
          <w:szCs w:val="20"/>
        </w:rPr>
      </w:pPr>
      <w:r w:rsidRPr="00A8057F">
        <w:rPr>
          <w:rFonts w:ascii="Arial" w:hAnsi="Arial"/>
          <w:b/>
          <w:bCs/>
          <w:sz w:val="20"/>
          <w:szCs w:val="20"/>
        </w:rPr>
        <w:t>Dataset S8. Cross-reactive T cell Epitopes Prediction Set.</w:t>
      </w:r>
      <w:r>
        <w:rPr>
          <w:rFonts w:ascii="Arial" w:hAnsi="Arial"/>
          <w:b/>
          <w:bCs/>
          <w:sz w:val="20"/>
          <w:szCs w:val="20"/>
        </w:rPr>
        <w:t xml:space="preserve"> </w:t>
      </w:r>
      <w:r>
        <w:rPr>
          <w:rFonts w:ascii="Arial" w:hAnsi="Arial"/>
          <w:sz w:val="20"/>
          <w:szCs w:val="20"/>
        </w:rPr>
        <w:t>For each SARS-CoV-2 homologous T-cell epitopes that were not tested for cross reactive by Mateus et al., the sumEA/</w:t>
      </w:r>
      <w:proofErr w:type="gramStart"/>
      <w:r>
        <w:rPr>
          <w:rFonts w:ascii="Arial" w:hAnsi="Arial"/>
          <w:sz w:val="20"/>
          <w:szCs w:val="20"/>
        </w:rPr>
        <w:t>sum(</w:t>
      </w:r>
      <w:proofErr w:type="gramEnd"/>
      <w:r>
        <w:rPr>
          <w:rFonts w:ascii="Arial" w:hAnsi="Arial"/>
          <w:sz w:val="20"/>
          <w:szCs w:val="20"/>
        </w:rPr>
        <w:t>100-ET ranking) were calculated. This metric (&lt;=0.168) was then used to predict the cross-reactivity of these T-cell epitopes.</w:t>
      </w:r>
    </w:p>
    <w:p w14:paraId="0A2983B2" w14:textId="77777777" w:rsidR="000B15D7" w:rsidRDefault="000B15D7" w:rsidP="000B15D7">
      <w:pPr>
        <w:rPr>
          <w:rFonts w:ascii="Arial" w:hAnsi="Arial"/>
          <w:sz w:val="20"/>
          <w:szCs w:val="20"/>
        </w:rPr>
      </w:pPr>
      <w:r>
        <w:rPr>
          <w:rFonts w:ascii="Arial" w:hAnsi="Arial"/>
          <w:sz w:val="20"/>
          <w:szCs w:val="20"/>
        </w:rPr>
        <w:br w:type="page"/>
      </w:r>
    </w:p>
    <w:p w14:paraId="75ADF8A3" w14:textId="77777777" w:rsidR="000B15D7" w:rsidRDefault="000B15D7" w:rsidP="000B15D7">
      <w:pPr>
        <w:rPr>
          <w:rFonts w:ascii="Arial" w:hAnsi="Arial"/>
          <w:sz w:val="20"/>
          <w:szCs w:val="20"/>
        </w:rPr>
      </w:pPr>
      <w:r>
        <w:rPr>
          <w:rFonts w:ascii="Arial" w:hAnsi="Arial"/>
          <w:b/>
          <w:bCs/>
          <w:sz w:val="20"/>
          <w:szCs w:val="20"/>
        </w:rPr>
        <w:lastRenderedPageBreak/>
        <w:t>References</w:t>
      </w:r>
    </w:p>
    <w:p w14:paraId="2E286F2A" w14:textId="77777777" w:rsidR="000B15D7" w:rsidRDefault="000B15D7" w:rsidP="000B15D7">
      <w:pPr>
        <w:rPr>
          <w:rFonts w:ascii="Arial" w:hAnsi="Arial"/>
          <w:sz w:val="20"/>
          <w:szCs w:val="20"/>
        </w:rPr>
      </w:pPr>
    </w:p>
    <w:p w14:paraId="603D721A" w14:textId="77777777" w:rsidR="000B15D7" w:rsidRPr="00FB114B" w:rsidRDefault="000B15D7" w:rsidP="000B15D7">
      <w:pPr>
        <w:widowControl w:val="0"/>
        <w:autoSpaceDE w:val="0"/>
        <w:autoSpaceDN w:val="0"/>
        <w:adjustRightInd w:val="0"/>
        <w:ind w:left="640" w:hanging="640"/>
        <w:rPr>
          <w:rFonts w:ascii="Arial" w:hAnsi="Arial"/>
          <w:noProof/>
          <w:sz w:val="20"/>
        </w:rPr>
      </w:pPr>
      <w:r>
        <w:rPr>
          <w:rFonts w:ascii="Arial" w:hAnsi="Arial"/>
          <w:sz w:val="20"/>
          <w:szCs w:val="20"/>
        </w:rPr>
        <w:fldChar w:fldCharType="begin" w:fldLock="1"/>
      </w:r>
      <w:r>
        <w:rPr>
          <w:rFonts w:ascii="Arial" w:hAnsi="Arial"/>
          <w:sz w:val="20"/>
          <w:szCs w:val="20"/>
        </w:rPr>
        <w:instrText xml:space="preserve">ADDIN Mendeley Bibliography CSL_BIBLIOGRAPHY </w:instrText>
      </w:r>
      <w:r>
        <w:rPr>
          <w:rFonts w:ascii="Arial" w:hAnsi="Arial"/>
          <w:sz w:val="20"/>
          <w:szCs w:val="20"/>
        </w:rPr>
        <w:fldChar w:fldCharType="separate"/>
      </w:r>
      <w:r w:rsidRPr="00FB114B">
        <w:rPr>
          <w:rFonts w:ascii="Arial" w:hAnsi="Arial"/>
          <w:noProof/>
          <w:sz w:val="20"/>
        </w:rPr>
        <w:t xml:space="preserve">1. </w:t>
      </w:r>
      <w:r w:rsidRPr="00FB114B">
        <w:rPr>
          <w:rFonts w:ascii="Arial" w:hAnsi="Arial"/>
          <w:noProof/>
          <w:sz w:val="20"/>
        </w:rPr>
        <w:tab/>
        <w:t xml:space="preserve">Y. Shu, J. McCauley, GISAID: Global initiative on sharing all influenza data - from vision to reality. </w:t>
      </w:r>
      <w:r w:rsidRPr="00FB114B">
        <w:rPr>
          <w:rFonts w:ascii="Arial" w:hAnsi="Arial"/>
          <w:i/>
          <w:iCs/>
          <w:noProof/>
          <w:sz w:val="20"/>
        </w:rPr>
        <w:t>Euro Surveill.</w:t>
      </w:r>
      <w:r w:rsidRPr="00FB114B">
        <w:rPr>
          <w:rFonts w:ascii="Arial" w:hAnsi="Arial"/>
          <w:noProof/>
          <w:sz w:val="20"/>
        </w:rPr>
        <w:t xml:space="preserve"> </w:t>
      </w:r>
      <w:r w:rsidRPr="00FB114B">
        <w:rPr>
          <w:rFonts w:ascii="Arial" w:hAnsi="Arial"/>
          <w:b/>
          <w:bCs/>
          <w:noProof/>
          <w:sz w:val="20"/>
        </w:rPr>
        <w:t>22</w:t>
      </w:r>
      <w:r w:rsidRPr="00FB114B">
        <w:rPr>
          <w:rFonts w:ascii="Arial" w:hAnsi="Arial"/>
          <w:noProof/>
          <w:sz w:val="20"/>
        </w:rPr>
        <w:t xml:space="preserve"> (2017).</w:t>
      </w:r>
    </w:p>
    <w:p w14:paraId="304F331A"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2. </w:t>
      </w:r>
      <w:r w:rsidRPr="00FB114B">
        <w:rPr>
          <w:rFonts w:ascii="Arial" w:hAnsi="Arial"/>
          <w:noProof/>
          <w:sz w:val="20"/>
        </w:rPr>
        <w:tab/>
        <w:t xml:space="preserve">W.-M. Zhao, </w:t>
      </w:r>
      <w:r w:rsidRPr="00FB114B">
        <w:rPr>
          <w:rFonts w:ascii="Arial" w:hAnsi="Arial"/>
          <w:i/>
          <w:iCs/>
          <w:noProof/>
          <w:sz w:val="20"/>
        </w:rPr>
        <w:t>et al.</w:t>
      </w:r>
      <w:r w:rsidRPr="00FB114B">
        <w:rPr>
          <w:rFonts w:ascii="Arial" w:hAnsi="Arial"/>
          <w:noProof/>
          <w:sz w:val="20"/>
        </w:rPr>
        <w:t xml:space="preserve">, The 2019 novel coronavirus resource. </w:t>
      </w:r>
      <w:r w:rsidRPr="00FB114B">
        <w:rPr>
          <w:rFonts w:ascii="Arial" w:hAnsi="Arial"/>
          <w:i/>
          <w:iCs/>
          <w:noProof/>
          <w:sz w:val="20"/>
        </w:rPr>
        <w:t>Yi chuan = Hered.</w:t>
      </w:r>
      <w:r w:rsidRPr="00FB114B">
        <w:rPr>
          <w:rFonts w:ascii="Arial" w:hAnsi="Arial"/>
          <w:noProof/>
          <w:sz w:val="20"/>
        </w:rPr>
        <w:t xml:space="preserve"> </w:t>
      </w:r>
      <w:r w:rsidRPr="00FB114B">
        <w:rPr>
          <w:rFonts w:ascii="Arial" w:hAnsi="Arial"/>
          <w:b/>
          <w:bCs/>
          <w:noProof/>
          <w:sz w:val="20"/>
        </w:rPr>
        <w:t>42</w:t>
      </w:r>
      <w:r w:rsidRPr="00FB114B">
        <w:rPr>
          <w:rFonts w:ascii="Arial" w:hAnsi="Arial"/>
          <w:noProof/>
          <w:sz w:val="20"/>
        </w:rPr>
        <w:t>, 212–221 (2020).</w:t>
      </w:r>
    </w:p>
    <w:p w14:paraId="6968363F"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3. </w:t>
      </w:r>
      <w:r w:rsidRPr="00FB114B">
        <w:rPr>
          <w:rFonts w:ascii="Arial" w:hAnsi="Arial"/>
          <w:noProof/>
          <w:sz w:val="20"/>
        </w:rPr>
        <w:tab/>
        <w:t xml:space="preserve">H. Li, Minimap2: Pairwise alignment for nucleotide sequences. </w:t>
      </w:r>
      <w:r w:rsidRPr="00FB114B">
        <w:rPr>
          <w:rFonts w:ascii="Arial" w:hAnsi="Arial"/>
          <w:i/>
          <w:iCs/>
          <w:noProof/>
          <w:sz w:val="20"/>
        </w:rPr>
        <w:t>Bioinformatics</w:t>
      </w:r>
      <w:r w:rsidRPr="00FB114B">
        <w:rPr>
          <w:rFonts w:ascii="Arial" w:hAnsi="Arial"/>
          <w:noProof/>
          <w:sz w:val="20"/>
        </w:rPr>
        <w:t xml:space="preserve"> </w:t>
      </w:r>
      <w:r w:rsidRPr="00FB114B">
        <w:rPr>
          <w:rFonts w:ascii="Arial" w:hAnsi="Arial"/>
          <w:b/>
          <w:bCs/>
          <w:noProof/>
          <w:sz w:val="20"/>
        </w:rPr>
        <w:t>34</w:t>
      </w:r>
      <w:r w:rsidRPr="00FB114B">
        <w:rPr>
          <w:rFonts w:ascii="Arial" w:hAnsi="Arial"/>
          <w:noProof/>
          <w:sz w:val="20"/>
        </w:rPr>
        <w:t>, 3094–3100 (2018).</w:t>
      </w:r>
    </w:p>
    <w:p w14:paraId="5DF60BDE"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4. </w:t>
      </w:r>
      <w:r w:rsidRPr="00FB114B">
        <w:rPr>
          <w:rFonts w:ascii="Arial" w:hAnsi="Arial"/>
          <w:noProof/>
          <w:sz w:val="20"/>
        </w:rPr>
        <w:tab/>
        <w:t xml:space="preserve">H. Li, A statistical framework for SNP calling, mutation discovery, association mapping and population genetical parameter estimation from sequencing data. </w:t>
      </w:r>
      <w:r w:rsidRPr="00FB114B">
        <w:rPr>
          <w:rFonts w:ascii="Arial" w:hAnsi="Arial"/>
          <w:i/>
          <w:iCs/>
          <w:noProof/>
          <w:sz w:val="20"/>
        </w:rPr>
        <w:t>Bioinformatics</w:t>
      </w:r>
      <w:r w:rsidRPr="00FB114B">
        <w:rPr>
          <w:rFonts w:ascii="Arial" w:hAnsi="Arial"/>
          <w:noProof/>
          <w:sz w:val="20"/>
        </w:rPr>
        <w:t xml:space="preserve"> </w:t>
      </w:r>
      <w:r w:rsidRPr="00FB114B">
        <w:rPr>
          <w:rFonts w:ascii="Arial" w:hAnsi="Arial"/>
          <w:b/>
          <w:bCs/>
          <w:noProof/>
          <w:sz w:val="20"/>
        </w:rPr>
        <w:t>27</w:t>
      </w:r>
      <w:r w:rsidRPr="00FB114B">
        <w:rPr>
          <w:rFonts w:ascii="Arial" w:hAnsi="Arial"/>
          <w:noProof/>
          <w:sz w:val="20"/>
        </w:rPr>
        <w:t>, 2987–93 (2011).</w:t>
      </w:r>
    </w:p>
    <w:p w14:paraId="43321C97"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5. </w:t>
      </w:r>
      <w:r w:rsidRPr="00FB114B">
        <w:rPr>
          <w:rFonts w:ascii="Arial" w:hAnsi="Arial"/>
          <w:noProof/>
          <w:sz w:val="20"/>
        </w:rPr>
        <w:tab/>
        <w:t xml:space="preserve">A. Bateman, UniProt: A worldwide hub of protein knowledge. </w:t>
      </w:r>
      <w:r w:rsidRPr="00FB114B">
        <w:rPr>
          <w:rFonts w:ascii="Arial" w:hAnsi="Arial"/>
          <w:i/>
          <w:iCs/>
          <w:noProof/>
          <w:sz w:val="20"/>
        </w:rPr>
        <w:t>Nucleic Acids Res.</w:t>
      </w:r>
      <w:r w:rsidRPr="00FB114B">
        <w:rPr>
          <w:rFonts w:ascii="Arial" w:hAnsi="Arial"/>
          <w:noProof/>
          <w:sz w:val="20"/>
        </w:rPr>
        <w:t xml:space="preserve"> </w:t>
      </w:r>
      <w:r w:rsidRPr="00FB114B">
        <w:rPr>
          <w:rFonts w:ascii="Arial" w:hAnsi="Arial"/>
          <w:b/>
          <w:bCs/>
          <w:noProof/>
          <w:sz w:val="20"/>
        </w:rPr>
        <w:t>47</w:t>
      </w:r>
      <w:r w:rsidRPr="00FB114B">
        <w:rPr>
          <w:rFonts w:ascii="Arial" w:hAnsi="Arial"/>
          <w:noProof/>
          <w:sz w:val="20"/>
        </w:rPr>
        <w:t>, D506–D515 (2019).</w:t>
      </w:r>
    </w:p>
    <w:p w14:paraId="747F97A2"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6. </w:t>
      </w:r>
      <w:r w:rsidRPr="00FB114B">
        <w:rPr>
          <w:rFonts w:ascii="Arial" w:hAnsi="Arial"/>
          <w:noProof/>
          <w:sz w:val="20"/>
        </w:rPr>
        <w:tab/>
        <w:t xml:space="preserve">C. Camacho, </w:t>
      </w:r>
      <w:r w:rsidRPr="00FB114B">
        <w:rPr>
          <w:rFonts w:ascii="Arial" w:hAnsi="Arial"/>
          <w:i/>
          <w:iCs/>
          <w:noProof/>
          <w:sz w:val="20"/>
        </w:rPr>
        <w:t>et al.</w:t>
      </w:r>
      <w:r w:rsidRPr="00FB114B">
        <w:rPr>
          <w:rFonts w:ascii="Arial" w:hAnsi="Arial"/>
          <w:noProof/>
          <w:sz w:val="20"/>
        </w:rPr>
        <w:t xml:space="preserve">, BLAST+: Architecture and applications. </w:t>
      </w:r>
      <w:r w:rsidRPr="00FB114B">
        <w:rPr>
          <w:rFonts w:ascii="Arial" w:hAnsi="Arial"/>
          <w:i/>
          <w:iCs/>
          <w:noProof/>
          <w:sz w:val="20"/>
        </w:rPr>
        <w:t>BMC Bioinformatics</w:t>
      </w:r>
      <w:r w:rsidRPr="00FB114B">
        <w:rPr>
          <w:rFonts w:ascii="Arial" w:hAnsi="Arial"/>
          <w:noProof/>
          <w:sz w:val="20"/>
        </w:rPr>
        <w:t xml:space="preserve"> </w:t>
      </w:r>
      <w:r w:rsidRPr="00FB114B">
        <w:rPr>
          <w:rFonts w:ascii="Arial" w:hAnsi="Arial"/>
          <w:b/>
          <w:bCs/>
          <w:noProof/>
          <w:sz w:val="20"/>
        </w:rPr>
        <w:t>10</w:t>
      </w:r>
      <w:r w:rsidRPr="00FB114B">
        <w:rPr>
          <w:rFonts w:ascii="Arial" w:hAnsi="Arial"/>
          <w:noProof/>
          <w:sz w:val="20"/>
        </w:rPr>
        <w:t xml:space="preserve"> (2009).</w:t>
      </w:r>
    </w:p>
    <w:p w14:paraId="5DE90654"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7. </w:t>
      </w:r>
      <w:r w:rsidRPr="00FB114B">
        <w:rPr>
          <w:rFonts w:ascii="Arial" w:hAnsi="Arial"/>
          <w:noProof/>
          <w:sz w:val="20"/>
        </w:rPr>
        <w:tab/>
        <w:t xml:space="preserve">I. Mihalek, I. Reš, O. Lichtarge, A Family of Evolution-Entropy Hybrid Methods for Ranking Protein Residues by Importance. </w:t>
      </w:r>
      <w:r w:rsidRPr="00FB114B">
        <w:rPr>
          <w:rFonts w:ascii="Arial" w:hAnsi="Arial"/>
          <w:i/>
          <w:iCs/>
          <w:noProof/>
          <w:sz w:val="20"/>
        </w:rPr>
        <w:t>J. Mol. Biol.</w:t>
      </w:r>
      <w:r w:rsidRPr="00FB114B">
        <w:rPr>
          <w:rFonts w:ascii="Arial" w:hAnsi="Arial"/>
          <w:noProof/>
          <w:sz w:val="20"/>
        </w:rPr>
        <w:t xml:space="preserve"> </w:t>
      </w:r>
      <w:r w:rsidRPr="00FB114B">
        <w:rPr>
          <w:rFonts w:ascii="Arial" w:hAnsi="Arial"/>
          <w:b/>
          <w:bCs/>
          <w:noProof/>
          <w:sz w:val="20"/>
        </w:rPr>
        <w:t>336</w:t>
      </w:r>
      <w:r w:rsidRPr="00FB114B">
        <w:rPr>
          <w:rFonts w:ascii="Arial" w:hAnsi="Arial"/>
          <w:noProof/>
          <w:sz w:val="20"/>
        </w:rPr>
        <w:t>, 1265–1282 (2004).</w:t>
      </w:r>
    </w:p>
    <w:p w14:paraId="4FA4B4AF"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8. </w:t>
      </w:r>
      <w:r w:rsidRPr="00FB114B">
        <w:rPr>
          <w:rFonts w:ascii="Arial" w:hAnsi="Arial"/>
          <w:noProof/>
          <w:sz w:val="20"/>
        </w:rPr>
        <w:tab/>
        <w:t xml:space="preserve">O. Lichtarge, M. E. Sowa, A. Philippi, “Evolutionary traces of functional surfaces along G protein signaling pathway” in </w:t>
      </w:r>
      <w:r w:rsidRPr="00FB114B">
        <w:rPr>
          <w:rFonts w:ascii="Arial" w:hAnsi="Arial"/>
          <w:i/>
          <w:iCs/>
          <w:noProof/>
          <w:sz w:val="20"/>
        </w:rPr>
        <w:t>Methods in Enzymology</w:t>
      </w:r>
      <w:r w:rsidRPr="00FB114B">
        <w:rPr>
          <w:rFonts w:ascii="Arial" w:hAnsi="Arial"/>
          <w:noProof/>
          <w:sz w:val="20"/>
        </w:rPr>
        <w:t>, (Academic Press Inc., 2002), pp. 536–556.</w:t>
      </w:r>
    </w:p>
    <w:p w14:paraId="7CB47430"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9. </w:t>
      </w:r>
      <w:r w:rsidRPr="00FB114B">
        <w:rPr>
          <w:rFonts w:ascii="Arial" w:hAnsi="Arial"/>
          <w:noProof/>
          <w:sz w:val="20"/>
        </w:rPr>
        <w:tab/>
        <w:t xml:space="preserve">M. A. Larkin, </w:t>
      </w:r>
      <w:r w:rsidRPr="00FB114B">
        <w:rPr>
          <w:rFonts w:ascii="Arial" w:hAnsi="Arial"/>
          <w:i/>
          <w:iCs/>
          <w:noProof/>
          <w:sz w:val="20"/>
        </w:rPr>
        <w:t>et al.</w:t>
      </w:r>
      <w:r w:rsidRPr="00FB114B">
        <w:rPr>
          <w:rFonts w:ascii="Arial" w:hAnsi="Arial"/>
          <w:noProof/>
          <w:sz w:val="20"/>
        </w:rPr>
        <w:t xml:space="preserve">, Clustal W and Clustal X version 2.0. </w:t>
      </w:r>
      <w:r w:rsidRPr="00FB114B">
        <w:rPr>
          <w:rFonts w:ascii="Arial" w:hAnsi="Arial"/>
          <w:i/>
          <w:iCs/>
          <w:noProof/>
          <w:sz w:val="20"/>
        </w:rPr>
        <w:t>Bioinformatics</w:t>
      </w:r>
      <w:r w:rsidRPr="00FB114B">
        <w:rPr>
          <w:rFonts w:ascii="Arial" w:hAnsi="Arial"/>
          <w:noProof/>
          <w:sz w:val="20"/>
        </w:rPr>
        <w:t xml:space="preserve"> </w:t>
      </w:r>
      <w:r w:rsidRPr="00FB114B">
        <w:rPr>
          <w:rFonts w:ascii="Arial" w:hAnsi="Arial"/>
          <w:b/>
          <w:bCs/>
          <w:noProof/>
          <w:sz w:val="20"/>
        </w:rPr>
        <w:t>23</w:t>
      </w:r>
      <w:r w:rsidRPr="00FB114B">
        <w:rPr>
          <w:rFonts w:ascii="Arial" w:hAnsi="Arial"/>
          <w:noProof/>
          <w:sz w:val="20"/>
        </w:rPr>
        <w:t>, 2947–2948 (2007).</w:t>
      </w:r>
    </w:p>
    <w:p w14:paraId="31DA54BE"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10. </w:t>
      </w:r>
      <w:r w:rsidRPr="00FB114B">
        <w:rPr>
          <w:rFonts w:ascii="Arial" w:hAnsi="Arial"/>
          <w:noProof/>
          <w:sz w:val="20"/>
        </w:rPr>
        <w:tab/>
        <w:t xml:space="preserve">S. Madabushi, </w:t>
      </w:r>
      <w:r w:rsidRPr="00FB114B">
        <w:rPr>
          <w:rFonts w:ascii="Arial" w:hAnsi="Arial"/>
          <w:i/>
          <w:iCs/>
          <w:noProof/>
          <w:sz w:val="20"/>
        </w:rPr>
        <w:t>et al.</w:t>
      </w:r>
      <w:r w:rsidRPr="00FB114B">
        <w:rPr>
          <w:rFonts w:ascii="Arial" w:hAnsi="Arial"/>
          <w:noProof/>
          <w:sz w:val="20"/>
        </w:rPr>
        <w:t xml:space="preserve">, Structural clusters of evolutionary trace residues are statistically significant and common in proteins. </w:t>
      </w:r>
      <w:r w:rsidRPr="00FB114B">
        <w:rPr>
          <w:rFonts w:ascii="Arial" w:hAnsi="Arial"/>
          <w:i/>
          <w:iCs/>
          <w:noProof/>
          <w:sz w:val="20"/>
        </w:rPr>
        <w:t>J. Mol. Biol.</w:t>
      </w:r>
      <w:r w:rsidRPr="00FB114B">
        <w:rPr>
          <w:rFonts w:ascii="Arial" w:hAnsi="Arial"/>
          <w:noProof/>
          <w:sz w:val="20"/>
        </w:rPr>
        <w:t xml:space="preserve"> </w:t>
      </w:r>
      <w:r w:rsidRPr="00FB114B">
        <w:rPr>
          <w:rFonts w:ascii="Arial" w:hAnsi="Arial"/>
          <w:b/>
          <w:bCs/>
          <w:noProof/>
          <w:sz w:val="20"/>
        </w:rPr>
        <w:t>316</w:t>
      </w:r>
      <w:r w:rsidRPr="00FB114B">
        <w:rPr>
          <w:rFonts w:ascii="Arial" w:hAnsi="Arial"/>
          <w:noProof/>
          <w:sz w:val="20"/>
        </w:rPr>
        <w:t>, 139–154 (2002).</w:t>
      </w:r>
    </w:p>
    <w:p w14:paraId="1FF1C7E1"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11. </w:t>
      </w:r>
      <w:r w:rsidRPr="00FB114B">
        <w:rPr>
          <w:rFonts w:ascii="Arial" w:hAnsi="Arial"/>
          <w:noProof/>
          <w:sz w:val="20"/>
        </w:rPr>
        <w:tab/>
        <w:t xml:space="preserve">R. C. Lua, </w:t>
      </w:r>
      <w:r w:rsidRPr="00FB114B">
        <w:rPr>
          <w:rFonts w:ascii="Arial" w:hAnsi="Arial"/>
          <w:i/>
          <w:iCs/>
          <w:noProof/>
          <w:sz w:val="20"/>
        </w:rPr>
        <w:t>et al.</w:t>
      </w:r>
      <w:r w:rsidRPr="00FB114B">
        <w:rPr>
          <w:rFonts w:ascii="Arial" w:hAnsi="Arial"/>
          <w:noProof/>
          <w:sz w:val="20"/>
        </w:rPr>
        <w:t xml:space="preserve">, UET: A database of evolutionarily-predicted functional determinants of protein sequences that cluster as functional sites in protein structures. </w:t>
      </w:r>
      <w:r w:rsidRPr="00FB114B">
        <w:rPr>
          <w:rFonts w:ascii="Arial" w:hAnsi="Arial"/>
          <w:i/>
          <w:iCs/>
          <w:noProof/>
          <w:sz w:val="20"/>
        </w:rPr>
        <w:t>Nucleic Acids Res.</w:t>
      </w:r>
      <w:r w:rsidRPr="00FB114B">
        <w:rPr>
          <w:rFonts w:ascii="Arial" w:hAnsi="Arial"/>
          <w:noProof/>
          <w:sz w:val="20"/>
        </w:rPr>
        <w:t xml:space="preserve"> </w:t>
      </w:r>
      <w:r w:rsidRPr="00FB114B">
        <w:rPr>
          <w:rFonts w:ascii="Arial" w:hAnsi="Arial"/>
          <w:b/>
          <w:bCs/>
          <w:noProof/>
          <w:sz w:val="20"/>
        </w:rPr>
        <w:t>44</w:t>
      </w:r>
      <w:r w:rsidRPr="00FB114B">
        <w:rPr>
          <w:rFonts w:ascii="Arial" w:hAnsi="Arial"/>
          <w:noProof/>
          <w:sz w:val="20"/>
        </w:rPr>
        <w:t>, D308–D312 (2016).</w:t>
      </w:r>
    </w:p>
    <w:p w14:paraId="198DC7D3"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12. </w:t>
      </w:r>
      <w:r w:rsidRPr="00FB114B">
        <w:rPr>
          <w:rFonts w:ascii="Arial" w:hAnsi="Arial"/>
          <w:noProof/>
          <w:sz w:val="20"/>
        </w:rPr>
        <w:tab/>
        <w:t xml:space="preserve">I. Mihalek, I. Reš, O. Lichtarge, Background frequencies for residue variability estimates: BLOSUM revisited. </w:t>
      </w:r>
      <w:r w:rsidRPr="00FB114B">
        <w:rPr>
          <w:rFonts w:ascii="Arial" w:hAnsi="Arial"/>
          <w:i/>
          <w:iCs/>
          <w:noProof/>
          <w:sz w:val="20"/>
        </w:rPr>
        <w:t>BMC Bioinformatics</w:t>
      </w:r>
      <w:r w:rsidRPr="00FB114B">
        <w:rPr>
          <w:rFonts w:ascii="Arial" w:hAnsi="Arial"/>
          <w:noProof/>
          <w:sz w:val="20"/>
        </w:rPr>
        <w:t xml:space="preserve"> </w:t>
      </w:r>
      <w:r w:rsidRPr="00FB114B">
        <w:rPr>
          <w:rFonts w:ascii="Arial" w:hAnsi="Arial"/>
          <w:b/>
          <w:bCs/>
          <w:noProof/>
          <w:sz w:val="20"/>
        </w:rPr>
        <w:t>8</w:t>
      </w:r>
      <w:r w:rsidRPr="00FB114B">
        <w:rPr>
          <w:rFonts w:ascii="Arial" w:hAnsi="Arial"/>
          <w:noProof/>
          <w:sz w:val="20"/>
        </w:rPr>
        <w:t xml:space="preserve"> (2007).</w:t>
      </w:r>
    </w:p>
    <w:p w14:paraId="6F37AF42"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13. </w:t>
      </w:r>
      <w:r w:rsidRPr="00FB114B">
        <w:rPr>
          <w:rFonts w:ascii="Arial" w:hAnsi="Arial"/>
          <w:noProof/>
          <w:sz w:val="20"/>
        </w:rPr>
        <w:tab/>
        <w:t xml:space="preserve">A. D. Wilkins, R. Lua, S. Erdin, R. M. Ward, O. Lichtarge, Sequence and structure continuity of evolutionary importance improves protein functional site discovery and annotation. </w:t>
      </w:r>
      <w:r w:rsidRPr="00FB114B">
        <w:rPr>
          <w:rFonts w:ascii="Arial" w:hAnsi="Arial"/>
          <w:i/>
          <w:iCs/>
          <w:noProof/>
          <w:sz w:val="20"/>
        </w:rPr>
        <w:t>Protein Sci.</w:t>
      </w:r>
      <w:r w:rsidRPr="00FB114B">
        <w:rPr>
          <w:rFonts w:ascii="Arial" w:hAnsi="Arial"/>
          <w:noProof/>
          <w:sz w:val="20"/>
        </w:rPr>
        <w:t xml:space="preserve"> </w:t>
      </w:r>
      <w:r w:rsidRPr="00FB114B">
        <w:rPr>
          <w:rFonts w:ascii="Arial" w:hAnsi="Arial"/>
          <w:b/>
          <w:bCs/>
          <w:noProof/>
          <w:sz w:val="20"/>
        </w:rPr>
        <w:t>19</w:t>
      </w:r>
      <w:r w:rsidRPr="00FB114B">
        <w:rPr>
          <w:rFonts w:ascii="Arial" w:hAnsi="Arial"/>
          <w:noProof/>
          <w:sz w:val="20"/>
        </w:rPr>
        <w:t>, 1296–1311 (2010).</w:t>
      </w:r>
    </w:p>
    <w:p w14:paraId="464B6D5D"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14. </w:t>
      </w:r>
      <w:r w:rsidRPr="00FB114B">
        <w:rPr>
          <w:rFonts w:ascii="Arial" w:hAnsi="Arial"/>
          <w:noProof/>
          <w:sz w:val="20"/>
        </w:rPr>
        <w:tab/>
        <w:t xml:space="preserve">A. D. Wilkins, </w:t>
      </w:r>
      <w:r w:rsidRPr="00FB114B">
        <w:rPr>
          <w:rFonts w:ascii="Arial" w:hAnsi="Arial"/>
          <w:i/>
          <w:iCs/>
          <w:noProof/>
          <w:sz w:val="20"/>
        </w:rPr>
        <w:t>et al.</w:t>
      </w:r>
      <w:r w:rsidRPr="00FB114B">
        <w:rPr>
          <w:rFonts w:ascii="Arial" w:hAnsi="Arial"/>
          <w:noProof/>
          <w:sz w:val="20"/>
        </w:rPr>
        <w:t xml:space="preserve">, Accounting for epistatic interactions improves the functional analysis of protein structures. </w:t>
      </w:r>
      <w:r w:rsidRPr="00FB114B">
        <w:rPr>
          <w:rFonts w:ascii="Arial" w:hAnsi="Arial"/>
          <w:i/>
          <w:iCs/>
          <w:noProof/>
          <w:sz w:val="20"/>
        </w:rPr>
        <w:t>Bioinformatics</w:t>
      </w:r>
      <w:r w:rsidRPr="00FB114B">
        <w:rPr>
          <w:rFonts w:ascii="Arial" w:hAnsi="Arial"/>
          <w:noProof/>
          <w:sz w:val="20"/>
        </w:rPr>
        <w:t xml:space="preserve"> </w:t>
      </w:r>
      <w:r w:rsidRPr="00FB114B">
        <w:rPr>
          <w:rFonts w:ascii="Arial" w:hAnsi="Arial"/>
          <w:b/>
          <w:bCs/>
          <w:noProof/>
          <w:sz w:val="20"/>
        </w:rPr>
        <w:t>29</w:t>
      </w:r>
      <w:r w:rsidRPr="00FB114B">
        <w:rPr>
          <w:rFonts w:ascii="Arial" w:hAnsi="Arial"/>
          <w:noProof/>
          <w:sz w:val="20"/>
        </w:rPr>
        <w:t>, 2714–2721 (2013).</w:t>
      </w:r>
    </w:p>
    <w:p w14:paraId="56AF6253"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15. </w:t>
      </w:r>
      <w:r w:rsidRPr="00FB114B">
        <w:rPr>
          <w:rFonts w:ascii="Arial" w:hAnsi="Arial"/>
          <w:noProof/>
          <w:sz w:val="20"/>
        </w:rPr>
        <w:tab/>
        <w:t xml:space="preserve">R. C. Lua, O. Lichtarge, PyETV: A PyMOL evolutionary trace viewer to analyze functional site predictions in protein complexes. </w:t>
      </w:r>
      <w:r w:rsidRPr="00FB114B">
        <w:rPr>
          <w:rFonts w:ascii="Arial" w:hAnsi="Arial"/>
          <w:i/>
          <w:iCs/>
          <w:noProof/>
          <w:sz w:val="20"/>
        </w:rPr>
        <w:t>Bioinformatics</w:t>
      </w:r>
      <w:r w:rsidRPr="00FB114B">
        <w:rPr>
          <w:rFonts w:ascii="Arial" w:hAnsi="Arial"/>
          <w:noProof/>
          <w:sz w:val="20"/>
        </w:rPr>
        <w:t xml:space="preserve"> </w:t>
      </w:r>
      <w:r w:rsidRPr="00FB114B">
        <w:rPr>
          <w:rFonts w:ascii="Arial" w:hAnsi="Arial"/>
          <w:b/>
          <w:bCs/>
          <w:noProof/>
          <w:sz w:val="20"/>
        </w:rPr>
        <w:t>26</w:t>
      </w:r>
      <w:r w:rsidRPr="00FB114B">
        <w:rPr>
          <w:rFonts w:ascii="Arial" w:hAnsi="Arial"/>
          <w:noProof/>
          <w:sz w:val="20"/>
        </w:rPr>
        <w:t>, 2981–2982 (2010).</w:t>
      </w:r>
    </w:p>
    <w:p w14:paraId="215BE651"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16. ,</w:t>
      </w:r>
      <w:r w:rsidRPr="00FB114B">
        <w:rPr>
          <w:rFonts w:ascii="Arial" w:hAnsi="Arial"/>
          <w:noProof/>
          <w:sz w:val="20"/>
        </w:rPr>
        <w:tab/>
        <w:t xml:space="preserve"> The PyMOL Molecular Graphics System (September 17, 2020).</w:t>
      </w:r>
    </w:p>
    <w:p w14:paraId="5D9F74EF"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17. </w:t>
      </w:r>
      <w:r w:rsidRPr="00FB114B">
        <w:rPr>
          <w:rFonts w:ascii="Arial" w:hAnsi="Arial"/>
          <w:noProof/>
          <w:sz w:val="20"/>
        </w:rPr>
        <w:tab/>
        <w:t xml:space="preserve">J. Mateus, </w:t>
      </w:r>
      <w:r w:rsidRPr="00FB114B">
        <w:rPr>
          <w:rFonts w:ascii="Arial" w:hAnsi="Arial"/>
          <w:i/>
          <w:iCs/>
          <w:noProof/>
          <w:sz w:val="20"/>
        </w:rPr>
        <w:t>et al.</w:t>
      </w:r>
      <w:r w:rsidRPr="00FB114B">
        <w:rPr>
          <w:rFonts w:ascii="Arial" w:hAnsi="Arial"/>
          <w:noProof/>
          <w:sz w:val="20"/>
        </w:rPr>
        <w:t xml:space="preserve">, Selective and cross-reactive SARS-CoV-2 T cell epitopes in unexposed </w:t>
      </w:r>
      <w:r w:rsidRPr="00FB114B">
        <w:rPr>
          <w:rFonts w:ascii="Arial" w:hAnsi="Arial"/>
          <w:noProof/>
          <w:sz w:val="20"/>
        </w:rPr>
        <w:lastRenderedPageBreak/>
        <w:t xml:space="preserve">humans. </w:t>
      </w:r>
      <w:r w:rsidRPr="00FB114B">
        <w:rPr>
          <w:rFonts w:ascii="Arial" w:hAnsi="Arial"/>
          <w:i/>
          <w:iCs/>
          <w:noProof/>
          <w:sz w:val="20"/>
        </w:rPr>
        <w:t>Science (80-. ).</w:t>
      </w:r>
      <w:r w:rsidRPr="00FB114B">
        <w:rPr>
          <w:rFonts w:ascii="Arial" w:hAnsi="Arial"/>
          <w:noProof/>
          <w:sz w:val="20"/>
        </w:rPr>
        <w:t>, eabd3871 (2020).</w:t>
      </w:r>
    </w:p>
    <w:p w14:paraId="4955E7EA"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18. </w:t>
      </w:r>
      <w:r w:rsidRPr="00FB114B">
        <w:rPr>
          <w:rFonts w:ascii="Arial" w:hAnsi="Arial"/>
          <w:noProof/>
          <w:sz w:val="20"/>
        </w:rPr>
        <w:tab/>
        <w:t xml:space="preserve">P. Katsonis, O. Lichtarge, A formal perturbation equation between genotype and phenotype determines the Evolutionary Action of protein-coding variations on fitness. </w:t>
      </w:r>
      <w:r w:rsidRPr="00FB114B">
        <w:rPr>
          <w:rFonts w:ascii="Arial" w:hAnsi="Arial"/>
          <w:i/>
          <w:iCs/>
          <w:noProof/>
          <w:sz w:val="20"/>
        </w:rPr>
        <w:t>Genome Res.</w:t>
      </w:r>
      <w:r w:rsidRPr="00FB114B">
        <w:rPr>
          <w:rFonts w:ascii="Arial" w:hAnsi="Arial"/>
          <w:noProof/>
          <w:sz w:val="20"/>
        </w:rPr>
        <w:t xml:space="preserve"> </w:t>
      </w:r>
      <w:r w:rsidRPr="00FB114B">
        <w:rPr>
          <w:rFonts w:ascii="Arial" w:hAnsi="Arial"/>
          <w:b/>
          <w:bCs/>
          <w:noProof/>
          <w:sz w:val="20"/>
        </w:rPr>
        <w:t>24</w:t>
      </w:r>
      <w:r w:rsidRPr="00FB114B">
        <w:rPr>
          <w:rFonts w:ascii="Arial" w:hAnsi="Arial"/>
          <w:noProof/>
          <w:sz w:val="20"/>
        </w:rPr>
        <w:t>, 2050–2058 (2014).</w:t>
      </w:r>
    </w:p>
    <w:p w14:paraId="7FAED5D8"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19. </w:t>
      </w:r>
      <w:r w:rsidRPr="00FB114B">
        <w:rPr>
          <w:rFonts w:ascii="Arial" w:hAnsi="Arial"/>
          <w:noProof/>
          <w:sz w:val="20"/>
        </w:rPr>
        <w:tab/>
        <w:t xml:space="preserve">K. Michalska, </w:t>
      </w:r>
      <w:r w:rsidRPr="00FB114B">
        <w:rPr>
          <w:rFonts w:ascii="Arial" w:hAnsi="Arial"/>
          <w:i/>
          <w:iCs/>
          <w:noProof/>
          <w:sz w:val="20"/>
        </w:rPr>
        <w:t>et al.</w:t>
      </w:r>
      <w:r w:rsidRPr="00FB114B">
        <w:rPr>
          <w:rFonts w:ascii="Arial" w:hAnsi="Arial"/>
          <w:noProof/>
          <w:sz w:val="20"/>
        </w:rPr>
        <w:t xml:space="preserve">, Crystal structures of SARS-CoV-2 ADP-ribose phosphatase: from the apo form to ligand complexes. </w:t>
      </w:r>
      <w:r w:rsidRPr="00FB114B">
        <w:rPr>
          <w:rFonts w:ascii="Arial" w:hAnsi="Arial"/>
          <w:i/>
          <w:iCs/>
          <w:noProof/>
          <w:sz w:val="20"/>
        </w:rPr>
        <w:t>IUCrJ</w:t>
      </w:r>
      <w:r w:rsidRPr="00FB114B">
        <w:rPr>
          <w:rFonts w:ascii="Arial" w:hAnsi="Arial"/>
          <w:noProof/>
          <w:sz w:val="20"/>
        </w:rPr>
        <w:t xml:space="preserve"> </w:t>
      </w:r>
      <w:r w:rsidRPr="00FB114B">
        <w:rPr>
          <w:rFonts w:ascii="Arial" w:hAnsi="Arial"/>
          <w:b/>
          <w:bCs/>
          <w:noProof/>
          <w:sz w:val="20"/>
        </w:rPr>
        <w:t>7</w:t>
      </w:r>
      <w:r w:rsidRPr="00FB114B">
        <w:rPr>
          <w:rFonts w:ascii="Arial" w:hAnsi="Arial"/>
          <w:noProof/>
          <w:sz w:val="20"/>
        </w:rPr>
        <w:t>, 814–824 (2020).</w:t>
      </w:r>
    </w:p>
    <w:p w14:paraId="714EB780"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20. </w:t>
      </w:r>
      <w:r w:rsidRPr="00FB114B">
        <w:rPr>
          <w:rFonts w:ascii="Arial" w:hAnsi="Arial"/>
          <w:noProof/>
          <w:sz w:val="20"/>
        </w:rPr>
        <w:tab/>
        <w:t xml:space="preserve">Y. M. O. Alhammad, </w:t>
      </w:r>
      <w:r w:rsidRPr="00FB114B">
        <w:rPr>
          <w:rFonts w:ascii="Arial" w:hAnsi="Arial"/>
          <w:i/>
          <w:iCs/>
          <w:noProof/>
          <w:sz w:val="20"/>
        </w:rPr>
        <w:t>et al.</w:t>
      </w:r>
      <w:r w:rsidRPr="00FB114B">
        <w:rPr>
          <w:rFonts w:ascii="Arial" w:hAnsi="Arial"/>
          <w:noProof/>
          <w:sz w:val="20"/>
        </w:rPr>
        <w:t xml:space="preserve">, The SARS-CoV-2 conserved macrodomain is a highly efficient ADP-ribosylhydrolase. </w:t>
      </w:r>
      <w:r w:rsidRPr="00FB114B">
        <w:rPr>
          <w:rFonts w:ascii="Arial" w:hAnsi="Arial"/>
          <w:i/>
          <w:iCs/>
          <w:noProof/>
          <w:sz w:val="20"/>
        </w:rPr>
        <w:t>bioRxiv</w:t>
      </w:r>
      <w:r w:rsidRPr="00FB114B">
        <w:rPr>
          <w:rFonts w:ascii="Arial" w:hAnsi="Arial"/>
          <w:noProof/>
          <w:sz w:val="20"/>
        </w:rPr>
        <w:t>, 2020.05.11.089375 (2020).</w:t>
      </w:r>
    </w:p>
    <w:p w14:paraId="73E2A966"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21. </w:t>
      </w:r>
      <w:r w:rsidRPr="00FB114B">
        <w:rPr>
          <w:rFonts w:ascii="Arial" w:hAnsi="Arial"/>
          <w:noProof/>
          <w:sz w:val="20"/>
        </w:rPr>
        <w:tab/>
        <w:t xml:space="preserve">J. Osipiuk, </w:t>
      </w:r>
      <w:r w:rsidRPr="00FB114B">
        <w:rPr>
          <w:rFonts w:ascii="Arial" w:hAnsi="Arial"/>
          <w:i/>
          <w:iCs/>
          <w:noProof/>
          <w:sz w:val="20"/>
        </w:rPr>
        <w:t>et al.</w:t>
      </w:r>
      <w:r w:rsidRPr="00FB114B">
        <w:rPr>
          <w:rFonts w:ascii="Arial" w:hAnsi="Arial"/>
          <w:noProof/>
          <w:sz w:val="20"/>
        </w:rPr>
        <w:t xml:space="preserve">, Structure of papain-like protease from SARS-CoV-2 and its complexes with non-covalent inhibitors. </w:t>
      </w:r>
      <w:r w:rsidRPr="00FB114B">
        <w:rPr>
          <w:rFonts w:ascii="Arial" w:hAnsi="Arial"/>
          <w:i/>
          <w:iCs/>
          <w:noProof/>
          <w:sz w:val="20"/>
        </w:rPr>
        <w:t>bioRxiv</w:t>
      </w:r>
      <w:r w:rsidRPr="00FB114B">
        <w:rPr>
          <w:rFonts w:ascii="Arial" w:hAnsi="Arial"/>
          <w:noProof/>
          <w:sz w:val="20"/>
        </w:rPr>
        <w:t>, 2020.08.06.240192 (2020).</w:t>
      </w:r>
    </w:p>
    <w:p w14:paraId="5989B0A7" w14:textId="77777777" w:rsidR="000B15D7" w:rsidRPr="00FB114B" w:rsidRDefault="000B15D7" w:rsidP="000B15D7">
      <w:pPr>
        <w:widowControl w:val="0"/>
        <w:autoSpaceDE w:val="0"/>
        <w:autoSpaceDN w:val="0"/>
        <w:adjustRightInd w:val="0"/>
        <w:ind w:left="640" w:hanging="640"/>
        <w:rPr>
          <w:rFonts w:ascii="Arial" w:hAnsi="Arial"/>
          <w:noProof/>
          <w:sz w:val="20"/>
        </w:rPr>
      </w:pPr>
      <w:r w:rsidRPr="00FB114B">
        <w:rPr>
          <w:rFonts w:ascii="Arial" w:hAnsi="Arial"/>
          <w:noProof/>
          <w:sz w:val="20"/>
        </w:rPr>
        <w:t xml:space="preserve">22. </w:t>
      </w:r>
      <w:r w:rsidRPr="00FB114B">
        <w:rPr>
          <w:rFonts w:ascii="Arial" w:hAnsi="Arial"/>
          <w:noProof/>
          <w:sz w:val="20"/>
        </w:rPr>
        <w:tab/>
        <w:t xml:space="preserve">T. Klemm, </w:t>
      </w:r>
      <w:r w:rsidRPr="00FB114B">
        <w:rPr>
          <w:rFonts w:ascii="Arial" w:hAnsi="Arial"/>
          <w:i/>
          <w:iCs/>
          <w:noProof/>
          <w:sz w:val="20"/>
        </w:rPr>
        <w:t>et al.</w:t>
      </w:r>
      <w:r w:rsidRPr="00FB114B">
        <w:rPr>
          <w:rFonts w:ascii="Arial" w:hAnsi="Arial"/>
          <w:noProof/>
          <w:sz w:val="20"/>
        </w:rPr>
        <w:t xml:space="preserve">, Mechanism and inhibition of SARS-CoV-2 PLpro. </w:t>
      </w:r>
      <w:r w:rsidRPr="00FB114B">
        <w:rPr>
          <w:rFonts w:ascii="Arial" w:hAnsi="Arial"/>
          <w:i/>
          <w:iCs/>
          <w:noProof/>
          <w:sz w:val="20"/>
        </w:rPr>
        <w:t>bioRxiv</w:t>
      </w:r>
      <w:r w:rsidRPr="00FB114B">
        <w:rPr>
          <w:rFonts w:ascii="Arial" w:hAnsi="Arial"/>
          <w:noProof/>
          <w:sz w:val="20"/>
        </w:rPr>
        <w:t>, 2020.06.18.160614 (2020).</w:t>
      </w:r>
    </w:p>
    <w:p w14:paraId="124AE797" w14:textId="77777777" w:rsidR="000B15D7" w:rsidRPr="00FB114B" w:rsidRDefault="000B15D7" w:rsidP="000B15D7">
      <w:pPr>
        <w:rPr>
          <w:rFonts w:ascii="Arial" w:hAnsi="Arial"/>
          <w:sz w:val="20"/>
          <w:szCs w:val="20"/>
        </w:rPr>
      </w:pPr>
      <w:r>
        <w:rPr>
          <w:rFonts w:ascii="Arial" w:hAnsi="Arial"/>
          <w:sz w:val="20"/>
          <w:szCs w:val="20"/>
        </w:rPr>
        <w:fldChar w:fldCharType="end"/>
      </w:r>
    </w:p>
    <w:p w14:paraId="5EA33511" w14:textId="77777777" w:rsidR="000B15D7" w:rsidRPr="00980C22" w:rsidRDefault="000B15D7" w:rsidP="000B15D7">
      <w:pPr>
        <w:rPr>
          <w:rFonts w:ascii="Arial" w:hAnsi="Arial"/>
          <w:sz w:val="20"/>
          <w:szCs w:val="20"/>
        </w:rPr>
      </w:pPr>
    </w:p>
    <w:p w14:paraId="3637A345" w14:textId="77777777" w:rsidR="000B15D7" w:rsidRPr="00531643" w:rsidRDefault="000B15D7" w:rsidP="000B15D7">
      <w:pPr>
        <w:rPr>
          <w:rFonts w:ascii="Arial" w:hAnsi="Arial"/>
          <w:bCs/>
          <w:color w:val="000000"/>
          <w:sz w:val="20"/>
          <w:szCs w:val="20"/>
        </w:rPr>
      </w:pPr>
    </w:p>
    <w:p w14:paraId="4757E247" w14:textId="77777777" w:rsidR="00D01AC6" w:rsidRPr="00277822" w:rsidRDefault="00D01AC6" w:rsidP="00882592">
      <w:pPr>
        <w:widowControl w:val="0"/>
        <w:autoSpaceDE w:val="0"/>
        <w:autoSpaceDN w:val="0"/>
        <w:adjustRightInd w:val="0"/>
        <w:ind w:left="640" w:hanging="640"/>
        <w:rPr>
          <w:rFonts w:ascii="Arial" w:hAnsi="Arial"/>
          <w:color w:val="333333"/>
          <w:sz w:val="20"/>
          <w:szCs w:val="20"/>
        </w:rPr>
      </w:pPr>
    </w:p>
    <w:sectPr w:rsidR="00D01AC6" w:rsidRPr="00277822">
      <w:headerReference w:type="default" r:id="rId19"/>
      <w:footerReference w:type="default" r:id="rId20"/>
      <w:type w:val="continuous"/>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A654A3" w14:textId="77777777" w:rsidR="000427E8" w:rsidRDefault="000427E8">
      <w:pPr>
        <w:spacing w:after="0"/>
      </w:pPr>
      <w:r>
        <w:separator/>
      </w:r>
    </w:p>
  </w:endnote>
  <w:endnote w:type="continuationSeparator" w:id="0">
    <w:p w14:paraId="49547511" w14:textId="77777777" w:rsidR="000427E8" w:rsidRDefault="000427E8">
      <w:pPr>
        <w:spacing w:after="0"/>
      </w:pPr>
      <w:r>
        <w:continuationSeparator/>
      </w:r>
    </w:p>
  </w:endnote>
  <w:endnote w:type="continuationNotice" w:id="1">
    <w:p w14:paraId="73715F7D" w14:textId="77777777" w:rsidR="000427E8" w:rsidRDefault="000427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4F34B" w14:textId="77777777" w:rsidR="004412B2" w:rsidRDefault="004412B2">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46366F9E" w14:textId="77777777" w:rsidR="004412B2" w:rsidRDefault="004412B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2C7D24" w14:textId="77777777" w:rsidR="000427E8" w:rsidRDefault="000427E8">
      <w:pPr>
        <w:spacing w:after="0"/>
      </w:pPr>
      <w:r>
        <w:separator/>
      </w:r>
    </w:p>
  </w:footnote>
  <w:footnote w:type="continuationSeparator" w:id="0">
    <w:p w14:paraId="15106A7A" w14:textId="77777777" w:rsidR="000427E8" w:rsidRDefault="000427E8">
      <w:pPr>
        <w:spacing w:after="0"/>
      </w:pPr>
      <w:r>
        <w:continuationSeparator/>
      </w:r>
    </w:p>
  </w:footnote>
  <w:footnote w:type="continuationNotice" w:id="1">
    <w:p w14:paraId="4D0D4A32" w14:textId="77777777" w:rsidR="000427E8" w:rsidRDefault="000427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CD1F2" w14:textId="77777777" w:rsidR="004412B2" w:rsidRDefault="004412B2">
    <w:pPr>
      <w:jc w:val="right"/>
      <w:rPr>
        <w:sz w:val="20"/>
        <w:szCs w:val="20"/>
      </w:rPr>
    </w:pPr>
  </w:p>
  <w:p w14:paraId="2EAF013D" w14:textId="77777777" w:rsidR="004412B2" w:rsidRDefault="004412B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6314BB"/>
    <w:multiLevelType w:val="multilevel"/>
    <w:tmpl w:val="F386F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5955242"/>
    <w:multiLevelType w:val="hybridMultilevel"/>
    <w:tmpl w:val="21C879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F64EA9"/>
    <w:multiLevelType w:val="multilevel"/>
    <w:tmpl w:val="FDE87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0D5BBB"/>
    <w:multiLevelType w:val="multilevel"/>
    <w:tmpl w:val="BE86B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F8633E"/>
    <w:multiLevelType w:val="multilevel"/>
    <w:tmpl w:val="10F49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844289"/>
    <w:multiLevelType w:val="multilevel"/>
    <w:tmpl w:val="8B72F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1559C9"/>
    <w:multiLevelType w:val="hybridMultilevel"/>
    <w:tmpl w:val="58DEB888"/>
    <w:lvl w:ilvl="0" w:tplc="E18447AC">
      <w:start w:val="1"/>
      <w:numFmt w:val="bullet"/>
      <w:lvlText w:val=""/>
      <w:lvlJc w:val="left"/>
      <w:pPr>
        <w:ind w:left="720" w:hanging="360"/>
      </w:pPr>
      <w:rPr>
        <w:rFonts w:ascii="Symbol" w:hAnsi="Symbol" w:hint="default"/>
      </w:rPr>
    </w:lvl>
    <w:lvl w:ilvl="1" w:tplc="EDEE7AEA">
      <w:start w:val="1"/>
      <w:numFmt w:val="bullet"/>
      <w:lvlText w:val="o"/>
      <w:lvlJc w:val="left"/>
      <w:pPr>
        <w:ind w:left="1440" w:hanging="360"/>
      </w:pPr>
      <w:rPr>
        <w:rFonts w:ascii="Courier New" w:hAnsi="Courier New" w:hint="default"/>
      </w:rPr>
    </w:lvl>
    <w:lvl w:ilvl="2" w:tplc="C0D8A45C">
      <w:start w:val="1"/>
      <w:numFmt w:val="bullet"/>
      <w:lvlText w:val=""/>
      <w:lvlJc w:val="left"/>
      <w:pPr>
        <w:ind w:left="2160" w:hanging="360"/>
      </w:pPr>
      <w:rPr>
        <w:rFonts w:ascii="Wingdings" w:hAnsi="Wingdings" w:hint="default"/>
      </w:rPr>
    </w:lvl>
    <w:lvl w:ilvl="3" w:tplc="D90084AC">
      <w:start w:val="1"/>
      <w:numFmt w:val="bullet"/>
      <w:lvlText w:val=""/>
      <w:lvlJc w:val="left"/>
      <w:pPr>
        <w:ind w:left="2880" w:hanging="360"/>
      </w:pPr>
      <w:rPr>
        <w:rFonts w:ascii="Symbol" w:hAnsi="Symbol" w:hint="default"/>
      </w:rPr>
    </w:lvl>
    <w:lvl w:ilvl="4" w:tplc="31EC9E96">
      <w:start w:val="1"/>
      <w:numFmt w:val="bullet"/>
      <w:lvlText w:val="o"/>
      <w:lvlJc w:val="left"/>
      <w:pPr>
        <w:ind w:left="3600" w:hanging="360"/>
      </w:pPr>
      <w:rPr>
        <w:rFonts w:ascii="Courier New" w:hAnsi="Courier New" w:hint="default"/>
      </w:rPr>
    </w:lvl>
    <w:lvl w:ilvl="5" w:tplc="4E348E36">
      <w:start w:val="1"/>
      <w:numFmt w:val="bullet"/>
      <w:lvlText w:val=""/>
      <w:lvlJc w:val="left"/>
      <w:pPr>
        <w:ind w:left="4320" w:hanging="360"/>
      </w:pPr>
      <w:rPr>
        <w:rFonts w:ascii="Wingdings" w:hAnsi="Wingdings" w:hint="default"/>
      </w:rPr>
    </w:lvl>
    <w:lvl w:ilvl="6" w:tplc="55B6B0BA">
      <w:start w:val="1"/>
      <w:numFmt w:val="bullet"/>
      <w:lvlText w:val=""/>
      <w:lvlJc w:val="left"/>
      <w:pPr>
        <w:ind w:left="5040" w:hanging="360"/>
      </w:pPr>
      <w:rPr>
        <w:rFonts w:ascii="Symbol" w:hAnsi="Symbol" w:hint="default"/>
      </w:rPr>
    </w:lvl>
    <w:lvl w:ilvl="7" w:tplc="648A59F8">
      <w:start w:val="1"/>
      <w:numFmt w:val="bullet"/>
      <w:lvlText w:val="o"/>
      <w:lvlJc w:val="left"/>
      <w:pPr>
        <w:ind w:left="5760" w:hanging="360"/>
      </w:pPr>
      <w:rPr>
        <w:rFonts w:ascii="Courier New" w:hAnsi="Courier New" w:hint="default"/>
      </w:rPr>
    </w:lvl>
    <w:lvl w:ilvl="8" w:tplc="1C369278">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8"/>
  </w:num>
  <w:num w:numId="5">
    <w:abstractNumId w:val="5"/>
  </w:num>
  <w:num w:numId="6">
    <w:abstractNumId w:val="7"/>
  </w:num>
  <w:num w:numId="7">
    <w:abstractNumId w:val="0"/>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33D"/>
    <w:rsid w:val="00001664"/>
    <w:rsid w:val="0000185E"/>
    <w:rsid w:val="000049F9"/>
    <w:rsid w:val="00005DD3"/>
    <w:rsid w:val="00010D7F"/>
    <w:rsid w:val="00011147"/>
    <w:rsid w:val="0001159B"/>
    <w:rsid w:val="0001292C"/>
    <w:rsid w:val="000136E0"/>
    <w:rsid w:val="00014058"/>
    <w:rsid w:val="000156D6"/>
    <w:rsid w:val="00017E64"/>
    <w:rsid w:val="000214A9"/>
    <w:rsid w:val="00021797"/>
    <w:rsid w:val="00022C55"/>
    <w:rsid w:val="00023AB1"/>
    <w:rsid w:val="00027B10"/>
    <w:rsid w:val="000357CF"/>
    <w:rsid w:val="0003612F"/>
    <w:rsid w:val="00036260"/>
    <w:rsid w:val="00037508"/>
    <w:rsid w:val="000375EC"/>
    <w:rsid w:val="000378E3"/>
    <w:rsid w:val="000424D8"/>
    <w:rsid w:val="000427E8"/>
    <w:rsid w:val="00042D2E"/>
    <w:rsid w:val="00044628"/>
    <w:rsid w:val="000450EF"/>
    <w:rsid w:val="0004517B"/>
    <w:rsid w:val="0005166D"/>
    <w:rsid w:val="00051B91"/>
    <w:rsid w:val="00052DD5"/>
    <w:rsid w:val="0005388B"/>
    <w:rsid w:val="00053910"/>
    <w:rsid w:val="00053A2E"/>
    <w:rsid w:val="0005411C"/>
    <w:rsid w:val="00054A5A"/>
    <w:rsid w:val="00054D5B"/>
    <w:rsid w:val="0005531B"/>
    <w:rsid w:val="000556CD"/>
    <w:rsid w:val="00055D5F"/>
    <w:rsid w:val="00055E5F"/>
    <w:rsid w:val="00056F0E"/>
    <w:rsid w:val="000574BF"/>
    <w:rsid w:val="00057A03"/>
    <w:rsid w:val="0006087C"/>
    <w:rsid w:val="00061060"/>
    <w:rsid w:val="00061D34"/>
    <w:rsid w:val="000662E9"/>
    <w:rsid w:val="00066490"/>
    <w:rsid w:val="00066E23"/>
    <w:rsid w:val="00067C11"/>
    <w:rsid w:val="00070135"/>
    <w:rsid w:val="0007081D"/>
    <w:rsid w:val="000729E8"/>
    <w:rsid w:val="000739BA"/>
    <w:rsid w:val="00073C10"/>
    <w:rsid w:val="0007402D"/>
    <w:rsid w:val="00074CDD"/>
    <w:rsid w:val="00074F18"/>
    <w:rsid w:val="000754DB"/>
    <w:rsid w:val="00075B89"/>
    <w:rsid w:val="000763F9"/>
    <w:rsid w:val="000777C0"/>
    <w:rsid w:val="0007793C"/>
    <w:rsid w:val="000801B4"/>
    <w:rsid w:val="00080335"/>
    <w:rsid w:val="000805E7"/>
    <w:rsid w:val="0008186C"/>
    <w:rsid w:val="0008217B"/>
    <w:rsid w:val="0008258C"/>
    <w:rsid w:val="00084A88"/>
    <w:rsid w:val="00085E83"/>
    <w:rsid w:val="000877CE"/>
    <w:rsid w:val="00087F27"/>
    <w:rsid w:val="0009055F"/>
    <w:rsid w:val="00090F51"/>
    <w:rsid w:val="00092B97"/>
    <w:rsid w:val="00092D68"/>
    <w:rsid w:val="00092F39"/>
    <w:rsid w:val="00093643"/>
    <w:rsid w:val="00094D16"/>
    <w:rsid w:val="00096352"/>
    <w:rsid w:val="00096AC6"/>
    <w:rsid w:val="000971C2"/>
    <w:rsid w:val="000A0FD1"/>
    <w:rsid w:val="000A13B0"/>
    <w:rsid w:val="000A7030"/>
    <w:rsid w:val="000A7446"/>
    <w:rsid w:val="000A7700"/>
    <w:rsid w:val="000A7E18"/>
    <w:rsid w:val="000A7FFD"/>
    <w:rsid w:val="000B0C6F"/>
    <w:rsid w:val="000B15D7"/>
    <w:rsid w:val="000B4FFD"/>
    <w:rsid w:val="000B53DD"/>
    <w:rsid w:val="000B581A"/>
    <w:rsid w:val="000B62BC"/>
    <w:rsid w:val="000B6408"/>
    <w:rsid w:val="000B6699"/>
    <w:rsid w:val="000B6B7B"/>
    <w:rsid w:val="000B707A"/>
    <w:rsid w:val="000B7289"/>
    <w:rsid w:val="000B77B9"/>
    <w:rsid w:val="000B7ACC"/>
    <w:rsid w:val="000C3044"/>
    <w:rsid w:val="000C368F"/>
    <w:rsid w:val="000C7DFD"/>
    <w:rsid w:val="000D19B8"/>
    <w:rsid w:val="000D2C94"/>
    <w:rsid w:val="000D362D"/>
    <w:rsid w:val="000D3A5B"/>
    <w:rsid w:val="000D5697"/>
    <w:rsid w:val="000D6633"/>
    <w:rsid w:val="000D6808"/>
    <w:rsid w:val="000E0E33"/>
    <w:rsid w:val="000E3083"/>
    <w:rsid w:val="000E48DB"/>
    <w:rsid w:val="000E48F7"/>
    <w:rsid w:val="000E6AF9"/>
    <w:rsid w:val="000E728B"/>
    <w:rsid w:val="000F0167"/>
    <w:rsid w:val="000F1207"/>
    <w:rsid w:val="000F30C7"/>
    <w:rsid w:val="000F3453"/>
    <w:rsid w:val="000F50C6"/>
    <w:rsid w:val="000F70BE"/>
    <w:rsid w:val="000F7CFA"/>
    <w:rsid w:val="000F7EA2"/>
    <w:rsid w:val="00100AE0"/>
    <w:rsid w:val="00103FF0"/>
    <w:rsid w:val="00104F6E"/>
    <w:rsid w:val="0010597E"/>
    <w:rsid w:val="001060DC"/>
    <w:rsid w:val="00106DD2"/>
    <w:rsid w:val="001075D7"/>
    <w:rsid w:val="001134BE"/>
    <w:rsid w:val="001141B4"/>
    <w:rsid w:val="00114A1F"/>
    <w:rsid w:val="00114C01"/>
    <w:rsid w:val="00115A26"/>
    <w:rsid w:val="00115C6F"/>
    <w:rsid w:val="001161C0"/>
    <w:rsid w:val="00116BDD"/>
    <w:rsid w:val="00116D5C"/>
    <w:rsid w:val="001174CF"/>
    <w:rsid w:val="00122FE8"/>
    <w:rsid w:val="001231F4"/>
    <w:rsid w:val="0012373D"/>
    <w:rsid w:val="00123A36"/>
    <w:rsid w:val="0012470E"/>
    <w:rsid w:val="00124E73"/>
    <w:rsid w:val="001255F8"/>
    <w:rsid w:val="001265BD"/>
    <w:rsid w:val="00126A00"/>
    <w:rsid w:val="00126DCC"/>
    <w:rsid w:val="001277F4"/>
    <w:rsid w:val="0013080F"/>
    <w:rsid w:val="0013151A"/>
    <w:rsid w:val="00131DC6"/>
    <w:rsid w:val="00132E0C"/>
    <w:rsid w:val="00135679"/>
    <w:rsid w:val="00136319"/>
    <w:rsid w:val="001372ED"/>
    <w:rsid w:val="00137639"/>
    <w:rsid w:val="0014087E"/>
    <w:rsid w:val="00140AF6"/>
    <w:rsid w:val="0014104A"/>
    <w:rsid w:val="00141755"/>
    <w:rsid w:val="00141927"/>
    <w:rsid w:val="001431D7"/>
    <w:rsid w:val="001436F4"/>
    <w:rsid w:val="00146751"/>
    <w:rsid w:val="00146C9C"/>
    <w:rsid w:val="00147EDD"/>
    <w:rsid w:val="00150AC3"/>
    <w:rsid w:val="001521BD"/>
    <w:rsid w:val="00152B87"/>
    <w:rsid w:val="001540DB"/>
    <w:rsid w:val="00154A5D"/>
    <w:rsid w:val="00155393"/>
    <w:rsid w:val="00155767"/>
    <w:rsid w:val="00155770"/>
    <w:rsid w:val="001576BA"/>
    <w:rsid w:val="00157DE8"/>
    <w:rsid w:val="00157FB7"/>
    <w:rsid w:val="0016247A"/>
    <w:rsid w:val="00162B55"/>
    <w:rsid w:val="00165422"/>
    <w:rsid w:val="001666DE"/>
    <w:rsid w:val="00170375"/>
    <w:rsid w:val="00171088"/>
    <w:rsid w:val="00172199"/>
    <w:rsid w:val="001744E9"/>
    <w:rsid w:val="00175797"/>
    <w:rsid w:val="00176E49"/>
    <w:rsid w:val="00176F81"/>
    <w:rsid w:val="00177F89"/>
    <w:rsid w:val="00180A17"/>
    <w:rsid w:val="0018263E"/>
    <w:rsid w:val="001831E0"/>
    <w:rsid w:val="001834EB"/>
    <w:rsid w:val="00184151"/>
    <w:rsid w:val="0018630E"/>
    <w:rsid w:val="00186490"/>
    <w:rsid w:val="001865AB"/>
    <w:rsid w:val="00187349"/>
    <w:rsid w:val="001876AD"/>
    <w:rsid w:val="00193682"/>
    <w:rsid w:val="001942E1"/>
    <w:rsid w:val="0019517B"/>
    <w:rsid w:val="001955B5"/>
    <w:rsid w:val="00195C2E"/>
    <w:rsid w:val="001969CF"/>
    <w:rsid w:val="0019747C"/>
    <w:rsid w:val="00197646"/>
    <w:rsid w:val="001A0256"/>
    <w:rsid w:val="001A03F9"/>
    <w:rsid w:val="001A0880"/>
    <w:rsid w:val="001A15B8"/>
    <w:rsid w:val="001A315F"/>
    <w:rsid w:val="001A39DF"/>
    <w:rsid w:val="001A5FFA"/>
    <w:rsid w:val="001A6D9A"/>
    <w:rsid w:val="001B172F"/>
    <w:rsid w:val="001B489D"/>
    <w:rsid w:val="001B6A7A"/>
    <w:rsid w:val="001B7739"/>
    <w:rsid w:val="001C00CF"/>
    <w:rsid w:val="001C05DB"/>
    <w:rsid w:val="001C1015"/>
    <w:rsid w:val="001C1D52"/>
    <w:rsid w:val="001C3CFD"/>
    <w:rsid w:val="001C7F22"/>
    <w:rsid w:val="001D1580"/>
    <w:rsid w:val="001D1D77"/>
    <w:rsid w:val="001D2BA9"/>
    <w:rsid w:val="001D431A"/>
    <w:rsid w:val="001D436A"/>
    <w:rsid w:val="001D66FC"/>
    <w:rsid w:val="001D67C3"/>
    <w:rsid w:val="001D7B88"/>
    <w:rsid w:val="001E24F4"/>
    <w:rsid w:val="001E3389"/>
    <w:rsid w:val="001E49DD"/>
    <w:rsid w:val="001E551A"/>
    <w:rsid w:val="001E5630"/>
    <w:rsid w:val="001E568C"/>
    <w:rsid w:val="001E5AA6"/>
    <w:rsid w:val="001E6D7E"/>
    <w:rsid w:val="001E7091"/>
    <w:rsid w:val="001E711A"/>
    <w:rsid w:val="001E732C"/>
    <w:rsid w:val="001E7516"/>
    <w:rsid w:val="001E7F34"/>
    <w:rsid w:val="001F44D8"/>
    <w:rsid w:val="00200552"/>
    <w:rsid w:val="00201746"/>
    <w:rsid w:val="0020322F"/>
    <w:rsid w:val="00203479"/>
    <w:rsid w:val="00203679"/>
    <w:rsid w:val="00203894"/>
    <w:rsid w:val="00204669"/>
    <w:rsid w:val="0020486D"/>
    <w:rsid w:val="00205D18"/>
    <w:rsid w:val="00207FC1"/>
    <w:rsid w:val="00210263"/>
    <w:rsid w:val="00210EA2"/>
    <w:rsid w:val="00211C19"/>
    <w:rsid w:val="00212464"/>
    <w:rsid w:val="00212EFB"/>
    <w:rsid w:val="00215078"/>
    <w:rsid w:val="00215819"/>
    <w:rsid w:val="00216048"/>
    <w:rsid w:val="00216764"/>
    <w:rsid w:val="00217F71"/>
    <w:rsid w:val="002215B8"/>
    <w:rsid w:val="00221AC3"/>
    <w:rsid w:val="00222AC6"/>
    <w:rsid w:val="00222D13"/>
    <w:rsid w:val="002239CC"/>
    <w:rsid w:val="00223E34"/>
    <w:rsid w:val="00224D42"/>
    <w:rsid w:val="002259B2"/>
    <w:rsid w:val="002275B5"/>
    <w:rsid w:val="002301E8"/>
    <w:rsid w:val="0023078A"/>
    <w:rsid w:val="00231B93"/>
    <w:rsid w:val="00232752"/>
    <w:rsid w:val="00232AC5"/>
    <w:rsid w:val="00232B2E"/>
    <w:rsid w:val="002343EF"/>
    <w:rsid w:val="0023445C"/>
    <w:rsid w:val="0023530D"/>
    <w:rsid w:val="00237467"/>
    <w:rsid w:val="00241648"/>
    <w:rsid w:val="00242E96"/>
    <w:rsid w:val="00244191"/>
    <w:rsid w:val="002447B9"/>
    <w:rsid w:val="0024505D"/>
    <w:rsid w:val="002465D1"/>
    <w:rsid w:val="002468F8"/>
    <w:rsid w:val="00250574"/>
    <w:rsid w:val="002510F8"/>
    <w:rsid w:val="0025166F"/>
    <w:rsid w:val="00251B6A"/>
    <w:rsid w:val="00251DB6"/>
    <w:rsid w:val="00251F19"/>
    <w:rsid w:val="00253522"/>
    <w:rsid w:val="0025357F"/>
    <w:rsid w:val="00254066"/>
    <w:rsid w:val="002547A1"/>
    <w:rsid w:val="00254BB1"/>
    <w:rsid w:val="0025585A"/>
    <w:rsid w:val="00256271"/>
    <w:rsid w:val="00256352"/>
    <w:rsid w:val="00256A1E"/>
    <w:rsid w:val="00256E21"/>
    <w:rsid w:val="00257051"/>
    <w:rsid w:val="00257D34"/>
    <w:rsid w:val="00257E62"/>
    <w:rsid w:val="002602C4"/>
    <w:rsid w:val="00260886"/>
    <w:rsid w:val="002608D7"/>
    <w:rsid w:val="002613FC"/>
    <w:rsid w:val="00261D10"/>
    <w:rsid w:val="0026323E"/>
    <w:rsid w:val="0026582D"/>
    <w:rsid w:val="00266233"/>
    <w:rsid w:val="002669EC"/>
    <w:rsid w:val="00270945"/>
    <w:rsid w:val="002737DB"/>
    <w:rsid w:val="00273A07"/>
    <w:rsid w:val="00274A60"/>
    <w:rsid w:val="002752F5"/>
    <w:rsid w:val="00275734"/>
    <w:rsid w:val="00275BD5"/>
    <w:rsid w:val="00276E9E"/>
    <w:rsid w:val="00277253"/>
    <w:rsid w:val="00277822"/>
    <w:rsid w:val="002813CE"/>
    <w:rsid w:val="00281710"/>
    <w:rsid w:val="00281E8C"/>
    <w:rsid w:val="00282137"/>
    <w:rsid w:val="002835E6"/>
    <w:rsid w:val="00284D51"/>
    <w:rsid w:val="0028507A"/>
    <w:rsid w:val="00285BCE"/>
    <w:rsid w:val="002872FB"/>
    <w:rsid w:val="00291082"/>
    <w:rsid w:val="00291875"/>
    <w:rsid w:val="00292DA5"/>
    <w:rsid w:val="002933BD"/>
    <w:rsid w:val="00293EF9"/>
    <w:rsid w:val="002940DC"/>
    <w:rsid w:val="002955ED"/>
    <w:rsid w:val="00296F8F"/>
    <w:rsid w:val="00297810"/>
    <w:rsid w:val="002A00D5"/>
    <w:rsid w:val="002A09DF"/>
    <w:rsid w:val="002A19B3"/>
    <w:rsid w:val="002A41CA"/>
    <w:rsid w:val="002A6FE2"/>
    <w:rsid w:val="002B0993"/>
    <w:rsid w:val="002B1473"/>
    <w:rsid w:val="002B199F"/>
    <w:rsid w:val="002B2848"/>
    <w:rsid w:val="002B2DB4"/>
    <w:rsid w:val="002B3476"/>
    <w:rsid w:val="002B3F86"/>
    <w:rsid w:val="002B4060"/>
    <w:rsid w:val="002B463B"/>
    <w:rsid w:val="002B4732"/>
    <w:rsid w:val="002B4834"/>
    <w:rsid w:val="002B4AB4"/>
    <w:rsid w:val="002B5FCD"/>
    <w:rsid w:val="002B6198"/>
    <w:rsid w:val="002B7138"/>
    <w:rsid w:val="002B7CCC"/>
    <w:rsid w:val="002B7FA8"/>
    <w:rsid w:val="002C1D28"/>
    <w:rsid w:val="002C3809"/>
    <w:rsid w:val="002C446F"/>
    <w:rsid w:val="002C7C3F"/>
    <w:rsid w:val="002D03BC"/>
    <w:rsid w:val="002D164D"/>
    <w:rsid w:val="002D1770"/>
    <w:rsid w:val="002D2810"/>
    <w:rsid w:val="002D666C"/>
    <w:rsid w:val="002D6A6A"/>
    <w:rsid w:val="002D7FF6"/>
    <w:rsid w:val="002E211E"/>
    <w:rsid w:val="002E270A"/>
    <w:rsid w:val="002E3B17"/>
    <w:rsid w:val="002E3CC2"/>
    <w:rsid w:val="002E5CD7"/>
    <w:rsid w:val="002E5FB0"/>
    <w:rsid w:val="002E6EAA"/>
    <w:rsid w:val="002E7A9C"/>
    <w:rsid w:val="002F0881"/>
    <w:rsid w:val="002F28FD"/>
    <w:rsid w:val="002F394F"/>
    <w:rsid w:val="002F43C9"/>
    <w:rsid w:val="002F4C10"/>
    <w:rsid w:val="002F600B"/>
    <w:rsid w:val="002F754F"/>
    <w:rsid w:val="00300BC3"/>
    <w:rsid w:val="00301F17"/>
    <w:rsid w:val="003021EF"/>
    <w:rsid w:val="00302898"/>
    <w:rsid w:val="00305F50"/>
    <w:rsid w:val="00306352"/>
    <w:rsid w:val="00306AE6"/>
    <w:rsid w:val="00307299"/>
    <w:rsid w:val="00307A73"/>
    <w:rsid w:val="00307E2D"/>
    <w:rsid w:val="003106B1"/>
    <w:rsid w:val="00310F21"/>
    <w:rsid w:val="003133BB"/>
    <w:rsid w:val="00313FE3"/>
    <w:rsid w:val="00314E73"/>
    <w:rsid w:val="0031529D"/>
    <w:rsid w:val="00317218"/>
    <w:rsid w:val="00321ACB"/>
    <w:rsid w:val="003222EF"/>
    <w:rsid w:val="003223A1"/>
    <w:rsid w:val="0032262A"/>
    <w:rsid w:val="003232A6"/>
    <w:rsid w:val="00325259"/>
    <w:rsid w:val="00326CF2"/>
    <w:rsid w:val="00326D4F"/>
    <w:rsid w:val="00327B51"/>
    <w:rsid w:val="00327B77"/>
    <w:rsid w:val="00330285"/>
    <w:rsid w:val="00330A3F"/>
    <w:rsid w:val="00333F4D"/>
    <w:rsid w:val="00334AC6"/>
    <w:rsid w:val="00335604"/>
    <w:rsid w:val="00337F01"/>
    <w:rsid w:val="0034023C"/>
    <w:rsid w:val="00342343"/>
    <w:rsid w:val="00342348"/>
    <w:rsid w:val="00343A7E"/>
    <w:rsid w:val="00343E7C"/>
    <w:rsid w:val="0034546F"/>
    <w:rsid w:val="00345BB4"/>
    <w:rsid w:val="00350235"/>
    <w:rsid w:val="00351012"/>
    <w:rsid w:val="003525B1"/>
    <w:rsid w:val="0035317D"/>
    <w:rsid w:val="00353E64"/>
    <w:rsid w:val="00355910"/>
    <w:rsid w:val="00356179"/>
    <w:rsid w:val="0035646A"/>
    <w:rsid w:val="00356ABF"/>
    <w:rsid w:val="003579A8"/>
    <w:rsid w:val="00360A95"/>
    <w:rsid w:val="0036710A"/>
    <w:rsid w:val="00370AC8"/>
    <w:rsid w:val="003710EE"/>
    <w:rsid w:val="00373C47"/>
    <w:rsid w:val="003778B4"/>
    <w:rsid w:val="003779B3"/>
    <w:rsid w:val="00381A9C"/>
    <w:rsid w:val="00383B29"/>
    <w:rsid w:val="00384168"/>
    <w:rsid w:val="003846E6"/>
    <w:rsid w:val="00384CB5"/>
    <w:rsid w:val="00386372"/>
    <w:rsid w:val="003865DD"/>
    <w:rsid w:val="00390655"/>
    <w:rsid w:val="00390E92"/>
    <w:rsid w:val="00396184"/>
    <w:rsid w:val="00396885"/>
    <w:rsid w:val="00397534"/>
    <w:rsid w:val="003A0870"/>
    <w:rsid w:val="003A1322"/>
    <w:rsid w:val="003A1550"/>
    <w:rsid w:val="003A275C"/>
    <w:rsid w:val="003A339E"/>
    <w:rsid w:val="003A3E6A"/>
    <w:rsid w:val="003A3F43"/>
    <w:rsid w:val="003A44B3"/>
    <w:rsid w:val="003A4EE9"/>
    <w:rsid w:val="003A5173"/>
    <w:rsid w:val="003A567C"/>
    <w:rsid w:val="003A63D2"/>
    <w:rsid w:val="003A6959"/>
    <w:rsid w:val="003A7052"/>
    <w:rsid w:val="003A73AC"/>
    <w:rsid w:val="003A73E4"/>
    <w:rsid w:val="003A7C83"/>
    <w:rsid w:val="003A7ED1"/>
    <w:rsid w:val="003B02DB"/>
    <w:rsid w:val="003B046E"/>
    <w:rsid w:val="003B0BFC"/>
    <w:rsid w:val="003B1E2A"/>
    <w:rsid w:val="003B20C0"/>
    <w:rsid w:val="003B2DB4"/>
    <w:rsid w:val="003B3124"/>
    <w:rsid w:val="003B31A8"/>
    <w:rsid w:val="003B35A9"/>
    <w:rsid w:val="003B3859"/>
    <w:rsid w:val="003B391E"/>
    <w:rsid w:val="003B58C9"/>
    <w:rsid w:val="003B697C"/>
    <w:rsid w:val="003B7080"/>
    <w:rsid w:val="003B7A82"/>
    <w:rsid w:val="003C0570"/>
    <w:rsid w:val="003C06F0"/>
    <w:rsid w:val="003C076B"/>
    <w:rsid w:val="003C0C3B"/>
    <w:rsid w:val="003C0D6C"/>
    <w:rsid w:val="003C0E79"/>
    <w:rsid w:val="003C2D36"/>
    <w:rsid w:val="003C47F6"/>
    <w:rsid w:val="003C481E"/>
    <w:rsid w:val="003C4DF4"/>
    <w:rsid w:val="003C6B7A"/>
    <w:rsid w:val="003C6C00"/>
    <w:rsid w:val="003C6C92"/>
    <w:rsid w:val="003C6E55"/>
    <w:rsid w:val="003C718F"/>
    <w:rsid w:val="003D00AE"/>
    <w:rsid w:val="003D0621"/>
    <w:rsid w:val="003D40BE"/>
    <w:rsid w:val="003D5C43"/>
    <w:rsid w:val="003D643A"/>
    <w:rsid w:val="003D7640"/>
    <w:rsid w:val="003E1C01"/>
    <w:rsid w:val="003E229C"/>
    <w:rsid w:val="003E2383"/>
    <w:rsid w:val="003E305E"/>
    <w:rsid w:val="003E3552"/>
    <w:rsid w:val="003E4134"/>
    <w:rsid w:val="003E4BC0"/>
    <w:rsid w:val="003E5822"/>
    <w:rsid w:val="003E71C6"/>
    <w:rsid w:val="003E78A4"/>
    <w:rsid w:val="003F1676"/>
    <w:rsid w:val="003F26D1"/>
    <w:rsid w:val="003F2CCE"/>
    <w:rsid w:val="003F3322"/>
    <w:rsid w:val="003F38C8"/>
    <w:rsid w:val="003F3BE1"/>
    <w:rsid w:val="003F4B08"/>
    <w:rsid w:val="003F53E5"/>
    <w:rsid w:val="003F6136"/>
    <w:rsid w:val="003F65AE"/>
    <w:rsid w:val="003F79F4"/>
    <w:rsid w:val="00400B7A"/>
    <w:rsid w:val="004042F7"/>
    <w:rsid w:val="00404DB9"/>
    <w:rsid w:val="0040524F"/>
    <w:rsid w:val="00405A5F"/>
    <w:rsid w:val="00405F08"/>
    <w:rsid w:val="0040709D"/>
    <w:rsid w:val="00407801"/>
    <w:rsid w:val="00407951"/>
    <w:rsid w:val="00407A36"/>
    <w:rsid w:val="00407E6E"/>
    <w:rsid w:val="0041008B"/>
    <w:rsid w:val="00412AEA"/>
    <w:rsid w:val="00412C8C"/>
    <w:rsid w:val="00412EFF"/>
    <w:rsid w:val="00416B19"/>
    <w:rsid w:val="00416B51"/>
    <w:rsid w:val="0042047E"/>
    <w:rsid w:val="004211C8"/>
    <w:rsid w:val="00421E89"/>
    <w:rsid w:val="00422AAF"/>
    <w:rsid w:val="0042425C"/>
    <w:rsid w:val="004252F4"/>
    <w:rsid w:val="004263E8"/>
    <w:rsid w:val="004268D2"/>
    <w:rsid w:val="004274D3"/>
    <w:rsid w:val="004275C8"/>
    <w:rsid w:val="00427D53"/>
    <w:rsid w:val="004306EC"/>
    <w:rsid w:val="004321AA"/>
    <w:rsid w:val="00432363"/>
    <w:rsid w:val="004323A1"/>
    <w:rsid w:val="00432C77"/>
    <w:rsid w:val="00433005"/>
    <w:rsid w:val="00435056"/>
    <w:rsid w:val="00436499"/>
    <w:rsid w:val="00437AF6"/>
    <w:rsid w:val="00440637"/>
    <w:rsid w:val="004412B2"/>
    <w:rsid w:val="00442393"/>
    <w:rsid w:val="00442C4F"/>
    <w:rsid w:val="00444B6A"/>
    <w:rsid w:val="00445935"/>
    <w:rsid w:val="00445EE0"/>
    <w:rsid w:val="004505FF"/>
    <w:rsid w:val="004524C1"/>
    <w:rsid w:val="0045452C"/>
    <w:rsid w:val="00455585"/>
    <w:rsid w:val="00457DF6"/>
    <w:rsid w:val="00457FC6"/>
    <w:rsid w:val="00461496"/>
    <w:rsid w:val="00462D3F"/>
    <w:rsid w:val="00462E30"/>
    <w:rsid w:val="0046309C"/>
    <w:rsid w:val="004635FE"/>
    <w:rsid w:val="00464249"/>
    <w:rsid w:val="00464927"/>
    <w:rsid w:val="00466AA4"/>
    <w:rsid w:val="00466CEE"/>
    <w:rsid w:val="00471107"/>
    <w:rsid w:val="00471364"/>
    <w:rsid w:val="004718FA"/>
    <w:rsid w:val="00471D32"/>
    <w:rsid w:val="0047245A"/>
    <w:rsid w:val="00472AAA"/>
    <w:rsid w:val="00474344"/>
    <w:rsid w:val="00474D11"/>
    <w:rsid w:val="0047507E"/>
    <w:rsid w:val="00475C5F"/>
    <w:rsid w:val="004764CC"/>
    <w:rsid w:val="004768C8"/>
    <w:rsid w:val="00477C06"/>
    <w:rsid w:val="00480BC8"/>
    <w:rsid w:val="00482179"/>
    <w:rsid w:val="00482353"/>
    <w:rsid w:val="004828F9"/>
    <w:rsid w:val="00483D1D"/>
    <w:rsid w:val="00485C39"/>
    <w:rsid w:val="004864F6"/>
    <w:rsid w:val="004869A0"/>
    <w:rsid w:val="004877B5"/>
    <w:rsid w:val="00490AA2"/>
    <w:rsid w:val="0049111D"/>
    <w:rsid w:val="004927BF"/>
    <w:rsid w:val="0049348A"/>
    <w:rsid w:val="00493F73"/>
    <w:rsid w:val="00494244"/>
    <w:rsid w:val="00495C3C"/>
    <w:rsid w:val="0049653E"/>
    <w:rsid w:val="004967AC"/>
    <w:rsid w:val="00497653"/>
    <w:rsid w:val="0049777C"/>
    <w:rsid w:val="004A05BC"/>
    <w:rsid w:val="004A0A95"/>
    <w:rsid w:val="004A0AFC"/>
    <w:rsid w:val="004A2CE5"/>
    <w:rsid w:val="004A35DE"/>
    <w:rsid w:val="004A3813"/>
    <w:rsid w:val="004A3946"/>
    <w:rsid w:val="004A3CC6"/>
    <w:rsid w:val="004A50AE"/>
    <w:rsid w:val="004A674D"/>
    <w:rsid w:val="004B0BB6"/>
    <w:rsid w:val="004B1065"/>
    <w:rsid w:val="004B10D3"/>
    <w:rsid w:val="004B135C"/>
    <w:rsid w:val="004B20C3"/>
    <w:rsid w:val="004B3A96"/>
    <w:rsid w:val="004B3FB2"/>
    <w:rsid w:val="004B4C32"/>
    <w:rsid w:val="004B6466"/>
    <w:rsid w:val="004B66E3"/>
    <w:rsid w:val="004B7EFE"/>
    <w:rsid w:val="004C010D"/>
    <w:rsid w:val="004C044C"/>
    <w:rsid w:val="004C0995"/>
    <w:rsid w:val="004C0EAA"/>
    <w:rsid w:val="004C1062"/>
    <w:rsid w:val="004C10D9"/>
    <w:rsid w:val="004C2129"/>
    <w:rsid w:val="004C26A8"/>
    <w:rsid w:val="004C6362"/>
    <w:rsid w:val="004C69C0"/>
    <w:rsid w:val="004C7392"/>
    <w:rsid w:val="004D0E0C"/>
    <w:rsid w:val="004D1D31"/>
    <w:rsid w:val="004D234E"/>
    <w:rsid w:val="004D5294"/>
    <w:rsid w:val="004D55B8"/>
    <w:rsid w:val="004D6326"/>
    <w:rsid w:val="004D6D6A"/>
    <w:rsid w:val="004D6F68"/>
    <w:rsid w:val="004D73D4"/>
    <w:rsid w:val="004D767D"/>
    <w:rsid w:val="004E077D"/>
    <w:rsid w:val="004E127B"/>
    <w:rsid w:val="004E285A"/>
    <w:rsid w:val="004E2A8F"/>
    <w:rsid w:val="004E306C"/>
    <w:rsid w:val="004E5948"/>
    <w:rsid w:val="004E64B2"/>
    <w:rsid w:val="004E76AF"/>
    <w:rsid w:val="004E7C82"/>
    <w:rsid w:val="004F10E2"/>
    <w:rsid w:val="004F2A63"/>
    <w:rsid w:val="004F2E27"/>
    <w:rsid w:val="004F2F35"/>
    <w:rsid w:val="004F2FF6"/>
    <w:rsid w:val="004F346B"/>
    <w:rsid w:val="004F4C78"/>
    <w:rsid w:val="004F5E40"/>
    <w:rsid w:val="004F6A9D"/>
    <w:rsid w:val="004F729B"/>
    <w:rsid w:val="005003FA"/>
    <w:rsid w:val="00500BA7"/>
    <w:rsid w:val="00500CDE"/>
    <w:rsid w:val="00500FD8"/>
    <w:rsid w:val="00501AFA"/>
    <w:rsid w:val="00502625"/>
    <w:rsid w:val="005034CF"/>
    <w:rsid w:val="00503E7C"/>
    <w:rsid w:val="005044B8"/>
    <w:rsid w:val="00505387"/>
    <w:rsid w:val="0050670B"/>
    <w:rsid w:val="00510FE2"/>
    <w:rsid w:val="00511228"/>
    <w:rsid w:val="00511630"/>
    <w:rsid w:val="005117A1"/>
    <w:rsid w:val="00511F1F"/>
    <w:rsid w:val="00512175"/>
    <w:rsid w:val="005137B8"/>
    <w:rsid w:val="00514FA8"/>
    <w:rsid w:val="005156CA"/>
    <w:rsid w:val="00515918"/>
    <w:rsid w:val="00515CB0"/>
    <w:rsid w:val="005179A5"/>
    <w:rsid w:val="00521224"/>
    <w:rsid w:val="005213A7"/>
    <w:rsid w:val="00522602"/>
    <w:rsid w:val="005229CC"/>
    <w:rsid w:val="00522DEC"/>
    <w:rsid w:val="00523567"/>
    <w:rsid w:val="0052589A"/>
    <w:rsid w:val="00526601"/>
    <w:rsid w:val="0052794B"/>
    <w:rsid w:val="0053098A"/>
    <w:rsid w:val="00531052"/>
    <w:rsid w:val="00531643"/>
    <w:rsid w:val="005331D8"/>
    <w:rsid w:val="00533E89"/>
    <w:rsid w:val="005342D1"/>
    <w:rsid w:val="005357ED"/>
    <w:rsid w:val="00541374"/>
    <w:rsid w:val="00542E8E"/>
    <w:rsid w:val="005434D0"/>
    <w:rsid w:val="00546F39"/>
    <w:rsid w:val="005471C9"/>
    <w:rsid w:val="00547D6B"/>
    <w:rsid w:val="00550044"/>
    <w:rsid w:val="005514A6"/>
    <w:rsid w:val="00551866"/>
    <w:rsid w:val="00551F1D"/>
    <w:rsid w:val="00552F87"/>
    <w:rsid w:val="00553E33"/>
    <w:rsid w:val="005542EB"/>
    <w:rsid w:val="005560F6"/>
    <w:rsid w:val="00556F84"/>
    <w:rsid w:val="005578BD"/>
    <w:rsid w:val="00560481"/>
    <w:rsid w:val="0056088F"/>
    <w:rsid w:val="00560E8F"/>
    <w:rsid w:val="005620D1"/>
    <w:rsid w:val="00562DA1"/>
    <w:rsid w:val="00562F1A"/>
    <w:rsid w:val="00563263"/>
    <w:rsid w:val="005641DC"/>
    <w:rsid w:val="005656E8"/>
    <w:rsid w:val="00567763"/>
    <w:rsid w:val="005705F8"/>
    <w:rsid w:val="00571656"/>
    <w:rsid w:val="005728DE"/>
    <w:rsid w:val="00573EBD"/>
    <w:rsid w:val="005747E5"/>
    <w:rsid w:val="00574FE2"/>
    <w:rsid w:val="0057558A"/>
    <w:rsid w:val="0057558D"/>
    <w:rsid w:val="005808FA"/>
    <w:rsid w:val="00581F67"/>
    <w:rsid w:val="00581F78"/>
    <w:rsid w:val="00582BDE"/>
    <w:rsid w:val="0058397C"/>
    <w:rsid w:val="00585AF5"/>
    <w:rsid w:val="00585E08"/>
    <w:rsid w:val="005867EB"/>
    <w:rsid w:val="00587532"/>
    <w:rsid w:val="00587681"/>
    <w:rsid w:val="0059048B"/>
    <w:rsid w:val="00590EDA"/>
    <w:rsid w:val="00591882"/>
    <w:rsid w:val="00591933"/>
    <w:rsid w:val="00591A13"/>
    <w:rsid w:val="00591B63"/>
    <w:rsid w:val="00591E8C"/>
    <w:rsid w:val="00594943"/>
    <w:rsid w:val="00594DA3"/>
    <w:rsid w:val="0059508C"/>
    <w:rsid w:val="005958C5"/>
    <w:rsid w:val="00595D28"/>
    <w:rsid w:val="00596528"/>
    <w:rsid w:val="00596781"/>
    <w:rsid w:val="0059773F"/>
    <w:rsid w:val="005979ED"/>
    <w:rsid w:val="00597E36"/>
    <w:rsid w:val="005A055B"/>
    <w:rsid w:val="005A05EB"/>
    <w:rsid w:val="005A0B2C"/>
    <w:rsid w:val="005A14AB"/>
    <w:rsid w:val="005A1C52"/>
    <w:rsid w:val="005A20D3"/>
    <w:rsid w:val="005A260B"/>
    <w:rsid w:val="005A2892"/>
    <w:rsid w:val="005A3537"/>
    <w:rsid w:val="005A3E5E"/>
    <w:rsid w:val="005A44DE"/>
    <w:rsid w:val="005A4BA9"/>
    <w:rsid w:val="005A4FD1"/>
    <w:rsid w:val="005A5117"/>
    <w:rsid w:val="005A6427"/>
    <w:rsid w:val="005A6DD9"/>
    <w:rsid w:val="005A78D5"/>
    <w:rsid w:val="005B0CFF"/>
    <w:rsid w:val="005B0E2D"/>
    <w:rsid w:val="005B150E"/>
    <w:rsid w:val="005B1DAA"/>
    <w:rsid w:val="005B3D01"/>
    <w:rsid w:val="005B521B"/>
    <w:rsid w:val="005B6228"/>
    <w:rsid w:val="005B7031"/>
    <w:rsid w:val="005B70E1"/>
    <w:rsid w:val="005C0D96"/>
    <w:rsid w:val="005C3FCD"/>
    <w:rsid w:val="005C4CE0"/>
    <w:rsid w:val="005C4FB6"/>
    <w:rsid w:val="005C503E"/>
    <w:rsid w:val="005C53E8"/>
    <w:rsid w:val="005C550E"/>
    <w:rsid w:val="005C55E7"/>
    <w:rsid w:val="005C5953"/>
    <w:rsid w:val="005C5BF0"/>
    <w:rsid w:val="005C6DF9"/>
    <w:rsid w:val="005D08C4"/>
    <w:rsid w:val="005D3544"/>
    <w:rsid w:val="005D3C5E"/>
    <w:rsid w:val="005D3D35"/>
    <w:rsid w:val="005D5012"/>
    <w:rsid w:val="005D6521"/>
    <w:rsid w:val="005E04B8"/>
    <w:rsid w:val="005E0AD7"/>
    <w:rsid w:val="005E0C2D"/>
    <w:rsid w:val="005E14EF"/>
    <w:rsid w:val="005E1802"/>
    <w:rsid w:val="005E2018"/>
    <w:rsid w:val="005E29B5"/>
    <w:rsid w:val="005E3639"/>
    <w:rsid w:val="005E5662"/>
    <w:rsid w:val="005E750B"/>
    <w:rsid w:val="005F11BB"/>
    <w:rsid w:val="005F12B0"/>
    <w:rsid w:val="005F28DD"/>
    <w:rsid w:val="005F4249"/>
    <w:rsid w:val="005F45CA"/>
    <w:rsid w:val="005F62DA"/>
    <w:rsid w:val="005F6436"/>
    <w:rsid w:val="005F64D5"/>
    <w:rsid w:val="00600433"/>
    <w:rsid w:val="00602B08"/>
    <w:rsid w:val="0060314B"/>
    <w:rsid w:val="00603925"/>
    <w:rsid w:val="006058C2"/>
    <w:rsid w:val="00605DB8"/>
    <w:rsid w:val="00606468"/>
    <w:rsid w:val="0060652A"/>
    <w:rsid w:val="00606DF2"/>
    <w:rsid w:val="00607AC0"/>
    <w:rsid w:val="006103A8"/>
    <w:rsid w:val="006107CF"/>
    <w:rsid w:val="00610973"/>
    <w:rsid w:val="00610C6A"/>
    <w:rsid w:val="006124A5"/>
    <w:rsid w:val="00613332"/>
    <w:rsid w:val="0061343C"/>
    <w:rsid w:val="00616298"/>
    <w:rsid w:val="006166B7"/>
    <w:rsid w:val="00616A4B"/>
    <w:rsid w:val="00616CB3"/>
    <w:rsid w:val="00620417"/>
    <w:rsid w:val="00620F79"/>
    <w:rsid w:val="00621451"/>
    <w:rsid w:val="00622607"/>
    <w:rsid w:val="00623C45"/>
    <w:rsid w:val="00626633"/>
    <w:rsid w:val="006279F7"/>
    <w:rsid w:val="00631E81"/>
    <w:rsid w:val="0063242D"/>
    <w:rsid w:val="00633789"/>
    <w:rsid w:val="00633FE2"/>
    <w:rsid w:val="00634923"/>
    <w:rsid w:val="0063552E"/>
    <w:rsid w:val="00635625"/>
    <w:rsid w:val="00635CAD"/>
    <w:rsid w:val="00635DFF"/>
    <w:rsid w:val="00636E14"/>
    <w:rsid w:val="006372E5"/>
    <w:rsid w:val="00637918"/>
    <w:rsid w:val="00640373"/>
    <w:rsid w:val="006412CB"/>
    <w:rsid w:val="00641311"/>
    <w:rsid w:val="006428B2"/>
    <w:rsid w:val="00643733"/>
    <w:rsid w:val="00643D75"/>
    <w:rsid w:val="00644366"/>
    <w:rsid w:val="006451AE"/>
    <w:rsid w:val="00645824"/>
    <w:rsid w:val="00645875"/>
    <w:rsid w:val="00646557"/>
    <w:rsid w:val="006471C0"/>
    <w:rsid w:val="00647B5F"/>
    <w:rsid w:val="00650BB5"/>
    <w:rsid w:val="00650F7B"/>
    <w:rsid w:val="00652F51"/>
    <w:rsid w:val="006540D1"/>
    <w:rsid w:val="00655B69"/>
    <w:rsid w:val="0065614B"/>
    <w:rsid w:val="0066035B"/>
    <w:rsid w:val="00660D99"/>
    <w:rsid w:val="00661748"/>
    <w:rsid w:val="00662E1D"/>
    <w:rsid w:val="00662F65"/>
    <w:rsid w:val="006636B8"/>
    <w:rsid w:val="006636BD"/>
    <w:rsid w:val="00663C8B"/>
    <w:rsid w:val="00664331"/>
    <w:rsid w:val="0066521A"/>
    <w:rsid w:val="0066539A"/>
    <w:rsid w:val="00665C64"/>
    <w:rsid w:val="00666E57"/>
    <w:rsid w:val="00670525"/>
    <w:rsid w:val="00671040"/>
    <w:rsid w:val="006725AA"/>
    <w:rsid w:val="006752CE"/>
    <w:rsid w:val="00675A52"/>
    <w:rsid w:val="00675BD2"/>
    <w:rsid w:val="006766A4"/>
    <w:rsid w:val="00676841"/>
    <w:rsid w:val="00676F6B"/>
    <w:rsid w:val="0067733C"/>
    <w:rsid w:val="00680365"/>
    <w:rsid w:val="00681133"/>
    <w:rsid w:val="006834F9"/>
    <w:rsid w:val="006835C0"/>
    <w:rsid w:val="00684554"/>
    <w:rsid w:val="00684FC6"/>
    <w:rsid w:val="00685416"/>
    <w:rsid w:val="00686379"/>
    <w:rsid w:val="006872DC"/>
    <w:rsid w:val="006901C3"/>
    <w:rsid w:val="00690CA5"/>
    <w:rsid w:val="006915A2"/>
    <w:rsid w:val="00691FCB"/>
    <w:rsid w:val="006931A8"/>
    <w:rsid w:val="00693C98"/>
    <w:rsid w:val="00694D05"/>
    <w:rsid w:val="00696AD4"/>
    <w:rsid w:val="00696BC4"/>
    <w:rsid w:val="006973AB"/>
    <w:rsid w:val="006974A9"/>
    <w:rsid w:val="006A0A41"/>
    <w:rsid w:val="006A0F7F"/>
    <w:rsid w:val="006A156B"/>
    <w:rsid w:val="006A1C4C"/>
    <w:rsid w:val="006A2F93"/>
    <w:rsid w:val="006A491D"/>
    <w:rsid w:val="006A50CE"/>
    <w:rsid w:val="006B0928"/>
    <w:rsid w:val="006B13A9"/>
    <w:rsid w:val="006B193A"/>
    <w:rsid w:val="006B1D08"/>
    <w:rsid w:val="006B2BEC"/>
    <w:rsid w:val="006B3DA9"/>
    <w:rsid w:val="006B3E96"/>
    <w:rsid w:val="006B4019"/>
    <w:rsid w:val="006B49EF"/>
    <w:rsid w:val="006B5270"/>
    <w:rsid w:val="006B58BE"/>
    <w:rsid w:val="006B63AA"/>
    <w:rsid w:val="006B6C59"/>
    <w:rsid w:val="006B6D44"/>
    <w:rsid w:val="006B79C9"/>
    <w:rsid w:val="006C0E0A"/>
    <w:rsid w:val="006C2D85"/>
    <w:rsid w:val="006C4F58"/>
    <w:rsid w:val="006C50A2"/>
    <w:rsid w:val="006C625F"/>
    <w:rsid w:val="006C789B"/>
    <w:rsid w:val="006D0171"/>
    <w:rsid w:val="006D035C"/>
    <w:rsid w:val="006D15CB"/>
    <w:rsid w:val="006D32AE"/>
    <w:rsid w:val="006D35D9"/>
    <w:rsid w:val="006D452D"/>
    <w:rsid w:val="006D5268"/>
    <w:rsid w:val="006D52F9"/>
    <w:rsid w:val="006D6A03"/>
    <w:rsid w:val="006E0805"/>
    <w:rsid w:val="006E139D"/>
    <w:rsid w:val="006E44FC"/>
    <w:rsid w:val="006E5557"/>
    <w:rsid w:val="006E625F"/>
    <w:rsid w:val="006E787E"/>
    <w:rsid w:val="006F05EA"/>
    <w:rsid w:val="006F06A0"/>
    <w:rsid w:val="006F0CA8"/>
    <w:rsid w:val="006F38E5"/>
    <w:rsid w:val="006F4822"/>
    <w:rsid w:val="006F48C9"/>
    <w:rsid w:val="006F579B"/>
    <w:rsid w:val="006F6975"/>
    <w:rsid w:val="006F6AEA"/>
    <w:rsid w:val="006F6FF3"/>
    <w:rsid w:val="006F73CB"/>
    <w:rsid w:val="00700559"/>
    <w:rsid w:val="00701526"/>
    <w:rsid w:val="00702D3F"/>
    <w:rsid w:val="007038F6"/>
    <w:rsid w:val="0070425E"/>
    <w:rsid w:val="00706437"/>
    <w:rsid w:val="00707E76"/>
    <w:rsid w:val="00710220"/>
    <w:rsid w:val="00710C44"/>
    <w:rsid w:val="00711CAC"/>
    <w:rsid w:val="00712935"/>
    <w:rsid w:val="00712F76"/>
    <w:rsid w:val="00713B7E"/>
    <w:rsid w:val="00713E94"/>
    <w:rsid w:val="00717E4B"/>
    <w:rsid w:val="007201A0"/>
    <w:rsid w:val="007205F9"/>
    <w:rsid w:val="007206C7"/>
    <w:rsid w:val="007206EF"/>
    <w:rsid w:val="00721A41"/>
    <w:rsid w:val="00722EFD"/>
    <w:rsid w:val="00723842"/>
    <w:rsid w:val="00723D59"/>
    <w:rsid w:val="00724075"/>
    <w:rsid w:val="0072550A"/>
    <w:rsid w:val="00726C42"/>
    <w:rsid w:val="00727AA7"/>
    <w:rsid w:val="00727E95"/>
    <w:rsid w:val="007301DD"/>
    <w:rsid w:val="00733B1A"/>
    <w:rsid w:val="00734694"/>
    <w:rsid w:val="007352E3"/>
    <w:rsid w:val="007353D7"/>
    <w:rsid w:val="007355D5"/>
    <w:rsid w:val="00736309"/>
    <w:rsid w:val="00737166"/>
    <w:rsid w:val="0074051B"/>
    <w:rsid w:val="00740B40"/>
    <w:rsid w:val="00740FD3"/>
    <w:rsid w:val="0074117F"/>
    <w:rsid w:val="007416FD"/>
    <w:rsid w:val="00742BFE"/>
    <w:rsid w:val="00742FB9"/>
    <w:rsid w:val="00743CB1"/>
    <w:rsid w:val="0074488D"/>
    <w:rsid w:val="007450B3"/>
    <w:rsid w:val="007463AD"/>
    <w:rsid w:val="007476E4"/>
    <w:rsid w:val="00751A56"/>
    <w:rsid w:val="00751B0E"/>
    <w:rsid w:val="0075218E"/>
    <w:rsid w:val="00753809"/>
    <w:rsid w:val="00754004"/>
    <w:rsid w:val="00755D30"/>
    <w:rsid w:val="00756CF9"/>
    <w:rsid w:val="007576B5"/>
    <w:rsid w:val="00760704"/>
    <w:rsid w:val="007614CB"/>
    <w:rsid w:val="0076191A"/>
    <w:rsid w:val="0076309A"/>
    <w:rsid w:val="00763252"/>
    <w:rsid w:val="0076397B"/>
    <w:rsid w:val="00764ECE"/>
    <w:rsid w:val="00765DC5"/>
    <w:rsid w:val="00767863"/>
    <w:rsid w:val="00770367"/>
    <w:rsid w:val="007703EB"/>
    <w:rsid w:val="007711D8"/>
    <w:rsid w:val="007745FF"/>
    <w:rsid w:val="0077540A"/>
    <w:rsid w:val="00775851"/>
    <w:rsid w:val="00775E6E"/>
    <w:rsid w:val="00777A52"/>
    <w:rsid w:val="00782698"/>
    <w:rsid w:val="0078299D"/>
    <w:rsid w:val="00783625"/>
    <w:rsid w:val="00783EF2"/>
    <w:rsid w:val="00784BBD"/>
    <w:rsid w:val="00785D38"/>
    <w:rsid w:val="00787021"/>
    <w:rsid w:val="00790120"/>
    <w:rsid w:val="007904F1"/>
    <w:rsid w:val="00791BDA"/>
    <w:rsid w:val="00793259"/>
    <w:rsid w:val="00793293"/>
    <w:rsid w:val="007938BE"/>
    <w:rsid w:val="007942CB"/>
    <w:rsid w:val="007955DF"/>
    <w:rsid w:val="007957DA"/>
    <w:rsid w:val="0079587F"/>
    <w:rsid w:val="00796D58"/>
    <w:rsid w:val="007A1E2C"/>
    <w:rsid w:val="007A390A"/>
    <w:rsid w:val="007A4F60"/>
    <w:rsid w:val="007A5697"/>
    <w:rsid w:val="007A611C"/>
    <w:rsid w:val="007A61B1"/>
    <w:rsid w:val="007A6544"/>
    <w:rsid w:val="007A7894"/>
    <w:rsid w:val="007B0953"/>
    <w:rsid w:val="007B0DE8"/>
    <w:rsid w:val="007B31B0"/>
    <w:rsid w:val="007B3B01"/>
    <w:rsid w:val="007B3C11"/>
    <w:rsid w:val="007B42A6"/>
    <w:rsid w:val="007B64F2"/>
    <w:rsid w:val="007C13B5"/>
    <w:rsid w:val="007C24FC"/>
    <w:rsid w:val="007C2998"/>
    <w:rsid w:val="007C2B2D"/>
    <w:rsid w:val="007C361A"/>
    <w:rsid w:val="007C43F5"/>
    <w:rsid w:val="007C4932"/>
    <w:rsid w:val="007C52CE"/>
    <w:rsid w:val="007C5706"/>
    <w:rsid w:val="007C598B"/>
    <w:rsid w:val="007C6CB2"/>
    <w:rsid w:val="007C6F69"/>
    <w:rsid w:val="007C7B46"/>
    <w:rsid w:val="007C7ED6"/>
    <w:rsid w:val="007D00E4"/>
    <w:rsid w:val="007D0C49"/>
    <w:rsid w:val="007D189D"/>
    <w:rsid w:val="007D2B9E"/>
    <w:rsid w:val="007D323A"/>
    <w:rsid w:val="007D34DE"/>
    <w:rsid w:val="007D4786"/>
    <w:rsid w:val="007D59EF"/>
    <w:rsid w:val="007E0201"/>
    <w:rsid w:val="007E0FAF"/>
    <w:rsid w:val="007E2509"/>
    <w:rsid w:val="007E3C57"/>
    <w:rsid w:val="007E40FB"/>
    <w:rsid w:val="007E4B16"/>
    <w:rsid w:val="007E73F9"/>
    <w:rsid w:val="007F0D8B"/>
    <w:rsid w:val="007F238A"/>
    <w:rsid w:val="007F2DD9"/>
    <w:rsid w:val="007F2F69"/>
    <w:rsid w:val="007F30C4"/>
    <w:rsid w:val="007F3798"/>
    <w:rsid w:val="007F39CB"/>
    <w:rsid w:val="007F438E"/>
    <w:rsid w:val="007F43F2"/>
    <w:rsid w:val="007F498C"/>
    <w:rsid w:val="007F4AEF"/>
    <w:rsid w:val="007F54FE"/>
    <w:rsid w:val="007F602E"/>
    <w:rsid w:val="007F73A5"/>
    <w:rsid w:val="008005D4"/>
    <w:rsid w:val="0080064C"/>
    <w:rsid w:val="00803240"/>
    <w:rsid w:val="00804F92"/>
    <w:rsid w:val="00810ECD"/>
    <w:rsid w:val="00811732"/>
    <w:rsid w:val="00815903"/>
    <w:rsid w:val="008159C6"/>
    <w:rsid w:val="008160F2"/>
    <w:rsid w:val="00816605"/>
    <w:rsid w:val="008174EB"/>
    <w:rsid w:val="00821503"/>
    <w:rsid w:val="00822F71"/>
    <w:rsid w:val="0082401C"/>
    <w:rsid w:val="00824090"/>
    <w:rsid w:val="0082545B"/>
    <w:rsid w:val="00825511"/>
    <w:rsid w:val="00825E8B"/>
    <w:rsid w:val="00826263"/>
    <w:rsid w:val="008265E8"/>
    <w:rsid w:val="00826AEB"/>
    <w:rsid w:val="00830822"/>
    <w:rsid w:val="00832165"/>
    <w:rsid w:val="00833784"/>
    <w:rsid w:val="00833928"/>
    <w:rsid w:val="00833F72"/>
    <w:rsid w:val="00834723"/>
    <w:rsid w:val="0083501A"/>
    <w:rsid w:val="00836F16"/>
    <w:rsid w:val="0083755D"/>
    <w:rsid w:val="00842FE5"/>
    <w:rsid w:val="00844110"/>
    <w:rsid w:val="008446A9"/>
    <w:rsid w:val="008448E7"/>
    <w:rsid w:val="0084493F"/>
    <w:rsid w:val="00844C46"/>
    <w:rsid w:val="00844F67"/>
    <w:rsid w:val="00846120"/>
    <w:rsid w:val="0084751C"/>
    <w:rsid w:val="008506DB"/>
    <w:rsid w:val="00850CCF"/>
    <w:rsid w:val="00853570"/>
    <w:rsid w:val="008539CD"/>
    <w:rsid w:val="008548F3"/>
    <w:rsid w:val="00855060"/>
    <w:rsid w:val="0085513F"/>
    <w:rsid w:val="00855490"/>
    <w:rsid w:val="00855AAA"/>
    <w:rsid w:val="00855CB8"/>
    <w:rsid w:val="00855EF9"/>
    <w:rsid w:val="0085760F"/>
    <w:rsid w:val="00857FA2"/>
    <w:rsid w:val="008612CF"/>
    <w:rsid w:val="00861A55"/>
    <w:rsid w:val="008640F1"/>
    <w:rsid w:val="0086417D"/>
    <w:rsid w:val="00864C7F"/>
    <w:rsid w:val="00864C9D"/>
    <w:rsid w:val="00864F4F"/>
    <w:rsid w:val="00865567"/>
    <w:rsid w:val="0086724F"/>
    <w:rsid w:val="00870B78"/>
    <w:rsid w:val="00871FA2"/>
    <w:rsid w:val="00872B85"/>
    <w:rsid w:val="00874E60"/>
    <w:rsid w:val="00875D53"/>
    <w:rsid w:val="0087708F"/>
    <w:rsid w:val="00882592"/>
    <w:rsid w:val="0088345A"/>
    <w:rsid w:val="00883F71"/>
    <w:rsid w:val="008845B5"/>
    <w:rsid w:val="0088488D"/>
    <w:rsid w:val="00885248"/>
    <w:rsid w:val="00885447"/>
    <w:rsid w:val="008855C1"/>
    <w:rsid w:val="008874D9"/>
    <w:rsid w:val="00890E5D"/>
    <w:rsid w:val="008910D7"/>
    <w:rsid w:val="008913B6"/>
    <w:rsid w:val="00892A06"/>
    <w:rsid w:val="00892D7C"/>
    <w:rsid w:val="00893CFE"/>
    <w:rsid w:val="00893F9A"/>
    <w:rsid w:val="00895C69"/>
    <w:rsid w:val="00897651"/>
    <w:rsid w:val="008A0D86"/>
    <w:rsid w:val="008A1830"/>
    <w:rsid w:val="008A2318"/>
    <w:rsid w:val="008A5A29"/>
    <w:rsid w:val="008A5AA4"/>
    <w:rsid w:val="008A6371"/>
    <w:rsid w:val="008A6AA0"/>
    <w:rsid w:val="008A7AB9"/>
    <w:rsid w:val="008B1C24"/>
    <w:rsid w:val="008B24E8"/>
    <w:rsid w:val="008B2563"/>
    <w:rsid w:val="008B2A8D"/>
    <w:rsid w:val="008B2EB5"/>
    <w:rsid w:val="008B41F6"/>
    <w:rsid w:val="008B4AC7"/>
    <w:rsid w:val="008B4D80"/>
    <w:rsid w:val="008B70BE"/>
    <w:rsid w:val="008B70F0"/>
    <w:rsid w:val="008C03EE"/>
    <w:rsid w:val="008C055B"/>
    <w:rsid w:val="008C091C"/>
    <w:rsid w:val="008C1DA8"/>
    <w:rsid w:val="008C2D65"/>
    <w:rsid w:val="008C7EDA"/>
    <w:rsid w:val="008D1097"/>
    <w:rsid w:val="008D1CED"/>
    <w:rsid w:val="008D1D42"/>
    <w:rsid w:val="008D1FBA"/>
    <w:rsid w:val="008D25D7"/>
    <w:rsid w:val="008D2DD5"/>
    <w:rsid w:val="008D307C"/>
    <w:rsid w:val="008D3445"/>
    <w:rsid w:val="008D40C4"/>
    <w:rsid w:val="008D41B0"/>
    <w:rsid w:val="008D52D0"/>
    <w:rsid w:val="008D5EF2"/>
    <w:rsid w:val="008D619F"/>
    <w:rsid w:val="008D67B0"/>
    <w:rsid w:val="008D6C4B"/>
    <w:rsid w:val="008E02CD"/>
    <w:rsid w:val="008E10A6"/>
    <w:rsid w:val="008E10BF"/>
    <w:rsid w:val="008E162D"/>
    <w:rsid w:val="008E17D1"/>
    <w:rsid w:val="008E1FD8"/>
    <w:rsid w:val="008E2F85"/>
    <w:rsid w:val="008E2F99"/>
    <w:rsid w:val="008E3B6A"/>
    <w:rsid w:val="008E53C0"/>
    <w:rsid w:val="008E61F6"/>
    <w:rsid w:val="008E6CB4"/>
    <w:rsid w:val="008E6DB8"/>
    <w:rsid w:val="008E6FDA"/>
    <w:rsid w:val="008F072A"/>
    <w:rsid w:val="008F2218"/>
    <w:rsid w:val="008F42AA"/>
    <w:rsid w:val="008F444E"/>
    <w:rsid w:val="008F5984"/>
    <w:rsid w:val="008F74B1"/>
    <w:rsid w:val="008F7E6F"/>
    <w:rsid w:val="009005D0"/>
    <w:rsid w:val="009014B1"/>
    <w:rsid w:val="0090179C"/>
    <w:rsid w:val="00901CFB"/>
    <w:rsid w:val="00902024"/>
    <w:rsid w:val="00902151"/>
    <w:rsid w:val="00904FBD"/>
    <w:rsid w:val="0090599C"/>
    <w:rsid w:val="00905D6E"/>
    <w:rsid w:val="0090652D"/>
    <w:rsid w:val="0090751A"/>
    <w:rsid w:val="00910949"/>
    <w:rsid w:val="00912137"/>
    <w:rsid w:val="00912F19"/>
    <w:rsid w:val="009131E6"/>
    <w:rsid w:val="009132F2"/>
    <w:rsid w:val="0091333E"/>
    <w:rsid w:val="009141FB"/>
    <w:rsid w:val="0091421E"/>
    <w:rsid w:val="00914AA9"/>
    <w:rsid w:val="0091709F"/>
    <w:rsid w:val="009176A0"/>
    <w:rsid w:val="0092136A"/>
    <w:rsid w:val="00921E8E"/>
    <w:rsid w:val="00924E0A"/>
    <w:rsid w:val="0092512B"/>
    <w:rsid w:val="009261A2"/>
    <w:rsid w:val="009268D5"/>
    <w:rsid w:val="00927125"/>
    <w:rsid w:val="00927208"/>
    <w:rsid w:val="00927254"/>
    <w:rsid w:val="009278DA"/>
    <w:rsid w:val="00930637"/>
    <w:rsid w:val="009308B7"/>
    <w:rsid w:val="00930E98"/>
    <w:rsid w:val="00932229"/>
    <w:rsid w:val="00932E45"/>
    <w:rsid w:val="0093319B"/>
    <w:rsid w:val="009353E4"/>
    <w:rsid w:val="009358A3"/>
    <w:rsid w:val="00940172"/>
    <w:rsid w:val="00940CAB"/>
    <w:rsid w:val="00942638"/>
    <w:rsid w:val="00943701"/>
    <w:rsid w:val="009443C6"/>
    <w:rsid w:val="00944EF4"/>
    <w:rsid w:val="00945B45"/>
    <w:rsid w:val="00945D33"/>
    <w:rsid w:val="00946013"/>
    <w:rsid w:val="009476B5"/>
    <w:rsid w:val="00947CC9"/>
    <w:rsid w:val="009518A2"/>
    <w:rsid w:val="00953EA3"/>
    <w:rsid w:val="00954106"/>
    <w:rsid w:val="00954126"/>
    <w:rsid w:val="00955EEF"/>
    <w:rsid w:val="009567A8"/>
    <w:rsid w:val="00956D9C"/>
    <w:rsid w:val="00960852"/>
    <w:rsid w:val="00961457"/>
    <w:rsid w:val="00961D1D"/>
    <w:rsid w:val="009631DD"/>
    <w:rsid w:val="00964345"/>
    <w:rsid w:val="009650C8"/>
    <w:rsid w:val="00965459"/>
    <w:rsid w:val="009658A5"/>
    <w:rsid w:val="00965C3C"/>
    <w:rsid w:val="00966025"/>
    <w:rsid w:val="00967F06"/>
    <w:rsid w:val="009715F8"/>
    <w:rsid w:val="00972189"/>
    <w:rsid w:val="009722EA"/>
    <w:rsid w:val="00972FCC"/>
    <w:rsid w:val="00973C1B"/>
    <w:rsid w:val="009749D2"/>
    <w:rsid w:val="009757E7"/>
    <w:rsid w:val="00975A30"/>
    <w:rsid w:val="00975B08"/>
    <w:rsid w:val="00976429"/>
    <w:rsid w:val="009771EB"/>
    <w:rsid w:val="009776A3"/>
    <w:rsid w:val="00980AE4"/>
    <w:rsid w:val="00980C22"/>
    <w:rsid w:val="00981384"/>
    <w:rsid w:val="0098155F"/>
    <w:rsid w:val="00981640"/>
    <w:rsid w:val="0098220A"/>
    <w:rsid w:val="00982E3E"/>
    <w:rsid w:val="00983099"/>
    <w:rsid w:val="00984B3D"/>
    <w:rsid w:val="00985969"/>
    <w:rsid w:val="00985F6C"/>
    <w:rsid w:val="009868A8"/>
    <w:rsid w:val="009876F4"/>
    <w:rsid w:val="009905DA"/>
    <w:rsid w:val="00990C79"/>
    <w:rsid w:val="00991D56"/>
    <w:rsid w:val="0099353B"/>
    <w:rsid w:val="009939FC"/>
    <w:rsid w:val="00995B83"/>
    <w:rsid w:val="00996EC8"/>
    <w:rsid w:val="00997B26"/>
    <w:rsid w:val="009A0B43"/>
    <w:rsid w:val="009A1C6E"/>
    <w:rsid w:val="009A1DFD"/>
    <w:rsid w:val="009A210E"/>
    <w:rsid w:val="009A3926"/>
    <w:rsid w:val="009A3C3B"/>
    <w:rsid w:val="009A6045"/>
    <w:rsid w:val="009A6600"/>
    <w:rsid w:val="009A6601"/>
    <w:rsid w:val="009A76BD"/>
    <w:rsid w:val="009A783F"/>
    <w:rsid w:val="009A7858"/>
    <w:rsid w:val="009A7EBB"/>
    <w:rsid w:val="009B2450"/>
    <w:rsid w:val="009B2933"/>
    <w:rsid w:val="009B2BA4"/>
    <w:rsid w:val="009B30A5"/>
    <w:rsid w:val="009B3BA9"/>
    <w:rsid w:val="009B4F75"/>
    <w:rsid w:val="009B5D78"/>
    <w:rsid w:val="009B63FD"/>
    <w:rsid w:val="009B645F"/>
    <w:rsid w:val="009B67CB"/>
    <w:rsid w:val="009B6A3E"/>
    <w:rsid w:val="009B6F11"/>
    <w:rsid w:val="009B708A"/>
    <w:rsid w:val="009B761E"/>
    <w:rsid w:val="009C2E1F"/>
    <w:rsid w:val="009C2F89"/>
    <w:rsid w:val="009C631B"/>
    <w:rsid w:val="009C63DF"/>
    <w:rsid w:val="009C6785"/>
    <w:rsid w:val="009C70D8"/>
    <w:rsid w:val="009C711C"/>
    <w:rsid w:val="009D01BE"/>
    <w:rsid w:val="009D06DB"/>
    <w:rsid w:val="009D3239"/>
    <w:rsid w:val="009D5A68"/>
    <w:rsid w:val="009D62BA"/>
    <w:rsid w:val="009D7041"/>
    <w:rsid w:val="009D7354"/>
    <w:rsid w:val="009E101B"/>
    <w:rsid w:val="009E1EAA"/>
    <w:rsid w:val="009E2D91"/>
    <w:rsid w:val="009E31C5"/>
    <w:rsid w:val="009E3D0C"/>
    <w:rsid w:val="009E4205"/>
    <w:rsid w:val="009E46E8"/>
    <w:rsid w:val="009E4CB4"/>
    <w:rsid w:val="009E56DA"/>
    <w:rsid w:val="009E5D28"/>
    <w:rsid w:val="009E7626"/>
    <w:rsid w:val="009F1306"/>
    <w:rsid w:val="009F16C0"/>
    <w:rsid w:val="009F4432"/>
    <w:rsid w:val="009F6053"/>
    <w:rsid w:val="009F68DF"/>
    <w:rsid w:val="00A00D91"/>
    <w:rsid w:val="00A00FB7"/>
    <w:rsid w:val="00A01BF2"/>
    <w:rsid w:val="00A01D63"/>
    <w:rsid w:val="00A036BA"/>
    <w:rsid w:val="00A03C42"/>
    <w:rsid w:val="00A04DC7"/>
    <w:rsid w:val="00A06B11"/>
    <w:rsid w:val="00A07782"/>
    <w:rsid w:val="00A07789"/>
    <w:rsid w:val="00A10584"/>
    <w:rsid w:val="00A117D3"/>
    <w:rsid w:val="00A12242"/>
    <w:rsid w:val="00A1401C"/>
    <w:rsid w:val="00A16EA1"/>
    <w:rsid w:val="00A17CC0"/>
    <w:rsid w:val="00A2208A"/>
    <w:rsid w:val="00A2219F"/>
    <w:rsid w:val="00A22B3C"/>
    <w:rsid w:val="00A22F5D"/>
    <w:rsid w:val="00A23B3D"/>
    <w:rsid w:val="00A247A1"/>
    <w:rsid w:val="00A25012"/>
    <w:rsid w:val="00A25EE2"/>
    <w:rsid w:val="00A2624C"/>
    <w:rsid w:val="00A30C8B"/>
    <w:rsid w:val="00A31A99"/>
    <w:rsid w:val="00A329CB"/>
    <w:rsid w:val="00A34EAE"/>
    <w:rsid w:val="00A36370"/>
    <w:rsid w:val="00A36BB2"/>
    <w:rsid w:val="00A37747"/>
    <w:rsid w:val="00A40ABE"/>
    <w:rsid w:val="00A413C5"/>
    <w:rsid w:val="00A413FB"/>
    <w:rsid w:val="00A4276D"/>
    <w:rsid w:val="00A427A0"/>
    <w:rsid w:val="00A4352A"/>
    <w:rsid w:val="00A4353A"/>
    <w:rsid w:val="00A4392B"/>
    <w:rsid w:val="00A44ADB"/>
    <w:rsid w:val="00A451EE"/>
    <w:rsid w:val="00A45428"/>
    <w:rsid w:val="00A468FD"/>
    <w:rsid w:val="00A47B0A"/>
    <w:rsid w:val="00A509F3"/>
    <w:rsid w:val="00A50D59"/>
    <w:rsid w:val="00A5281E"/>
    <w:rsid w:val="00A52CF8"/>
    <w:rsid w:val="00A546C5"/>
    <w:rsid w:val="00A55528"/>
    <w:rsid w:val="00A5580B"/>
    <w:rsid w:val="00A5648C"/>
    <w:rsid w:val="00A57797"/>
    <w:rsid w:val="00A57868"/>
    <w:rsid w:val="00A57E14"/>
    <w:rsid w:val="00A62FCE"/>
    <w:rsid w:val="00A63221"/>
    <w:rsid w:val="00A635A9"/>
    <w:rsid w:val="00A63D8B"/>
    <w:rsid w:val="00A64110"/>
    <w:rsid w:val="00A65368"/>
    <w:rsid w:val="00A67163"/>
    <w:rsid w:val="00A70790"/>
    <w:rsid w:val="00A72689"/>
    <w:rsid w:val="00A72F9B"/>
    <w:rsid w:val="00A746F2"/>
    <w:rsid w:val="00A747DD"/>
    <w:rsid w:val="00A752F7"/>
    <w:rsid w:val="00A7549E"/>
    <w:rsid w:val="00A75E4A"/>
    <w:rsid w:val="00A7666C"/>
    <w:rsid w:val="00A76A1E"/>
    <w:rsid w:val="00A7772B"/>
    <w:rsid w:val="00A77F41"/>
    <w:rsid w:val="00A77F74"/>
    <w:rsid w:val="00A81392"/>
    <w:rsid w:val="00A81CF7"/>
    <w:rsid w:val="00A82043"/>
    <w:rsid w:val="00A82249"/>
    <w:rsid w:val="00A842C5"/>
    <w:rsid w:val="00A85CC3"/>
    <w:rsid w:val="00A85DD1"/>
    <w:rsid w:val="00A860CD"/>
    <w:rsid w:val="00A8759C"/>
    <w:rsid w:val="00A87BF2"/>
    <w:rsid w:val="00A87CC6"/>
    <w:rsid w:val="00A913C2"/>
    <w:rsid w:val="00A91530"/>
    <w:rsid w:val="00A928FA"/>
    <w:rsid w:val="00A9350E"/>
    <w:rsid w:val="00A935EB"/>
    <w:rsid w:val="00A947B0"/>
    <w:rsid w:val="00A96EA1"/>
    <w:rsid w:val="00A96F6C"/>
    <w:rsid w:val="00A97FA1"/>
    <w:rsid w:val="00AA029D"/>
    <w:rsid w:val="00AA02A9"/>
    <w:rsid w:val="00AA04C3"/>
    <w:rsid w:val="00AA1D00"/>
    <w:rsid w:val="00AA256C"/>
    <w:rsid w:val="00AA3C33"/>
    <w:rsid w:val="00AA42CF"/>
    <w:rsid w:val="00AA4453"/>
    <w:rsid w:val="00AA465A"/>
    <w:rsid w:val="00AA62C0"/>
    <w:rsid w:val="00AA6D14"/>
    <w:rsid w:val="00AA7B27"/>
    <w:rsid w:val="00AB01B9"/>
    <w:rsid w:val="00AB04A0"/>
    <w:rsid w:val="00AB061E"/>
    <w:rsid w:val="00AB06CA"/>
    <w:rsid w:val="00AB0D69"/>
    <w:rsid w:val="00AB12FA"/>
    <w:rsid w:val="00AB161F"/>
    <w:rsid w:val="00AB21CD"/>
    <w:rsid w:val="00AB25A6"/>
    <w:rsid w:val="00AB3433"/>
    <w:rsid w:val="00AB4C11"/>
    <w:rsid w:val="00AB5004"/>
    <w:rsid w:val="00AB546B"/>
    <w:rsid w:val="00AB610F"/>
    <w:rsid w:val="00AB61BC"/>
    <w:rsid w:val="00AB7992"/>
    <w:rsid w:val="00AB7ECB"/>
    <w:rsid w:val="00AC0A03"/>
    <w:rsid w:val="00AC0F87"/>
    <w:rsid w:val="00AC137C"/>
    <w:rsid w:val="00AC29F5"/>
    <w:rsid w:val="00AC38FA"/>
    <w:rsid w:val="00AC45C5"/>
    <w:rsid w:val="00AC468B"/>
    <w:rsid w:val="00AC4A0B"/>
    <w:rsid w:val="00AC55D7"/>
    <w:rsid w:val="00AD0B86"/>
    <w:rsid w:val="00AD230F"/>
    <w:rsid w:val="00AD2733"/>
    <w:rsid w:val="00AD3A6A"/>
    <w:rsid w:val="00AD3FB5"/>
    <w:rsid w:val="00AD58F2"/>
    <w:rsid w:val="00AD5F36"/>
    <w:rsid w:val="00AD6704"/>
    <w:rsid w:val="00AD6E35"/>
    <w:rsid w:val="00AD707E"/>
    <w:rsid w:val="00AD71FE"/>
    <w:rsid w:val="00AD76E1"/>
    <w:rsid w:val="00AE0ACE"/>
    <w:rsid w:val="00AE11DD"/>
    <w:rsid w:val="00AE1277"/>
    <w:rsid w:val="00AE14AA"/>
    <w:rsid w:val="00AE1661"/>
    <w:rsid w:val="00AE2550"/>
    <w:rsid w:val="00AE2964"/>
    <w:rsid w:val="00AE3124"/>
    <w:rsid w:val="00AE3292"/>
    <w:rsid w:val="00AE3CF3"/>
    <w:rsid w:val="00AE5FF1"/>
    <w:rsid w:val="00AE60EF"/>
    <w:rsid w:val="00AE66DC"/>
    <w:rsid w:val="00AE684F"/>
    <w:rsid w:val="00AE6A18"/>
    <w:rsid w:val="00AE7F5D"/>
    <w:rsid w:val="00AF0702"/>
    <w:rsid w:val="00AF0B15"/>
    <w:rsid w:val="00AF0E34"/>
    <w:rsid w:val="00AF3231"/>
    <w:rsid w:val="00AF3642"/>
    <w:rsid w:val="00AF400F"/>
    <w:rsid w:val="00AF43C1"/>
    <w:rsid w:val="00B0015D"/>
    <w:rsid w:val="00B0032E"/>
    <w:rsid w:val="00B00E56"/>
    <w:rsid w:val="00B0113F"/>
    <w:rsid w:val="00B0165F"/>
    <w:rsid w:val="00B039C9"/>
    <w:rsid w:val="00B053B0"/>
    <w:rsid w:val="00B07182"/>
    <w:rsid w:val="00B0751E"/>
    <w:rsid w:val="00B10BDD"/>
    <w:rsid w:val="00B10BF8"/>
    <w:rsid w:val="00B11A31"/>
    <w:rsid w:val="00B1234E"/>
    <w:rsid w:val="00B136CA"/>
    <w:rsid w:val="00B13969"/>
    <w:rsid w:val="00B13AA7"/>
    <w:rsid w:val="00B16562"/>
    <w:rsid w:val="00B16EE9"/>
    <w:rsid w:val="00B17648"/>
    <w:rsid w:val="00B201D0"/>
    <w:rsid w:val="00B20319"/>
    <w:rsid w:val="00B207F4"/>
    <w:rsid w:val="00B20AF1"/>
    <w:rsid w:val="00B22D56"/>
    <w:rsid w:val="00B2583E"/>
    <w:rsid w:val="00B25DAE"/>
    <w:rsid w:val="00B26414"/>
    <w:rsid w:val="00B26AA6"/>
    <w:rsid w:val="00B26CBD"/>
    <w:rsid w:val="00B31186"/>
    <w:rsid w:val="00B32015"/>
    <w:rsid w:val="00B35C63"/>
    <w:rsid w:val="00B361E8"/>
    <w:rsid w:val="00B36CEA"/>
    <w:rsid w:val="00B36DDE"/>
    <w:rsid w:val="00B37EA3"/>
    <w:rsid w:val="00B420A0"/>
    <w:rsid w:val="00B43921"/>
    <w:rsid w:val="00B443DF"/>
    <w:rsid w:val="00B44BAB"/>
    <w:rsid w:val="00B44F5F"/>
    <w:rsid w:val="00B45AE0"/>
    <w:rsid w:val="00B468CC"/>
    <w:rsid w:val="00B47C23"/>
    <w:rsid w:val="00B5048D"/>
    <w:rsid w:val="00B5149D"/>
    <w:rsid w:val="00B52FA2"/>
    <w:rsid w:val="00B546B7"/>
    <w:rsid w:val="00B54CD7"/>
    <w:rsid w:val="00B55F2C"/>
    <w:rsid w:val="00B56369"/>
    <w:rsid w:val="00B602C1"/>
    <w:rsid w:val="00B60F41"/>
    <w:rsid w:val="00B610AA"/>
    <w:rsid w:val="00B620FD"/>
    <w:rsid w:val="00B63566"/>
    <w:rsid w:val="00B64FFA"/>
    <w:rsid w:val="00B65324"/>
    <w:rsid w:val="00B666A9"/>
    <w:rsid w:val="00B671C9"/>
    <w:rsid w:val="00B718DD"/>
    <w:rsid w:val="00B722CC"/>
    <w:rsid w:val="00B738E9"/>
    <w:rsid w:val="00B744B9"/>
    <w:rsid w:val="00B74AAF"/>
    <w:rsid w:val="00B75D99"/>
    <w:rsid w:val="00B777E0"/>
    <w:rsid w:val="00B778C9"/>
    <w:rsid w:val="00B77E49"/>
    <w:rsid w:val="00B8081E"/>
    <w:rsid w:val="00B8152D"/>
    <w:rsid w:val="00B829D5"/>
    <w:rsid w:val="00B833DC"/>
    <w:rsid w:val="00B85A66"/>
    <w:rsid w:val="00B86519"/>
    <w:rsid w:val="00B870D8"/>
    <w:rsid w:val="00B9147E"/>
    <w:rsid w:val="00B914CD"/>
    <w:rsid w:val="00B92639"/>
    <w:rsid w:val="00B93948"/>
    <w:rsid w:val="00B93C49"/>
    <w:rsid w:val="00B9404F"/>
    <w:rsid w:val="00B947A1"/>
    <w:rsid w:val="00B96EB2"/>
    <w:rsid w:val="00B97672"/>
    <w:rsid w:val="00BA05E5"/>
    <w:rsid w:val="00BA12F5"/>
    <w:rsid w:val="00BA20C9"/>
    <w:rsid w:val="00BA2EC2"/>
    <w:rsid w:val="00BA4A44"/>
    <w:rsid w:val="00BA6EDC"/>
    <w:rsid w:val="00BA7062"/>
    <w:rsid w:val="00BB1780"/>
    <w:rsid w:val="00BB197B"/>
    <w:rsid w:val="00BB1D85"/>
    <w:rsid w:val="00BB3EDF"/>
    <w:rsid w:val="00BB42F0"/>
    <w:rsid w:val="00BB4B39"/>
    <w:rsid w:val="00BB50F6"/>
    <w:rsid w:val="00BB61AD"/>
    <w:rsid w:val="00BC05E4"/>
    <w:rsid w:val="00BC1C8A"/>
    <w:rsid w:val="00BC1D5A"/>
    <w:rsid w:val="00BC2F38"/>
    <w:rsid w:val="00BC2F88"/>
    <w:rsid w:val="00BC3AF6"/>
    <w:rsid w:val="00BC42B0"/>
    <w:rsid w:val="00BC460B"/>
    <w:rsid w:val="00BC58AF"/>
    <w:rsid w:val="00BC7963"/>
    <w:rsid w:val="00BC7F89"/>
    <w:rsid w:val="00BD00F8"/>
    <w:rsid w:val="00BD1BAE"/>
    <w:rsid w:val="00BD22FB"/>
    <w:rsid w:val="00BD2481"/>
    <w:rsid w:val="00BD2843"/>
    <w:rsid w:val="00BD35C8"/>
    <w:rsid w:val="00BD3804"/>
    <w:rsid w:val="00BD4086"/>
    <w:rsid w:val="00BD5547"/>
    <w:rsid w:val="00BE1AAC"/>
    <w:rsid w:val="00BE5F02"/>
    <w:rsid w:val="00BE6B66"/>
    <w:rsid w:val="00BE75A1"/>
    <w:rsid w:val="00BF03D5"/>
    <w:rsid w:val="00BF1481"/>
    <w:rsid w:val="00BF1743"/>
    <w:rsid w:val="00BF21F5"/>
    <w:rsid w:val="00BF32A0"/>
    <w:rsid w:val="00BF4496"/>
    <w:rsid w:val="00BF4944"/>
    <w:rsid w:val="00BF4DD6"/>
    <w:rsid w:val="00BF60DA"/>
    <w:rsid w:val="00BF6228"/>
    <w:rsid w:val="00BF6774"/>
    <w:rsid w:val="00BF67CA"/>
    <w:rsid w:val="00BF6965"/>
    <w:rsid w:val="00C009E4"/>
    <w:rsid w:val="00C015AD"/>
    <w:rsid w:val="00C01D29"/>
    <w:rsid w:val="00C04265"/>
    <w:rsid w:val="00C0495C"/>
    <w:rsid w:val="00C04BCB"/>
    <w:rsid w:val="00C04CDB"/>
    <w:rsid w:val="00C0649E"/>
    <w:rsid w:val="00C06BCD"/>
    <w:rsid w:val="00C07B6E"/>
    <w:rsid w:val="00C111B2"/>
    <w:rsid w:val="00C122B2"/>
    <w:rsid w:val="00C123A2"/>
    <w:rsid w:val="00C123C0"/>
    <w:rsid w:val="00C12653"/>
    <w:rsid w:val="00C12804"/>
    <w:rsid w:val="00C1282E"/>
    <w:rsid w:val="00C1497B"/>
    <w:rsid w:val="00C1505C"/>
    <w:rsid w:val="00C16EC0"/>
    <w:rsid w:val="00C17EEA"/>
    <w:rsid w:val="00C20D50"/>
    <w:rsid w:val="00C213CE"/>
    <w:rsid w:val="00C22710"/>
    <w:rsid w:val="00C22FA4"/>
    <w:rsid w:val="00C23365"/>
    <w:rsid w:val="00C23F7E"/>
    <w:rsid w:val="00C244AB"/>
    <w:rsid w:val="00C2640C"/>
    <w:rsid w:val="00C2672D"/>
    <w:rsid w:val="00C278F7"/>
    <w:rsid w:val="00C30C98"/>
    <w:rsid w:val="00C30D1A"/>
    <w:rsid w:val="00C32132"/>
    <w:rsid w:val="00C32430"/>
    <w:rsid w:val="00C3255F"/>
    <w:rsid w:val="00C327C4"/>
    <w:rsid w:val="00C32BE4"/>
    <w:rsid w:val="00C33844"/>
    <w:rsid w:val="00C35BE8"/>
    <w:rsid w:val="00C37668"/>
    <w:rsid w:val="00C41090"/>
    <w:rsid w:val="00C412CA"/>
    <w:rsid w:val="00C41801"/>
    <w:rsid w:val="00C41AA0"/>
    <w:rsid w:val="00C43275"/>
    <w:rsid w:val="00C448EC"/>
    <w:rsid w:val="00C45A0F"/>
    <w:rsid w:val="00C47F13"/>
    <w:rsid w:val="00C50AC1"/>
    <w:rsid w:val="00C511E7"/>
    <w:rsid w:val="00C5159C"/>
    <w:rsid w:val="00C5296E"/>
    <w:rsid w:val="00C5439C"/>
    <w:rsid w:val="00C54EA2"/>
    <w:rsid w:val="00C5584B"/>
    <w:rsid w:val="00C55BF5"/>
    <w:rsid w:val="00C56CD6"/>
    <w:rsid w:val="00C61C40"/>
    <w:rsid w:val="00C6309A"/>
    <w:rsid w:val="00C64AC5"/>
    <w:rsid w:val="00C65C56"/>
    <w:rsid w:val="00C66755"/>
    <w:rsid w:val="00C670D9"/>
    <w:rsid w:val="00C70C4B"/>
    <w:rsid w:val="00C70D2C"/>
    <w:rsid w:val="00C72F72"/>
    <w:rsid w:val="00C751A4"/>
    <w:rsid w:val="00C76670"/>
    <w:rsid w:val="00C76EEC"/>
    <w:rsid w:val="00C77182"/>
    <w:rsid w:val="00C8009F"/>
    <w:rsid w:val="00C810FD"/>
    <w:rsid w:val="00C822E7"/>
    <w:rsid w:val="00C8366B"/>
    <w:rsid w:val="00C84F89"/>
    <w:rsid w:val="00C852F6"/>
    <w:rsid w:val="00C85BB9"/>
    <w:rsid w:val="00C85C56"/>
    <w:rsid w:val="00C90E90"/>
    <w:rsid w:val="00C917EA"/>
    <w:rsid w:val="00C918C5"/>
    <w:rsid w:val="00C92A6C"/>
    <w:rsid w:val="00C94176"/>
    <w:rsid w:val="00C94439"/>
    <w:rsid w:val="00C94508"/>
    <w:rsid w:val="00C95A40"/>
    <w:rsid w:val="00C967E9"/>
    <w:rsid w:val="00C96F9F"/>
    <w:rsid w:val="00CA054F"/>
    <w:rsid w:val="00CA08BF"/>
    <w:rsid w:val="00CA10C6"/>
    <w:rsid w:val="00CA4AAB"/>
    <w:rsid w:val="00CA5CAA"/>
    <w:rsid w:val="00CA5FD8"/>
    <w:rsid w:val="00CA60C0"/>
    <w:rsid w:val="00CA65C9"/>
    <w:rsid w:val="00CA70D3"/>
    <w:rsid w:val="00CA7BED"/>
    <w:rsid w:val="00CA7E09"/>
    <w:rsid w:val="00CA7F2B"/>
    <w:rsid w:val="00CB022D"/>
    <w:rsid w:val="00CB02BC"/>
    <w:rsid w:val="00CB2FB1"/>
    <w:rsid w:val="00CB3E2F"/>
    <w:rsid w:val="00CB434D"/>
    <w:rsid w:val="00CB5105"/>
    <w:rsid w:val="00CB5A57"/>
    <w:rsid w:val="00CB62AD"/>
    <w:rsid w:val="00CB7B92"/>
    <w:rsid w:val="00CB7FF1"/>
    <w:rsid w:val="00CB7FF4"/>
    <w:rsid w:val="00CC0BC5"/>
    <w:rsid w:val="00CC1D69"/>
    <w:rsid w:val="00CC1D9E"/>
    <w:rsid w:val="00CC2F21"/>
    <w:rsid w:val="00CC3032"/>
    <w:rsid w:val="00CC37CC"/>
    <w:rsid w:val="00CC3922"/>
    <w:rsid w:val="00CC3AC9"/>
    <w:rsid w:val="00CC443F"/>
    <w:rsid w:val="00CC4B48"/>
    <w:rsid w:val="00CC4E55"/>
    <w:rsid w:val="00CC4E7A"/>
    <w:rsid w:val="00CC51D7"/>
    <w:rsid w:val="00CC57DA"/>
    <w:rsid w:val="00CC69A5"/>
    <w:rsid w:val="00CD38DB"/>
    <w:rsid w:val="00CD3988"/>
    <w:rsid w:val="00CD3A73"/>
    <w:rsid w:val="00CD3B3E"/>
    <w:rsid w:val="00CD4B0A"/>
    <w:rsid w:val="00CD6356"/>
    <w:rsid w:val="00CD63E7"/>
    <w:rsid w:val="00CD7174"/>
    <w:rsid w:val="00CD7AD5"/>
    <w:rsid w:val="00CE1C25"/>
    <w:rsid w:val="00CE3EB9"/>
    <w:rsid w:val="00CE3EE8"/>
    <w:rsid w:val="00CE4016"/>
    <w:rsid w:val="00CE45E3"/>
    <w:rsid w:val="00CE65A3"/>
    <w:rsid w:val="00CE6E8D"/>
    <w:rsid w:val="00CE723B"/>
    <w:rsid w:val="00CE74DD"/>
    <w:rsid w:val="00CE7617"/>
    <w:rsid w:val="00CF0F82"/>
    <w:rsid w:val="00CF2037"/>
    <w:rsid w:val="00CF3BA3"/>
    <w:rsid w:val="00CF570F"/>
    <w:rsid w:val="00CF73F8"/>
    <w:rsid w:val="00CF7958"/>
    <w:rsid w:val="00D001BE"/>
    <w:rsid w:val="00D0181D"/>
    <w:rsid w:val="00D01A80"/>
    <w:rsid w:val="00D01AC6"/>
    <w:rsid w:val="00D03CA3"/>
    <w:rsid w:val="00D05765"/>
    <w:rsid w:val="00D05CB9"/>
    <w:rsid w:val="00D12937"/>
    <w:rsid w:val="00D1332E"/>
    <w:rsid w:val="00D1350A"/>
    <w:rsid w:val="00D13CEE"/>
    <w:rsid w:val="00D14A33"/>
    <w:rsid w:val="00D14CBC"/>
    <w:rsid w:val="00D155E6"/>
    <w:rsid w:val="00D15929"/>
    <w:rsid w:val="00D200BF"/>
    <w:rsid w:val="00D201C1"/>
    <w:rsid w:val="00D2158B"/>
    <w:rsid w:val="00D21D83"/>
    <w:rsid w:val="00D22956"/>
    <w:rsid w:val="00D22EF6"/>
    <w:rsid w:val="00D241E1"/>
    <w:rsid w:val="00D24E50"/>
    <w:rsid w:val="00D24EB2"/>
    <w:rsid w:val="00D25915"/>
    <w:rsid w:val="00D3102F"/>
    <w:rsid w:val="00D3106B"/>
    <w:rsid w:val="00D32886"/>
    <w:rsid w:val="00D333FE"/>
    <w:rsid w:val="00D35633"/>
    <w:rsid w:val="00D3663D"/>
    <w:rsid w:val="00D36851"/>
    <w:rsid w:val="00D3740D"/>
    <w:rsid w:val="00D3758E"/>
    <w:rsid w:val="00D378C4"/>
    <w:rsid w:val="00D41E99"/>
    <w:rsid w:val="00D42496"/>
    <w:rsid w:val="00D42A4F"/>
    <w:rsid w:val="00D42E93"/>
    <w:rsid w:val="00D441B6"/>
    <w:rsid w:val="00D45C4C"/>
    <w:rsid w:val="00D4699C"/>
    <w:rsid w:val="00D47AD1"/>
    <w:rsid w:val="00D518DB"/>
    <w:rsid w:val="00D52C75"/>
    <w:rsid w:val="00D550D2"/>
    <w:rsid w:val="00D567E8"/>
    <w:rsid w:val="00D56D4B"/>
    <w:rsid w:val="00D5723E"/>
    <w:rsid w:val="00D57A5A"/>
    <w:rsid w:val="00D60AC5"/>
    <w:rsid w:val="00D617E0"/>
    <w:rsid w:val="00D6185A"/>
    <w:rsid w:val="00D61BB5"/>
    <w:rsid w:val="00D61BF7"/>
    <w:rsid w:val="00D61F91"/>
    <w:rsid w:val="00D62CB8"/>
    <w:rsid w:val="00D63885"/>
    <w:rsid w:val="00D65D9E"/>
    <w:rsid w:val="00D6749F"/>
    <w:rsid w:val="00D706D2"/>
    <w:rsid w:val="00D71366"/>
    <w:rsid w:val="00D715F5"/>
    <w:rsid w:val="00D7186F"/>
    <w:rsid w:val="00D7340B"/>
    <w:rsid w:val="00D73BBE"/>
    <w:rsid w:val="00D740C7"/>
    <w:rsid w:val="00D748A8"/>
    <w:rsid w:val="00D74CA4"/>
    <w:rsid w:val="00D74EB7"/>
    <w:rsid w:val="00D8014E"/>
    <w:rsid w:val="00D8064B"/>
    <w:rsid w:val="00D80E03"/>
    <w:rsid w:val="00D81CAD"/>
    <w:rsid w:val="00D81F72"/>
    <w:rsid w:val="00D82815"/>
    <w:rsid w:val="00D82CCF"/>
    <w:rsid w:val="00D8405C"/>
    <w:rsid w:val="00D86480"/>
    <w:rsid w:val="00D874E5"/>
    <w:rsid w:val="00D87642"/>
    <w:rsid w:val="00D9005B"/>
    <w:rsid w:val="00D9029A"/>
    <w:rsid w:val="00D90EC2"/>
    <w:rsid w:val="00D92616"/>
    <w:rsid w:val="00D926A1"/>
    <w:rsid w:val="00D9297B"/>
    <w:rsid w:val="00D929E4"/>
    <w:rsid w:val="00D93F50"/>
    <w:rsid w:val="00D9434E"/>
    <w:rsid w:val="00D966E4"/>
    <w:rsid w:val="00D97047"/>
    <w:rsid w:val="00D975CF"/>
    <w:rsid w:val="00DA1075"/>
    <w:rsid w:val="00DA19EF"/>
    <w:rsid w:val="00DA1C6B"/>
    <w:rsid w:val="00DA21A4"/>
    <w:rsid w:val="00DA3782"/>
    <w:rsid w:val="00DA4157"/>
    <w:rsid w:val="00DA561A"/>
    <w:rsid w:val="00DA5DB0"/>
    <w:rsid w:val="00DA5F22"/>
    <w:rsid w:val="00DA67E4"/>
    <w:rsid w:val="00DA6AA5"/>
    <w:rsid w:val="00DA6B1A"/>
    <w:rsid w:val="00DA6D90"/>
    <w:rsid w:val="00DB1D53"/>
    <w:rsid w:val="00DB26FB"/>
    <w:rsid w:val="00DB33E8"/>
    <w:rsid w:val="00DB34C2"/>
    <w:rsid w:val="00DB45F4"/>
    <w:rsid w:val="00DB4B60"/>
    <w:rsid w:val="00DB7A80"/>
    <w:rsid w:val="00DC053B"/>
    <w:rsid w:val="00DC1803"/>
    <w:rsid w:val="00DC212F"/>
    <w:rsid w:val="00DC24B1"/>
    <w:rsid w:val="00DC2A7E"/>
    <w:rsid w:val="00DC38CE"/>
    <w:rsid w:val="00DC3B5F"/>
    <w:rsid w:val="00DC4A30"/>
    <w:rsid w:val="00DC5733"/>
    <w:rsid w:val="00DC6AEF"/>
    <w:rsid w:val="00DD1E80"/>
    <w:rsid w:val="00DD44EC"/>
    <w:rsid w:val="00DD4ED3"/>
    <w:rsid w:val="00DD595D"/>
    <w:rsid w:val="00DD5ADC"/>
    <w:rsid w:val="00DE0539"/>
    <w:rsid w:val="00DE2633"/>
    <w:rsid w:val="00DE3D65"/>
    <w:rsid w:val="00DE57CA"/>
    <w:rsid w:val="00DF246D"/>
    <w:rsid w:val="00DF3B7E"/>
    <w:rsid w:val="00DF5B1F"/>
    <w:rsid w:val="00E0025E"/>
    <w:rsid w:val="00E005B5"/>
    <w:rsid w:val="00E00DDF"/>
    <w:rsid w:val="00E04561"/>
    <w:rsid w:val="00E04889"/>
    <w:rsid w:val="00E04FC3"/>
    <w:rsid w:val="00E05A2E"/>
    <w:rsid w:val="00E05E6B"/>
    <w:rsid w:val="00E06256"/>
    <w:rsid w:val="00E07001"/>
    <w:rsid w:val="00E0745A"/>
    <w:rsid w:val="00E07A72"/>
    <w:rsid w:val="00E101EE"/>
    <w:rsid w:val="00E12161"/>
    <w:rsid w:val="00E137D5"/>
    <w:rsid w:val="00E14577"/>
    <w:rsid w:val="00E14982"/>
    <w:rsid w:val="00E151F3"/>
    <w:rsid w:val="00E15687"/>
    <w:rsid w:val="00E15CA4"/>
    <w:rsid w:val="00E168F5"/>
    <w:rsid w:val="00E16BC6"/>
    <w:rsid w:val="00E1744B"/>
    <w:rsid w:val="00E200C3"/>
    <w:rsid w:val="00E21ABF"/>
    <w:rsid w:val="00E24FD4"/>
    <w:rsid w:val="00E25DDB"/>
    <w:rsid w:val="00E26E9D"/>
    <w:rsid w:val="00E27749"/>
    <w:rsid w:val="00E27F81"/>
    <w:rsid w:val="00E310C9"/>
    <w:rsid w:val="00E32459"/>
    <w:rsid w:val="00E32E9D"/>
    <w:rsid w:val="00E3308C"/>
    <w:rsid w:val="00E33229"/>
    <w:rsid w:val="00E33890"/>
    <w:rsid w:val="00E33CA3"/>
    <w:rsid w:val="00E33E3D"/>
    <w:rsid w:val="00E340D6"/>
    <w:rsid w:val="00E35394"/>
    <w:rsid w:val="00E35B2B"/>
    <w:rsid w:val="00E3742A"/>
    <w:rsid w:val="00E37DA1"/>
    <w:rsid w:val="00E402B9"/>
    <w:rsid w:val="00E4105E"/>
    <w:rsid w:val="00E414E1"/>
    <w:rsid w:val="00E429C9"/>
    <w:rsid w:val="00E43778"/>
    <w:rsid w:val="00E438C6"/>
    <w:rsid w:val="00E451DA"/>
    <w:rsid w:val="00E46A8F"/>
    <w:rsid w:val="00E4742F"/>
    <w:rsid w:val="00E47FE4"/>
    <w:rsid w:val="00E502CD"/>
    <w:rsid w:val="00E5218A"/>
    <w:rsid w:val="00E532A4"/>
    <w:rsid w:val="00E54861"/>
    <w:rsid w:val="00E559FA"/>
    <w:rsid w:val="00E55A20"/>
    <w:rsid w:val="00E6133D"/>
    <w:rsid w:val="00E62BBB"/>
    <w:rsid w:val="00E64F9C"/>
    <w:rsid w:val="00E66294"/>
    <w:rsid w:val="00E666CB"/>
    <w:rsid w:val="00E666F0"/>
    <w:rsid w:val="00E6779A"/>
    <w:rsid w:val="00E701AF"/>
    <w:rsid w:val="00E71805"/>
    <w:rsid w:val="00E737D7"/>
    <w:rsid w:val="00E744E5"/>
    <w:rsid w:val="00E764F1"/>
    <w:rsid w:val="00E81D53"/>
    <w:rsid w:val="00E834C4"/>
    <w:rsid w:val="00E837B9"/>
    <w:rsid w:val="00E83DD0"/>
    <w:rsid w:val="00E845AE"/>
    <w:rsid w:val="00E84CEB"/>
    <w:rsid w:val="00E86321"/>
    <w:rsid w:val="00E86D0F"/>
    <w:rsid w:val="00E86F11"/>
    <w:rsid w:val="00E8767D"/>
    <w:rsid w:val="00E87870"/>
    <w:rsid w:val="00E90912"/>
    <w:rsid w:val="00E91B41"/>
    <w:rsid w:val="00E91BA7"/>
    <w:rsid w:val="00E920F6"/>
    <w:rsid w:val="00E9362B"/>
    <w:rsid w:val="00E939E0"/>
    <w:rsid w:val="00E93A75"/>
    <w:rsid w:val="00E93D5A"/>
    <w:rsid w:val="00E94961"/>
    <w:rsid w:val="00E95FEB"/>
    <w:rsid w:val="00E966A4"/>
    <w:rsid w:val="00EA2457"/>
    <w:rsid w:val="00EA2C56"/>
    <w:rsid w:val="00EA30A5"/>
    <w:rsid w:val="00EA3594"/>
    <w:rsid w:val="00EA37DF"/>
    <w:rsid w:val="00EA400D"/>
    <w:rsid w:val="00EA5885"/>
    <w:rsid w:val="00EA5E98"/>
    <w:rsid w:val="00EA674A"/>
    <w:rsid w:val="00EA7DC2"/>
    <w:rsid w:val="00EB021B"/>
    <w:rsid w:val="00EB2A82"/>
    <w:rsid w:val="00EB3C48"/>
    <w:rsid w:val="00EB3F1E"/>
    <w:rsid w:val="00EB41D9"/>
    <w:rsid w:val="00EB5C72"/>
    <w:rsid w:val="00EB7D04"/>
    <w:rsid w:val="00EC147A"/>
    <w:rsid w:val="00EC2DF6"/>
    <w:rsid w:val="00EC4C20"/>
    <w:rsid w:val="00EC63A2"/>
    <w:rsid w:val="00ED15DF"/>
    <w:rsid w:val="00ED2097"/>
    <w:rsid w:val="00ED2B92"/>
    <w:rsid w:val="00ED3413"/>
    <w:rsid w:val="00ED4869"/>
    <w:rsid w:val="00ED50FA"/>
    <w:rsid w:val="00ED52DC"/>
    <w:rsid w:val="00ED5CAF"/>
    <w:rsid w:val="00ED69A2"/>
    <w:rsid w:val="00ED7A62"/>
    <w:rsid w:val="00EE0458"/>
    <w:rsid w:val="00EE0728"/>
    <w:rsid w:val="00EE121A"/>
    <w:rsid w:val="00EE121B"/>
    <w:rsid w:val="00EE237D"/>
    <w:rsid w:val="00EE287D"/>
    <w:rsid w:val="00EE2B4E"/>
    <w:rsid w:val="00EE3162"/>
    <w:rsid w:val="00EE38AF"/>
    <w:rsid w:val="00EE4CD2"/>
    <w:rsid w:val="00EE7396"/>
    <w:rsid w:val="00EF0F26"/>
    <w:rsid w:val="00EF161E"/>
    <w:rsid w:val="00EF2E54"/>
    <w:rsid w:val="00EF41EC"/>
    <w:rsid w:val="00EF48DF"/>
    <w:rsid w:val="00EF4F40"/>
    <w:rsid w:val="00EF5172"/>
    <w:rsid w:val="00EF5E9D"/>
    <w:rsid w:val="00EF666F"/>
    <w:rsid w:val="00EF72E2"/>
    <w:rsid w:val="00EF7902"/>
    <w:rsid w:val="00EF7BAB"/>
    <w:rsid w:val="00F00B34"/>
    <w:rsid w:val="00F00DCA"/>
    <w:rsid w:val="00F01B5A"/>
    <w:rsid w:val="00F04E28"/>
    <w:rsid w:val="00F0516D"/>
    <w:rsid w:val="00F052E3"/>
    <w:rsid w:val="00F06AF8"/>
    <w:rsid w:val="00F06FBB"/>
    <w:rsid w:val="00F07E4B"/>
    <w:rsid w:val="00F107EC"/>
    <w:rsid w:val="00F11293"/>
    <w:rsid w:val="00F11D2A"/>
    <w:rsid w:val="00F123D7"/>
    <w:rsid w:val="00F162B5"/>
    <w:rsid w:val="00F17D2E"/>
    <w:rsid w:val="00F20158"/>
    <w:rsid w:val="00F20F2D"/>
    <w:rsid w:val="00F21322"/>
    <w:rsid w:val="00F22CB0"/>
    <w:rsid w:val="00F22E43"/>
    <w:rsid w:val="00F24B6B"/>
    <w:rsid w:val="00F253B8"/>
    <w:rsid w:val="00F27214"/>
    <w:rsid w:val="00F3202F"/>
    <w:rsid w:val="00F3264E"/>
    <w:rsid w:val="00F32835"/>
    <w:rsid w:val="00F32961"/>
    <w:rsid w:val="00F34A1F"/>
    <w:rsid w:val="00F34C82"/>
    <w:rsid w:val="00F36C69"/>
    <w:rsid w:val="00F36E20"/>
    <w:rsid w:val="00F37340"/>
    <w:rsid w:val="00F37670"/>
    <w:rsid w:val="00F4001A"/>
    <w:rsid w:val="00F42379"/>
    <w:rsid w:val="00F429CA"/>
    <w:rsid w:val="00F42BC9"/>
    <w:rsid w:val="00F43360"/>
    <w:rsid w:val="00F43420"/>
    <w:rsid w:val="00F43AA5"/>
    <w:rsid w:val="00F43F67"/>
    <w:rsid w:val="00F44091"/>
    <w:rsid w:val="00F4442D"/>
    <w:rsid w:val="00F446F2"/>
    <w:rsid w:val="00F454AF"/>
    <w:rsid w:val="00F45E6E"/>
    <w:rsid w:val="00F4637D"/>
    <w:rsid w:val="00F47043"/>
    <w:rsid w:val="00F47275"/>
    <w:rsid w:val="00F47AAB"/>
    <w:rsid w:val="00F47DDC"/>
    <w:rsid w:val="00F51278"/>
    <w:rsid w:val="00F52174"/>
    <w:rsid w:val="00F5412F"/>
    <w:rsid w:val="00F60DAD"/>
    <w:rsid w:val="00F62740"/>
    <w:rsid w:val="00F649EE"/>
    <w:rsid w:val="00F652BD"/>
    <w:rsid w:val="00F66300"/>
    <w:rsid w:val="00F667B3"/>
    <w:rsid w:val="00F70A0F"/>
    <w:rsid w:val="00F72738"/>
    <w:rsid w:val="00F73396"/>
    <w:rsid w:val="00F76844"/>
    <w:rsid w:val="00F7738A"/>
    <w:rsid w:val="00F77960"/>
    <w:rsid w:val="00F80633"/>
    <w:rsid w:val="00F8165D"/>
    <w:rsid w:val="00F81DA9"/>
    <w:rsid w:val="00F8386F"/>
    <w:rsid w:val="00F8518C"/>
    <w:rsid w:val="00F85CD0"/>
    <w:rsid w:val="00F86155"/>
    <w:rsid w:val="00F862FD"/>
    <w:rsid w:val="00F86305"/>
    <w:rsid w:val="00F903B1"/>
    <w:rsid w:val="00F90C4D"/>
    <w:rsid w:val="00F9166C"/>
    <w:rsid w:val="00F91AAD"/>
    <w:rsid w:val="00F9211C"/>
    <w:rsid w:val="00F92F38"/>
    <w:rsid w:val="00F94E34"/>
    <w:rsid w:val="00F95CBD"/>
    <w:rsid w:val="00F961D3"/>
    <w:rsid w:val="00F9717B"/>
    <w:rsid w:val="00FA0BF0"/>
    <w:rsid w:val="00FA1131"/>
    <w:rsid w:val="00FA1515"/>
    <w:rsid w:val="00FA1A22"/>
    <w:rsid w:val="00FA1E11"/>
    <w:rsid w:val="00FA3882"/>
    <w:rsid w:val="00FA38FC"/>
    <w:rsid w:val="00FA4A6A"/>
    <w:rsid w:val="00FA735B"/>
    <w:rsid w:val="00FA74B2"/>
    <w:rsid w:val="00FB07E8"/>
    <w:rsid w:val="00FB1519"/>
    <w:rsid w:val="00FB15B7"/>
    <w:rsid w:val="00FB15CB"/>
    <w:rsid w:val="00FB1DDF"/>
    <w:rsid w:val="00FB2151"/>
    <w:rsid w:val="00FB3A36"/>
    <w:rsid w:val="00FB4219"/>
    <w:rsid w:val="00FB5400"/>
    <w:rsid w:val="00FB74BD"/>
    <w:rsid w:val="00FB75BC"/>
    <w:rsid w:val="00FB7DBF"/>
    <w:rsid w:val="00FB7FC3"/>
    <w:rsid w:val="00FC02D2"/>
    <w:rsid w:val="00FC057E"/>
    <w:rsid w:val="00FC0C7F"/>
    <w:rsid w:val="00FC103A"/>
    <w:rsid w:val="00FC185C"/>
    <w:rsid w:val="00FC2D12"/>
    <w:rsid w:val="00FC572B"/>
    <w:rsid w:val="00FC59B1"/>
    <w:rsid w:val="00FC5CA2"/>
    <w:rsid w:val="00FC6C48"/>
    <w:rsid w:val="00FC6C64"/>
    <w:rsid w:val="00FC6C8A"/>
    <w:rsid w:val="00FC6F0A"/>
    <w:rsid w:val="00FC7D2F"/>
    <w:rsid w:val="00FD0403"/>
    <w:rsid w:val="00FD0FC2"/>
    <w:rsid w:val="00FD14F4"/>
    <w:rsid w:val="00FD2980"/>
    <w:rsid w:val="00FD2ACE"/>
    <w:rsid w:val="00FD30F5"/>
    <w:rsid w:val="00FD47D1"/>
    <w:rsid w:val="00FD4A9B"/>
    <w:rsid w:val="00FD5C21"/>
    <w:rsid w:val="00FD6578"/>
    <w:rsid w:val="00FD710B"/>
    <w:rsid w:val="00FD7A53"/>
    <w:rsid w:val="00FE0224"/>
    <w:rsid w:val="00FE0262"/>
    <w:rsid w:val="00FE0602"/>
    <w:rsid w:val="00FE0930"/>
    <w:rsid w:val="00FE1208"/>
    <w:rsid w:val="00FE22D8"/>
    <w:rsid w:val="00FE40B6"/>
    <w:rsid w:val="00FE4F08"/>
    <w:rsid w:val="00FE515A"/>
    <w:rsid w:val="00FE5393"/>
    <w:rsid w:val="00FE5FC0"/>
    <w:rsid w:val="00FF10D7"/>
    <w:rsid w:val="00FF4258"/>
    <w:rsid w:val="00FF429B"/>
    <w:rsid w:val="00FF4341"/>
    <w:rsid w:val="00FF49DF"/>
    <w:rsid w:val="00FF6CCB"/>
    <w:rsid w:val="030C2246"/>
    <w:rsid w:val="0905B165"/>
    <w:rsid w:val="0AA2C639"/>
    <w:rsid w:val="0B0D0B1D"/>
    <w:rsid w:val="0B1EE12F"/>
    <w:rsid w:val="0C60D032"/>
    <w:rsid w:val="0F9753E4"/>
    <w:rsid w:val="10429BC4"/>
    <w:rsid w:val="17B0D084"/>
    <w:rsid w:val="18623B4F"/>
    <w:rsid w:val="1CF95771"/>
    <w:rsid w:val="1F3662EF"/>
    <w:rsid w:val="20E94A87"/>
    <w:rsid w:val="23CECD7F"/>
    <w:rsid w:val="28D6F28E"/>
    <w:rsid w:val="2933A31C"/>
    <w:rsid w:val="478DB6C9"/>
    <w:rsid w:val="48690081"/>
    <w:rsid w:val="4B45FF5A"/>
    <w:rsid w:val="4BD05177"/>
    <w:rsid w:val="54AE73D2"/>
    <w:rsid w:val="55A68E59"/>
    <w:rsid w:val="562DFB1B"/>
    <w:rsid w:val="594ADB53"/>
    <w:rsid w:val="5BC68F52"/>
    <w:rsid w:val="5CE45BD3"/>
    <w:rsid w:val="5E0E021B"/>
    <w:rsid w:val="60BBD3A9"/>
    <w:rsid w:val="616F8853"/>
    <w:rsid w:val="6376710E"/>
    <w:rsid w:val="63C7FF10"/>
    <w:rsid w:val="64D22ADA"/>
    <w:rsid w:val="64EE5556"/>
    <w:rsid w:val="667F21B8"/>
    <w:rsid w:val="6B0F91E3"/>
    <w:rsid w:val="6E503B58"/>
    <w:rsid w:val="6E56F086"/>
    <w:rsid w:val="6EA16ADD"/>
    <w:rsid w:val="6EDFB894"/>
    <w:rsid w:val="7001AE49"/>
    <w:rsid w:val="70F16B59"/>
    <w:rsid w:val="712239D2"/>
    <w:rsid w:val="7AA0DCB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6D501"/>
  <w15:chartTrackingRefBased/>
  <w15:docId w15:val="{F9D68FC9-79A9-6443-81E8-408C38A44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305E"/>
    <w:pPr>
      <w:spacing w:after="200"/>
    </w:pPr>
    <w:rPr>
      <w:sz w:val="22"/>
      <w:szCs w:val="22"/>
      <w:lang w:eastAsia="en-US"/>
    </w:rPr>
  </w:style>
  <w:style w:type="paragraph" w:styleId="Heading4">
    <w:name w:val="heading 4"/>
    <w:basedOn w:val="Normal"/>
    <w:link w:val="Heading4Char"/>
    <w:uiPriority w:val="9"/>
    <w:qFormat/>
    <w:rsid w:val="00CB5105"/>
    <w:pPr>
      <w:spacing w:before="100" w:beforeAutospacing="1" w:after="100" w:afterAutospacing="1"/>
      <w:outlineLvl w:val="3"/>
    </w:pPr>
    <w:rPr>
      <w:rFonts w:ascii="Times New Roman" w:eastAsia="Times New Roman" w:hAnsi="Times New Roman" w:cs="Times New Roman"/>
      <w:b/>
      <w:bCs/>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unhideWhenUsed/>
    <w:rsid w:val="00E6133D"/>
    <w:rPr>
      <w:sz w:val="16"/>
      <w:szCs w:val="16"/>
    </w:rPr>
  </w:style>
  <w:style w:type="paragraph" w:styleId="CommentText">
    <w:name w:val="annotation text"/>
    <w:basedOn w:val="Normal"/>
    <w:link w:val="CommentTextChar"/>
    <w:uiPriority w:val="99"/>
    <w:unhideWhenUsed/>
    <w:rsid w:val="00E6133D"/>
    <w:pPr>
      <w:spacing w:after="0"/>
    </w:pPr>
    <w:rPr>
      <w:rFonts w:ascii="Times New Roman" w:eastAsia="Times New Roman" w:hAnsi="Times New Roman" w:cs="Times New Roman"/>
      <w:sz w:val="20"/>
      <w:szCs w:val="20"/>
    </w:rPr>
  </w:style>
  <w:style w:type="character" w:customStyle="1" w:styleId="CommentTextChar">
    <w:name w:val="Comment Text Char"/>
    <w:link w:val="CommentText"/>
    <w:uiPriority w:val="99"/>
    <w:rsid w:val="00E6133D"/>
    <w:rPr>
      <w:rFonts w:ascii="Times New Roman" w:eastAsia="Times New Roman" w:hAnsi="Times New Roman" w:cs="Times New Roman"/>
      <w:sz w:val="20"/>
      <w:szCs w:val="20"/>
    </w:rPr>
  </w:style>
  <w:style w:type="character" w:styleId="Hyperlink">
    <w:name w:val="Hyperlink"/>
    <w:uiPriority w:val="99"/>
    <w:unhideWhenUsed/>
    <w:rsid w:val="00E6133D"/>
    <w:rPr>
      <w:color w:val="0000FF"/>
      <w:u w:val="single"/>
    </w:rPr>
  </w:style>
  <w:style w:type="paragraph" w:styleId="BalloonText">
    <w:name w:val="Balloon Text"/>
    <w:basedOn w:val="Normal"/>
    <w:link w:val="BalloonTextChar"/>
    <w:uiPriority w:val="99"/>
    <w:semiHidden/>
    <w:unhideWhenUsed/>
    <w:rsid w:val="00E6133D"/>
    <w:pPr>
      <w:spacing w:after="0"/>
    </w:pPr>
    <w:rPr>
      <w:rFonts w:ascii="Segoe UI" w:hAnsi="Segoe UI" w:cs="Segoe UI"/>
      <w:sz w:val="18"/>
      <w:szCs w:val="18"/>
    </w:rPr>
  </w:style>
  <w:style w:type="character" w:customStyle="1" w:styleId="BalloonTextChar">
    <w:name w:val="Balloon Text Char"/>
    <w:link w:val="BalloonText"/>
    <w:uiPriority w:val="99"/>
    <w:semiHidden/>
    <w:rsid w:val="00E6133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133D"/>
    <w:pPr>
      <w:spacing w:after="200"/>
    </w:pPr>
    <w:rPr>
      <w:rFonts w:ascii="Calibri" w:eastAsia="Calibri" w:hAnsi="Calibri" w:cs="Arial"/>
      <w:b/>
      <w:bCs/>
    </w:rPr>
  </w:style>
  <w:style w:type="character" w:customStyle="1" w:styleId="CommentSubjectChar">
    <w:name w:val="Comment Subject Char"/>
    <w:link w:val="CommentSubject"/>
    <w:uiPriority w:val="99"/>
    <w:semiHidden/>
    <w:rsid w:val="00E6133D"/>
    <w:rPr>
      <w:rFonts w:ascii="Times New Roman" w:eastAsia="Times New Roman" w:hAnsi="Times New Roman" w:cs="Times New Roman"/>
      <w:b/>
      <w:bCs/>
      <w:sz w:val="20"/>
      <w:szCs w:val="20"/>
    </w:rPr>
  </w:style>
  <w:style w:type="paragraph" w:customStyle="1" w:styleId="SMcaption">
    <w:name w:val="SM caption"/>
    <w:basedOn w:val="Normal"/>
    <w:qFormat/>
    <w:rsid w:val="00483D1D"/>
    <w:pPr>
      <w:spacing w:after="0"/>
    </w:pPr>
    <w:rPr>
      <w:rFonts w:ascii="Times New Roman" w:eastAsia="Times New Roman" w:hAnsi="Times New Roman" w:cs="Times New Roman"/>
      <w:sz w:val="24"/>
      <w:szCs w:val="20"/>
    </w:rPr>
  </w:style>
  <w:style w:type="paragraph" w:styleId="NormalWeb">
    <w:name w:val="Normal (Web)"/>
    <w:basedOn w:val="Normal"/>
    <w:uiPriority w:val="99"/>
    <w:semiHidden/>
    <w:rsid w:val="00483D1D"/>
    <w:pPr>
      <w:spacing w:after="0"/>
    </w:pPr>
    <w:rPr>
      <w:rFonts w:ascii="Times New Roman" w:eastAsia="Times New Roman" w:hAnsi="Times New Roman" w:cs="Times New Roman"/>
      <w:sz w:val="24"/>
      <w:szCs w:val="24"/>
    </w:rPr>
  </w:style>
  <w:style w:type="character" w:styleId="Emphasis">
    <w:name w:val="Emphasis"/>
    <w:uiPriority w:val="20"/>
    <w:qFormat/>
    <w:rsid w:val="00221AC3"/>
    <w:rPr>
      <w:i/>
      <w:iCs/>
    </w:rPr>
  </w:style>
  <w:style w:type="paragraph" w:styleId="Header">
    <w:name w:val="header"/>
    <w:basedOn w:val="Normal"/>
    <w:link w:val="HeaderChar"/>
    <w:uiPriority w:val="99"/>
    <w:semiHidden/>
    <w:unhideWhenUsed/>
    <w:rsid w:val="00256352"/>
    <w:pPr>
      <w:tabs>
        <w:tab w:val="center" w:pos="4680"/>
        <w:tab w:val="right" w:pos="9360"/>
      </w:tabs>
      <w:spacing w:after="0"/>
    </w:pPr>
  </w:style>
  <w:style w:type="character" w:customStyle="1" w:styleId="HeaderChar">
    <w:name w:val="Header Char"/>
    <w:basedOn w:val="DefaultParagraphFont"/>
    <w:link w:val="Header"/>
    <w:uiPriority w:val="99"/>
    <w:semiHidden/>
    <w:rsid w:val="00256352"/>
  </w:style>
  <w:style w:type="paragraph" w:styleId="Footer">
    <w:name w:val="footer"/>
    <w:basedOn w:val="Normal"/>
    <w:link w:val="FooterChar"/>
    <w:uiPriority w:val="99"/>
    <w:semiHidden/>
    <w:unhideWhenUsed/>
    <w:rsid w:val="00256352"/>
    <w:pPr>
      <w:tabs>
        <w:tab w:val="center" w:pos="4680"/>
        <w:tab w:val="right" w:pos="9360"/>
      </w:tabs>
      <w:spacing w:after="0"/>
    </w:pPr>
  </w:style>
  <w:style w:type="character" w:customStyle="1" w:styleId="FooterChar">
    <w:name w:val="Footer Char"/>
    <w:basedOn w:val="DefaultParagraphFont"/>
    <w:link w:val="Footer"/>
    <w:uiPriority w:val="99"/>
    <w:semiHidden/>
    <w:rsid w:val="00256352"/>
  </w:style>
  <w:style w:type="character" w:customStyle="1" w:styleId="Mention1">
    <w:name w:val="Mention1"/>
    <w:uiPriority w:val="99"/>
    <w:unhideWhenUsed/>
    <w:rsid w:val="002E211E"/>
    <w:rPr>
      <w:color w:val="2B579A"/>
      <w:shd w:val="clear" w:color="auto" w:fill="E6E6E6"/>
    </w:rPr>
  </w:style>
  <w:style w:type="character" w:customStyle="1" w:styleId="UnresolvedMention1">
    <w:name w:val="Unresolved Mention1"/>
    <w:uiPriority w:val="99"/>
    <w:unhideWhenUsed/>
    <w:rsid w:val="002E211E"/>
    <w:rPr>
      <w:color w:val="605E5C"/>
      <w:shd w:val="clear" w:color="auto" w:fill="E1DFDD"/>
    </w:rPr>
  </w:style>
  <w:style w:type="character" w:styleId="FollowedHyperlink">
    <w:name w:val="FollowedHyperlink"/>
    <w:uiPriority w:val="99"/>
    <w:semiHidden/>
    <w:unhideWhenUsed/>
    <w:rsid w:val="005D08C4"/>
    <w:rPr>
      <w:color w:val="800080"/>
      <w:u w:val="single"/>
    </w:rPr>
  </w:style>
  <w:style w:type="paragraph" w:styleId="Revision">
    <w:name w:val="Revision"/>
    <w:hidden/>
    <w:uiPriority w:val="99"/>
    <w:semiHidden/>
    <w:rsid w:val="008265E8"/>
    <w:rPr>
      <w:sz w:val="22"/>
      <w:szCs w:val="22"/>
      <w:lang w:eastAsia="en-US"/>
    </w:rPr>
  </w:style>
  <w:style w:type="character" w:customStyle="1" w:styleId="Heading4Char">
    <w:name w:val="Heading 4 Char"/>
    <w:link w:val="Heading4"/>
    <w:uiPriority w:val="9"/>
    <w:rsid w:val="00CB5105"/>
    <w:rPr>
      <w:rFonts w:ascii="Times New Roman" w:eastAsia="Times New Roman" w:hAnsi="Times New Roman" w:cs="Times New Roman"/>
      <w:b/>
      <w:bCs/>
      <w:sz w:val="24"/>
      <w:szCs w:val="24"/>
      <w:lang w:eastAsia="zh-CN"/>
    </w:rPr>
  </w:style>
  <w:style w:type="character" w:styleId="Strong">
    <w:name w:val="Strong"/>
    <w:uiPriority w:val="22"/>
    <w:qFormat/>
    <w:rsid w:val="00CB5105"/>
    <w:rPr>
      <w:b/>
      <w:bCs/>
    </w:rPr>
  </w:style>
  <w:style w:type="character" w:customStyle="1" w:styleId="apple-converted-space">
    <w:name w:val="apple-converted-space"/>
    <w:basedOn w:val="DefaultParagraphFont"/>
    <w:rsid w:val="00CB5105"/>
  </w:style>
  <w:style w:type="character" w:customStyle="1" w:styleId="id-label">
    <w:name w:val="id-label"/>
    <w:basedOn w:val="DefaultParagraphFont"/>
    <w:rsid w:val="0010597E"/>
  </w:style>
  <w:style w:type="paragraph" w:customStyle="1" w:styleId="paragraph">
    <w:name w:val="paragraph"/>
    <w:basedOn w:val="Normal"/>
    <w:rsid w:val="00EC4C20"/>
    <w:pPr>
      <w:spacing w:before="100" w:beforeAutospacing="1" w:after="100" w:afterAutospacing="1"/>
    </w:pPr>
    <w:rPr>
      <w:rFonts w:ascii="Times New Roman" w:eastAsia="Times New Roman" w:hAnsi="Times New Roman" w:cs="Times New Roman"/>
      <w:sz w:val="24"/>
      <w:szCs w:val="24"/>
      <w:lang w:eastAsia="zh-CN"/>
    </w:rPr>
  </w:style>
  <w:style w:type="character" w:customStyle="1" w:styleId="normaltextrun">
    <w:name w:val="normaltextrun"/>
    <w:basedOn w:val="DefaultParagraphFont"/>
    <w:rsid w:val="00EC4C20"/>
  </w:style>
  <w:style w:type="character" w:customStyle="1" w:styleId="eop">
    <w:name w:val="eop"/>
    <w:basedOn w:val="DefaultParagraphFont"/>
    <w:rsid w:val="00EC4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59759">
      <w:bodyDiv w:val="1"/>
      <w:marLeft w:val="0"/>
      <w:marRight w:val="0"/>
      <w:marTop w:val="0"/>
      <w:marBottom w:val="0"/>
      <w:divBdr>
        <w:top w:val="none" w:sz="0" w:space="0" w:color="auto"/>
        <w:left w:val="none" w:sz="0" w:space="0" w:color="auto"/>
        <w:bottom w:val="none" w:sz="0" w:space="0" w:color="auto"/>
        <w:right w:val="none" w:sz="0" w:space="0" w:color="auto"/>
      </w:divBdr>
    </w:div>
    <w:div w:id="271328809">
      <w:bodyDiv w:val="1"/>
      <w:marLeft w:val="0"/>
      <w:marRight w:val="0"/>
      <w:marTop w:val="0"/>
      <w:marBottom w:val="0"/>
      <w:divBdr>
        <w:top w:val="none" w:sz="0" w:space="0" w:color="auto"/>
        <w:left w:val="none" w:sz="0" w:space="0" w:color="auto"/>
        <w:bottom w:val="none" w:sz="0" w:space="0" w:color="auto"/>
        <w:right w:val="none" w:sz="0" w:space="0" w:color="auto"/>
      </w:divBdr>
    </w:div>
    <w:div w:id="318536665">
      <w:bodyDiv w:val="1"/>
      <w:marLeft w:val="0"/>
      <w:marRight w:val="0"/>
      <w:marTop w:val="0"/>
      <w:marBottom w:val="0"/>
      <w:divBdr>
        <w:top w:val="none" w:sz="0" w:space="0" w:color="auto"/>
        <w:left w:val="none" w:sz="0" w:space="0" w:color="auto"/>
        <w:bottom w:val="none" w:sz="0" w:space="0" w:color="auto"/>
        <w:right w:val="none" w:sz="0" w:space="0" w:color="auto"/>
      </w:divBdr>
    </w:div>
    <w:div w:id="430975994">
      <w:bodyDiv w:val="1"/>
      <w:marLeft w:val="0"/>
      <w:marRight w:val="0"/>
      <w:marTop w:val="0"/>
      <w:marBottom w:val="0"/>
      <w:divBdr>
        <w:top w:val="none" w:sz="0" w:space="0" w:color="auto"/>
        <w:left w:val="none" w:sz="0" w:space="0" w:color="auto"/>
        <w:bottom w:val="none" w:sz="0" w:space="0" w:color="auto"/>
        <w:right w:val="none" w:sz="0" w:space="0" w:color="auto"/>
      </w:divBdr>
    </w:div>
    <w:div w:id="500658887">
      <w:bodyDiv w:val="1"/>
      <w:marLeft w:val="0"/>
      <w:marRight w:val="0"/>
      <w:marTop w:val="0"/>
      <w:marBottom w:val="0"/>
      <w:divBdr>
        <w:top w:val="none" w:sz="0" w:space="0" w:color="auto"/>
        <w:left w:val="none" w:sz="0" w:space="0" w:color="auto"/>
        <w:bottom w:val="none" w:sz="0" w:space="0" w:color="auto"/>
        <w:right w:val="none" w:sz="0" w:space="0" w:color="auto"/>
      </w:divBdr>
    </w:div>
    <w:div w:id="528109390">
      <w:bodyDiv w:val="1"/>
      <w:marLeft w:val="0"/>
      <w:marRight w:val="0"/>
      <w:marTop w:val="0"/>
      <w:marBottom w:val="0"/>
      <w:divBdr>
        <w:top w:val="none" w:sz="0" w:space="0" w:color="auto"/>
        <w:left w:val="none" w:sz="0" w:space="0" w:color="auto"/>
        <w:bottom w:val="none" w:sz="0" w:space="0" w:color="auto"/>
        <w:right w:val="none" w:sz="0" w:space="0" w:color="auto"/>
      </w:divBdr>
    </w:div>
    <w:div w:id="531070197">
      <w:bodyDiv w:val="1"/>
      <w:marLeft w:val="0"/>
      <w:marRight w:val="0"/>
      <w:marTop w:val="0"/>
      <w:marBottom w:val="0"/>
      <w:divBdr>
        <w:top w:val="none" w:sz="0" w:space="0" w:color="auto"/>
        <w:left w:val="none" w:sz="0" w:space="0" w:color="auto"/>
        <w:bottom w:val="none" w:sz="0" w:space="0" w:color="auto"/>
        <w:right w:val="none" w:sz="0" w:space="0" w:color="auto"/>
      </w:divBdr>
    </w:div>
    <w:div w:id="622535990">
      <w:bodyDiv w:val="1"/>
      <w:marLeft w:val="0"/>
      <w:marRight w:val="0"/>
      <w:marTop w:val="0"/>
      <w:marBottom w:val="0"/>
      <w:divBdr>
        <w:top w:val="none" w:sz="0" w:space="0" w:color="auto"/>
        <w:left w:val="none" w:sz="0" w:space="0" w:color="auto"/>
        <w:bottom w:val="none" w:sz="0" w:space="0" w:color="auto"/>
        <w:right w:val="none" w:sz="0" w:space="0" w:color="auto"/>
      </w:divBdr>
    </w:div>
    <w:div w:id="758062463">
      <w:bodyDiv w:val="1"/>
      <w:marLeft w:val="0"/>
      <w:marRight w:val="0"/>
      <w:marTop w:val="0"/>
      <w:marBottom w:val="0"/>
      <w:divBdr>
        <w:top w:val="none" w:sz="0" w:space="0" w:color="auto"/>
        <w:left w:val="none" w:sz="0" w:space="0" w:color="auto"/>
        <w:bottom w:val="none" w:sz="0" w:space="0" w:color="auto"/>
        <w:right w:val="none" w:sz="0" w:space="0" w:color="auto"/>
      </w:divBdr>
    </w:div>
    <w:div w:id="763065118">
      <w:bodyDiv w:val="1"/>
      <w:marLeft w:val="0"/>
      <w:marRight w:val="0"/>
      <w:marTop w:val="0"/>
      <w:marBottom w:val="0"/>
      <w:divBdr>
        <w:top w:val="none" w:sz="0" w:space="0" w:color="auto"/>
        <w:left w:val="none" w:sz="0" w:space="0" w:color="auto"/>
        <w:bottom w:val="none" w:sz="0" w:space="0" w:color="auto"/>
        <w:right w:val="none" w:sz="0" w:space="0" w:color="auto"/>
      </w:divBdr>
      <w:divsChild>
        <w:div w:id="1125150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610991">
              <w:marLeft w:val="0"/>
              <w:marRight w:val="0"/>
              <w:marTop w:val="0"/>
              <w:marBottom w:val="0"/>
              <w:divBdr>
                <w:top w:val="none" w:sz="0" w:space="0" w:color="auto"/>
                <w:left w:val="none" w:sz="0" w:space="0" w:color="auto"/>
                <w:bottom w:val="none" w:sz="0" w:space="0" w:color="auto"/>
                <w:right w:val="none" w:sz="0" w:space="0" w:color="auto"/>
              </w:divBdr>
              <w:divsChild>
                <w:div w:id="564412248">
                  <w:marLeft w:val="0"/>
                  <w:marRight w:val="0"/>
                  <w:marTop w:val="0"/>
                  <w:marBottom w:val="0"/>
                  <w:divBdr>
                    <w:top w:val="none" w:sz="0" w:space="0" w:color="auto"/>
                    <w:left w:val="none" w:sz="0" w:space="0" w:color="auto"/>
                    <w:bottom w:val="none" w:sz="0" w:space="0" w:color="auto"/>
                    <w:right w:val="none" w:sz="0" w:space="0" w:color="auto"/>
                  </w:divBdr>
                  <w:divsChild>
                    <w:div w:id="171612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7297669">
      <w:bodyDiv w:val="1"/>
      <w:marLeft w:val="0"/>
      <w:marRight w:val="0"/>
      <w:marTop w:val="0"/>
      <w:marBottom w:val="0"/>
      <w:divBdr>
        <w:top w:val="none" w:sz="0" w:space="0" w:color="auto"/>
        <w:left w:val="none" w:sz="0" w:space="0" w:color="auto"/>
        <w:bottom w:val="none" w:sz="0" w:space="0" w:color="auto"/>
        <w:right w:val="none" w:sz="0" w:space="0" w:color="auto"/>
      </w:divBdr>
    </w:div>
    <w:div w:id="993146982">
      <w:bodyDiv w:val="1"/>
      <w:marLeft w:val="0"/>
      <w:marRight w:val="0"/>
      <w:marTop w:val="0"/>
      <w:marBottom w:val="0"/>
      <w:divBdr>
        <w:top w:val="none" w:sz="0" w:space="0" w:color="auto"/>
        <w:left w:val="none" w:sz="0" w:space="0" w:color="auto"/>
        <w:bottom w:val="none" w:sz="0" w:space="0" w:color="auto"/>
        <w:right w:val="none" w:sz="0" w:space="0" w:color="auto"/>
      </w:divBdr>
    </w:div>
    <w:div w:id="1047530862">
      <w:bodyDiv w:val="1"/>
      <w:marLeft w:val="0"/>
      <w:marRight w:val="0"/>
      <w:marTop w:val="0"/>
      <w:marBottom w:val="0"/>
      <w:divBdr>
        <w:top w:val="none" w:sz="0" w:space="0" w:color="auto"/>
        <w:left w:val="none" w:sz="0" w:space="0" w:color="auto"/>
        <w:bottom w:val="none" w:sz="0" w:space="0" w:color="auto"/>
        <w:right w:val="none" w:sz="0" w:space="0" w:color="auto"/>
      </w:divBdr>
    </w:div>
    <w:div w:id="1063717357">
      <w:bodyDiv w:val="1"/>
      <w:marLeft w:val="0"/>
      <w:marRight w:val="0"/>
      <w:marTop w:val="0"/>
      <w:marBottom w:val="0"/>
      <w:divBdr>
        <w:top w:val="none" w:sz="0" w:space="0" w:color="auto"/>
        <w:left w:val="none" w:sz="0" w:space="0" w:color="auto"/>
        <w:bottom w:val="none" w:sz="0" w:space="0" w:color="auto"/>
        <w:right w:val="none" w:sz="0" w:space="0" w:color="auto"/>
      </w:divBdr>
    </w:div>
    <w:div w:id="1115100841">
      <w:bodyDiv w:val="1"/>
      <w:marLeft w:val="0"/>
      <w:marRight w:val="0"/>
      <w:marTop w:val="0"/>
      <w:marBottom w:val="0"/>
      <w:divBdr>
        <w:top w:val="none" w:sz="0" w:space="0" w:color="auto"/>
        <w:left w:val="none" w:sz="0" w:space="0" w:color="auto"/>
        <w:bottom w:val="none" w:sz="0" w:space="0" w:color="auto"/>
        <w:right w:val="none" w:sz="0" w:space="0" w:color="auto"/>
      </w:divBdr>
    </w:div>
    <w:div w:id="1150512625">
      <w:bodyDiv w:val="1"/>
      <w:marLeft w:val="0"/>
      <w:marRight w:val="0"/>
      <w:marTop w:val="0"/>
      <w:marBottom w:val="0"/>
      <w:divBdr>
        <w:top w:val="none" w:sz="0" w:space="0" w:color="auto"/>
        <w:left w:val="none" w:sz="0" w:space="0" w:color="auto"/>
        <w:bottom w:val="none" w:sz="0" w:space="0" w:color="auto"/>
        <w:right w:val="none" w:sz="0" w:space="0" w:color="auto"/>
      </w:divBdr>
    </w:div>
    <w:div w:id="1306735178">
      <w:bodyDiv w:val="1"/>
      <w:marLeft w:val="0"/>
      <w:marRight w:val="0"/>
      <w:marTop w:val="0"/>
      <w:marBottom w:val="0"/>
      <w:divBdr>
        <w:top w:val="none" w:sz="0" w:space="0" w:color="auto"/>
        <w:left w:val="none" w:sz="0" w:space="0" w:color="auto"/>
        <w:bottom w:val="none" w:sz="0" w:space="0" w:color="auto"/>
        <w:right w:val="none" w:sz="0" w:space="0" w:color="auto"/>
      </w:divBdr>
    </w:div>
    <w:div w:id="1313172843">
      <w:bodyDiv w:val="1"/>
      <w:marLeft w:val="0"/>
      <w:marRight w:val="0"/>
      <w:marTop w:val="0"/>
      <w:marBottom w:val="0"/>
      <w:divBdr>
        <w:top w:val="none" w:sz="0" w:space="0" w:color="auto"/>
        <w:left w:val="none" w:sz="0" w:space="0" w:color="auto"/>
        <w:bottom w:val="none" w:sz="0" w:space="0" w:color="auto"/>
        <w:right w:val="none" w:sz="0" w:space="0" w:color="auto"/>
      </w:divBdr>
    </w:div>
    <w:div w:id="1355228989">
      <w:bodyDiv w:val="1"/>
      <w:marLeft w:val="0"/>
      <w:marRight w:val="0"/>
      <w:marTop w:val="0"/>
      <w:marBottom w:val="0"/>
      <w:divBdr>
        <w:top w:val="none" w:sz="0" w:space="0" w:color="auto"/>
        <w:left w:val="none" w:sz="0" w:space="0" w:color="auto"/>
        <w:bottom w:val="none" w:sz="0" w:space="0" w:color="auto"/>
        <w:right w:val="none" w:sz="0" w:space="0" w:color="auto"/>
      </w:divBdr>
    </w:div>
    <w:div w:id="1481967536">
      <w:bodyDiv w:val="1"/>
      <w:marLeft w:val="0"/>
      <w:marRight w:val="0"/>
      <w:marTop w:val="0"/>
      <w:marBottom w:val="0"/>
      <w:divBdr>
        <w:top w:val="none" w:sz="0" w:space="0" w:color="auto"/>
        <w:left w:val="none" w:sz="0" w:space="0" w:color="auto"/>
        <w:bottom w:val="none" w:sz="0" w:space="0" w:color="auto"/>
        <w:right w:val="none" w:sz="0" w:space="0" w:color="auto"/>
      </w:divBdr>
    </w:div>
    <w:div w:id="1524517073">
      <w:bodyDiv w:val="1"/>
      <w:marLeft w:val="0"/>
      <w:marRight w:val="0"/>
      <w:marTop w:val="0"/>
      <w:marBottom w:val="0"/>
      <w:divBdr>
        <w:top w:val="none" w:sz="0" w:space="0" w:color="auto"/>
        <w:left w:val="none" w:sz="0" w:space="0" w:color="auto"/>
        <w:bottom w:val="none" w:sz="0" w:space="0" w:color="auto"/>
        <w:right w:val="none" w:sz="0" w:space="0" w:color="auto"/>
      </w:divBdr>
    </w:div>
    <w:div w:id="1580865877">
      <w:bodyDiv w:val="1"/>
      <w:marLeft w:val="0"/>
      <w:marRight w:val="0"/>
      <w:marTop w:val="0"/>
      <w:marBottom w:val="0"/>
      <w:divBdr>
        <w:top w:val="none" w:sz="0" w:space="0" w:color="auto"/>
        <w:left w:val="none" w:sz="0" w:space="0" w:color="auto"/>
        <w:bottom w:val="none" w:sz="0" w:space="0" w:color="auto"/>
        <w:right w:val="none" w:sz="0" w:space="0" w:color="auto"/>
      </w:divBdr>
    </w:div>
    <w:div w:id="1688017695">
      <w:bodyDiv w:val="1"/>
      <w:marLeft w:val="0"/>
      <w:marRight w:val="0"/>
      <w:marTop w:val="0"/>
      <w:marBottom w:val="0"/>
      <w:divBdr>
        <w:top w:val="none" w:sz="0" w:space="0" w:color="auto"/>
        <w:left w:val="none" w:sz="0" w:space="0" w:color="auto"/>
        <w:bottom w:val="none" w:sz="0" w:space="0" w:color="auto"/>
        <w:right w:val="none" w:sz="0" w:space="0" w:color="auto"/>
      </w:divBdr>
    </w:div>
    <w:div w:id="1697198694">
      <w:bodyDiv w:val="1"/>
      <w:marLeft w:val="0"/>
      <w:marRight w:val="0"/>
      <w:marTop w:val="0"/>
      <w:marBottom w:val="0"/>
      <w:divBdr>
        <w:top w:val="none" w:sz="0" w:space="0" w:color="auto"/>
        <w:left w:val="none" w:sz="0" w:space="0" w:color="auto"/>
        <w:bottom w:val="none" w:sz="0" w:space="0" w:color="auto"/>
        <w:right w:val="none" w:sz="0" w:space="0" w:color="auto"/>
      </w:divBdr>
    </w:div>
    <w:div w:id="1698385187">
      <w:bodyDiv w:val="1"/>
      <w:marLeft w:val="0"/>
      <w:marRight w:val="0"/>
      <w:marTop w:val="0"/>
      <w:marBottom w:val="0"/>
      <w:divBdr>
        <w:top w:val="none" w:sz="0" w:space="0" w:color="auto"/>
        <w:left w:val="none" w:sz="0" w:space="0" w:color="auto"/>
        <w:bottom w:val="none" w:sz="0" w:space="0" w:color="auto"/>
        <w:right w:val="none" w:sz="0" w:space="0" w:color="auto"/>
      </w:divBdr>
    </w:div>
    <w:div w:id="1724480484">
      <w:bodyDiv w:val="1"/>
      <w:marLeft w:val="0"/>
      <w:marRight w:val="0"/>
      <w:marTop w:val="0"/>
      <w:marBottom w:val="0"/>
      <w:divBdr>
        <w:top w:val="none" w:sz="0" w:space="0" w:color="auto"/>
        <w:left w:val="none" w:sz="0" w:space="0" w:color="auto"/>
        <w:bottom w:val="none" w:sz="0" w:space="0" w:color="auto"/>
        <w:right w:val="none" w:sz="0" w:space="0" w:color="auto"/>
      </w:divBdr>
    </w:div>
    <w:div w:id="1761413889">
      <w:bodyDiv w:val="1"/>
      <w:marLeft w:val="0"/>
      <w:marRight w:val="0"/>
      <w:marTop w:val="0"/>
      <w:marBottom w:val="0"/>
      <w:divBdr>
        <w:top w:val="none" w:sz="0" w:space="0" w:color="auto"/>
        <w:left w:val="none" w:sz="0" w:space="0" w:color="auto"/>
        <w:bottom w:val="none" w:sz="0" w:space="0" w:color="auto"/>
        <w:right w:val="none" w:sz="0" w:space="0" w:color="auto"/>
      </w:divBdr>
    </w:div>
    <w:div w:id="1884294198">
      <w:bodyDiv w:val="1"/>
      <w:marLeft w:val="0"/>
      <w:marRight w:val="0"/>
      <w:marTop w:val="0"/>
      <w:marBottom w:val="0"/>
      <w:divBdr>
        <w:top w:val="none" w:sz="0" w:space="0" w:color="auto"/>
        <w:left w:val="none" w:sz="0" w:space="0" w:color="auto"/>
        <w:bottom w:val="none" w:sz="0" w:space="0" w:color="auto"/>
        <w:right w:val="none" w:sz="0" w:space="0" w:color="auto"/>
      </w:divBdr>
    </w:div>
    <w:div w:id="1978679924">
      <w:bodyDiv w:val="1"/>
      <w:marLeft w:val="0"/>
      <w:marRight w:val="0"/>
      <w:marTop w:val="0"/>
      <w:marBottom w:val="0"/>
      <w:divBdr>
        <w:top w:val="none" w:sz="0" w:space="0" w:color="auto"/>
        <w:left w:val="none" w:sz="0" w:space="0" w:color="auto"/>
        <w:bottom w:val="none" w:sz="0" w:space="0" w:color="auto"/>
        <w:right w:val="none" w:sz="0" w:space="0" w:color="auto"/>
      </w:divBdr>
    </w:div>
    <w:div w:id="2042437411">
      <w:bodyDiv w:val="1"/>
      <w:marLeft w:val="0"/>
      <w:marRight w:val="0"/>
      <w:marTop w:val="0"/>
      <w:marBottom w:val="0"/>
      <w:divBdr>
        <w:top w:val="none" w:sz="0" w:space="0" w:color="auto"/>
        <w:left w:val="none" w:sz="0" w:space="0" w:color="auto"/>
        <w:bottom w:val="none" w:sz="0" w:space="0" w:color="auto"/>
        <w:right w:val="none" w:sz="0" w:space="0" w:color="auto"/>
      </w:divBdr>
      <w:divsChild>
        <w:div w:id="338889891">
          <w:marLeft w:val="0"/>
          <w:marRight w:val="0"/>
          <w:marTop w:val="0"/>
          <w:marBottom w:val="0"/>
          <w:divBdr>
            <w:top w:val="none" w:sz="0" w:space="0" w:color="auto"/>
            <w:left w:val="none" w:sz="0" w:space="0" w:color="auto"/>
            <w:bottom w:val="none" w:sz="0" w:space="0" w:color="auto"/>
            <w:right w:val="none" w:sz="0" w:space="0" w:color="auto"/>
          </w:divBdr>
        </w:div>
        <w:div w:id="1426731998">
          <w:marLeft w:val="0"/>
          <w:marRight w:val="0"/>
          <w:marTop w:val="0"/>
          <w:marBottom w:val="0"/>
          <w:divBdr>
            <w:top w:val="none" w:sz="0" w:space="0" w:color="auto"/>
            <w:left w:val="none" w:sz="0" w:space="0" w:color="auto"/>
            <w:bottom w:val="none" w:sz="0" w:space="0" w:color="auto"/>
            <w:right w:val="none" w:sz="0" w:space="0" w:color="auto"/>
          </w:divBdr>
        </w:div>
        <w:div w:id="1973826550">
          <w:marLeft w:val="0"/>
          <w:marRight w:val="0"/>
          <w:marTop w:val="0"/>
          <w:marBottom w:val="0"/>
          <w:divBdr>
            <w:top w:val="none" w:sz="0" w:space="0" w:color="auto"/>
            <w:left w:val="none" w:sz="0" w:space="0" w:color="auto"/>
            <w:bottom w:val="none" w:sz="0" w:space="0" w:color="auto"/>
            <w:right w:val="none" w:sz="0" w:space="0" w:color="auto"/>
          </w:divBdr>
        </w:div>
      </w:divsChild>
    </w:div>
    <w:div w:id="2111272014">
      <w:bodyDiv w:val="1"/>
      <w:marLeft w:val="0"/>
      <w:marRight w:val="0"/>
      <w:marTop w:val="0"/>
      <w:marBottom w:val="0"/>
      <w:divBdr>
        <w:top w:val="none" w:sz="0" w:space="0" w:color="auto"/>
        <w:left w:val="none" w:sz="0" w:space="0" w:color="auto"/>
        <w:bottom w:val="none" w:sz="0" w:space="0" w:color="auto"/>
        <w:right w:val="none" w:sz="0" w:space="0" w:color="auto"/>
      </w:divBdr>
    </w:div>
    <w:div w:id="212526758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id.marciano@bcm.edu" TargetMode="External"/><Relationship Id="rId13" Type="http://schemas.openxmlformats.org/officeDocument/2006/relationships/image" Target="media/image3.jpg"/><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yperlink" Target="https://www.uniprot.org/download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htarge@bcm.edu" TargetMode="External"/><Relationship Id="rId14" Type="http://schemas.openxmlformats.org/officeDocument/2006/relationships/image" Target="media/image4.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9C5536-1FB3-0C49-A89E-D2BCB1437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14940</Words>
  <Characters>85158</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
    </vt:vector>
  </TitlesOfParts>
  <Company>The National Academies</Company>
  <LinksUpToDate>false</LinksUpToDate>
  <CharactersWithSpaces>99899</CharactersWithSpaces>
  <SharedDoc>false</SharedDoc>
  <HLinks>
    <vt:vector size="72" baseType="variant">
      <vt:variant>
        <vt:i4>4194377</vt:i4>
      </vt:variant>
      <vt:variant>
        <vt:i4>33</vt:i4>
      </vt:variant>
      <vt:variant>
        <vt:i4>0</vt:i4>
      </vt:variant>
      <vt:variant>
        <vt:i4>5</vt:i4>
      </vt:variant>
      <vt:variant>
        <vt:lpwstr>http://cov.lichtargelab.org/</vt:lpwstr>
      </vt:variant>
      <vt:variant>
        <vt:lpwstr/>
      </vt:variant>
      <vt:variant>
        <vt:i4>5636115</vt:i4>
      </vt:variant>
      <vt:variant>
        <vt:i4>30</vt:i4>
      </vt:variant>
      <vt:variant>
        <vt:i4>0</vt:i4>
      </vt:variant>
      <vt:variant>
        <vt:i4>5</vt:i4>
      </vt:variant>
      <vt:variant>
        <vt:lpwstr>https://orcid.org/0000-0003-4057-7122</vt:lpwstr>
      </vt:variant>
      <vt:variant>
        <vt:lpwstr/>
      </vt:variant>
      <vt:variant>
        <vt:i4>5373972</vt:i4>
      </vt:variant>
      <vt:variant>
        <vt:i4>27</vt:i4>
      </vt:variant>
      <vt:variant>
        <vt:i4>0</vt:i4>
      </vt:variant>
      <vt:variant>
        <vt:i4>5</vt:i4>
      </vt:variant>
      <vt:variant>
        <vt:lpwstr>https://orcid.org/0000-0002-7172-1644</vt:lpwstr>
      </vt:variant>
      <vt:variant>
        <vt:lpwstr/>
      </vt:variant>
      <vt:variant>
        <vt:i4>5505053</vt:i4>
      </vt:variant>
      <vt:variant>
        <vt:i4>24</vt:i4>
      </vt:variant>
      <vt:variant>
        <vt:i4>0</vt:i4>
      </vt:variant>
      <vt:variant>
        <vt:i4>5</vt:i4>
      </vt:variant>
      <vt:variant>
        <vt:lpwstr>https://orcid.org/0000-0002-9670-711X</vt:lpwstr>
      </vt:variant>
      <vt:variant>
        <vt:lpwstr/>
      </vt:variant>
      <vt:variant>
        <vt:i4>6160409</vt:i4>
      </vt:variant>
      <vt:variant>
        <vt:i4>21</vt:i4>
      </vt:variant>
      <vt:variant>
        <vt:i4>0</vt:i4>
      </vt:variant>
      <vt:variant>
        <vt:i4>5</vt:i4>
      </vt:variant>
      <vt:variant>
        <vt:lpwstr>https://orcid.org/0000-0001-7270-1891</vt:lpwstr>
      </vt:variant>
      <vt:variant>
        <vt:lpwstr/>
      </vt:variant>
      <vt:variant>
        <vt:i4>5832723</vt:i4>
      </vt:variant>
      <vt:variant>
        <vt:i4>18</vt:i4>
      </vt:variant>
      <vt:variant>
        <vt:i4>0</vt:i4>
      </vt:variant>
      <vt:variant>
        <vt:i4>5</vt:i4>
      </vt:variant>
      <vt:variant>
        <vt:lpwstr>https://orcid.org/0000-0002-9212-5980</vt:lpwstr>
      </vt:variant>
      <vt:variant>
        <vt:lpwstr/>
      </vt:variant>
      <vt:variant>
        <vt:i4>6029336</vt:i4>
      </vt:variant>
      <vt:variant>
        <vt:i4>15</vt:i4>
      </vt:variant>
      <vt:variant>
        <vt:i4>0</vt:i4>
      </vt:variant>
      <vt:variant>
        <vt:i4>5</vt:i4>
      </vt:variant>
      <vt:variant>
        <vt:lpwstr>https://orcid.org/0000-0001-6075-5884</vt:lpwstr>
      </vt:variant>
      <vt:variant>
        <vt:lpwstr/>
      </vt:variant>
      <vt:variant>
        <vt:i4>5242902</vt:i4>
      </vt:variant>
      <vt:variant>
        <vt:i4>12</vt:i4>
      </vt:variant>
      <vt:variant>
        <vt:i4>0</vt:i4>
      </vt:variant>
      <vt:variant>
        <vt:i4>5</vt:i4>
      </vt:variant>
      <vt:variant>
        <vt:lpwstr>https://orcid.org/0000-0001-5237-5144</vt:lpwstr>
      </vt:variant>
      <vt:variant>
        <vt:lpwstr/>
      </vt:variant>
      <vt:variant>
        <vt:i4>6160411</vt:i4>
      </vt:variant>
      <vt:variant>
        <vt:i4>9</vt:i4>
      </vt:variant>
      <vt:variant>
        <vt:i4>0</vt:i4>
      </vt:variant>
      <vt:variant>
        <vt:i4>5</vt:i4>
      </vt:variant>
      <vt:variant>
        <vt:lpwstr>https://orcid.org/0000-0002-9729-5217</vt:lpwstr>
      </vt:variant>
      <vt:variant>
        <vt:lpwstr/>
      </vt:variant>
      <vt:variant>
        <vt:i4>6225938</vt:i4>
      </vt:variant>
      <vt:variant>
        <vt:i4>6</vt:i4>
      </vt:variant>
      <vt:variant>
        <vt:i4>0</vt:i4>
      </vt:variant>
      <vt:variant>
        <vt:i4>5</vt:i4>
      </vt:variant>
      <vt:variant>
        <vt:lpwstr>https://orcid.org/0000-0001-5769-2077</vt:lpwstr>
      </vt:variant>
      <vt:variant>
        <vt:lpwstr/>
      </vt:variant>
      <vt:variant>
        <vt:i4>1114148</vt:i4>
      </vt:variant>
      <vt:variant>
        <vt:i4>3</vt:i4>
      </vt:variant>
      <vt:variant>
        <vt:i4>0</vt:i4>
      </vt:variant>
      <vt:variant>
        <vt:i4>5</vt:i4>
      </vt:variant>
      <vt:variant>
        <vt:lpwstr>mailto:lichtarge@bcm.edu</vt:lpwstr>
      </vt:variant>
      <vt:variant>
        <vt:lpwstr/>
      </vt:variant>
      <vt:variant>
        <vt:i4>6619146</vt:i4>
      </vt:variant>
      <vt:variant>
        <vt:i4>0</vt:i4>
      </vt:variant>
      <vt:variant>
        <vt:i4>0</vt:i4>
      </vt:variant>
      <vt:variant>
        <vt:i4>5</vt:i4>
      </vt:variant>
      <vt:variant>
        <vt:lpwstr>mailto:david.marciano@bcm.edu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Shuler, Megan</dc:creator>
  <cp:keywords/>
  <dc:description/>
  <cp:lastModifiedBy>Marciano, David C.</cp:lastModifiedBy>
  <cp:revision>3</cp:revision>
  <cp:lastPrinted>2020-09-25T23:59:00Z</cp:lastPrinted>
  <dcterms:created xsi:type="dcterms:W3CDTF">2020-10-19T21:42:00Z</dcterms:created>
  <dcterms:modified xsi:type="dcterms:W3CDTF">2020-10-19T21:44:00Z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