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ind w:right="-40.866141732282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Additional file 1.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Pairwise Agreement Between Growth Charts for SGA/AGA/LGA and EUGR Classification</w:t>
      </w:r>
    </w:p>
    <w:tbl>
      <w:tblPr>
        <w:tblStyle w:val="Table1"/>
        <w:tblW w:w="5294.1560486757335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17.3228346456694"/>
        <w:gridCol w:w="701.9842519685039"/>
        <w:gridCol w:w="701.9842519685039"/>
        <w:gridCol w:w="1112.234788833214"/>
        <w:gridCol w:w="1360.6299212598426"/>
        <w:tblGridChange w:id="0">
          <w:tblGrid>
            <w:gridCol w:w="1417.3228346456694"/>
            <w:gridCol w:w="701.9842519685039"/>
            <w:gridCol w:w="701.9842519685039"/>
            <w:gridCol w:w="1112.234788833214"/>
            <w:gridCol w:w="1360.6299212598426"/>
          </w:tblGrid>
        </w:tblGridChange>
      </w:tblGrid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40" w:lineRule="auto"/>
              <w:ind w:right="-40.866141732282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Comparison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ind w:right="-40.866141732282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ind w:right="-40.866141732282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240" w:lineRule="auto"/>
              <w:ind w:right="-40.866141732282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95% CI (κ)*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40" w:lineRule="auto"/>
              <w:ind w:right="-40.866141732282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Agreement (Landis–Koch)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SGA/AGA/LGA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F13 vs IG21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0.759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0.656–0.847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Substantial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IG21 vs F25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0.890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0.757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0.671–0.835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Substantial</w:t>
            </w:r>
          </w:p>
        </w:tc>
      </w:tr>
      <w:tr>
        <w:trPr>
          <w:cantSplit w:val="0"/>
          <w:trHeight w:val="79.98046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F13 vs F25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0.835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0.517–0.709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Substantial</w:t>
            </w:r>
          </w:p>
        </w:tc>
      </w:tr>
      <w:tr>
        <w:trPr>
          <w:cantSplit w:val="0"/>
          <w:trHeight w:val="313.38582677165357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EUGR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F13 vs IG21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0.926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0.749–0.894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Almost perfect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IG21 vs F25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0.678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0.588–0.764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Substantial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F13 vs F25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0.926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0.843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0.775–0.905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ind w:right="-40.866141732282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Almost perfect</w:t>
            </w:r>
          </w:p>
        </w:tc>
      </w:tr>
    </w:tbl>
    <w:p w:rsidR="00000000" w:rsidDel="00000000" w:rsidP="00000000" w:rsidRDefault="00000000" w:rsidRPr="00000000" w14:paraId="0000002F">
      <w:pPr>
        <w:spacing w:before="200" w:line="480" w:lineRule="auto"/>
        <w:ind w:right="-40.866141732282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Abbreviations: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CI, confidence interval; F13, Fenton-2013; F25, Fenton-2025; IG21, INTERGROWTH-21st; κ, Cohen’s kappa coefficient; Po, observed agreement.</w:t>
      </w:r>
    </w:p>
    <w:p w:rsidR="00000000" w:rsidDel="00000000" w:rsidP="00000000" w:rsidRDefault="00000000" w:rsidRPr="00000000" w14:paraId="00000030">
      <w:pPr>
        <w:spacing w:before="200" w:line="480" w:lineRule="auto"/>
        <w:ind w:right="-40.866141732282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Footnote: Po denotes the observed agreement (proportion of identical classifications). Cohen’s κ was used to quantify pairwise agreement between growth charts. For SGA/AGA/LGA classification, coding was 0=AGA, 1=SGA, and 2=LGA; for EUGR classification, coding was 0=non-EUGR and 1=EUGR. Ninety-five percent confidence intervals for κ were obtained using percentile bootstrap with 10,000 resamples. Agreement strength was interpreted according to the Landis–Koch benchmarks.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ponjxedgikhS1bm8TZ8cnf5XHQ==">CgMxLjA4AHIhMWItZWlGSUFfOTRwbWdSbWt5WU9PYVItc1d6TzlFT1JE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