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D13B" w14:textId="77777777" w:rsidR="006824EB" w:rsidRPr="00837A19" w:rsidRDefault="006824EB" w:rsidP="006824EB">
      <w:pPr>
        <w:rPr>
          <w:color w:val="000000" w:themeColor="text1"/>
          <w:sz w:val="24"/>
          <w:szCs w:val="24"/>
        </w:rPr>
      </w:pPr>
      <w:r w:rsidRPr="00837A19">
        <w:rPr>
          <w:b/>
          <w:bCs/>
          <w:color w:val="000000" w:themeColor="text1"/>
          <w:sz w:val="24"/>
          <w:szCs w:val="24"/>
        </w:rPr>
        <w:t>Table 1. Demographic Characteristics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306"/>
        <w:gridCol w:w="1306"/>
        <w:gridCol w:w="1306"/>
        <w:gridCol w:w="1306"/>
        <w:gridCol w:w="1072"/>
        <w:gridCol w:w="773"/>
      </w:tblGrid>
      <w:tr w:rsidR="006824EB" w:rsidRPr="007915C9" w14:paraId="3ECDE8AF" w14:textId="77777777" w:rsidTr="00B83932">
        <w:trPr>
          <w:tblHeader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1EBE99DB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11211CBC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Mild OSAS (n=19)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3E581849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Moderate OSAS (n=25)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54A88701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Severe OSAS (n=19)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60500D13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Control (n=43)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7A127853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Test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319F13F8" w14:textId="77777777" w:rsidR="006824EB" w:rsidRPr="007915C9" w:rsidRDefault="006824EB" w:rsidP="00B83932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</w:t>
            </w:r>
          </w:p>
        </w:tc>
      </w:tr>
      <w:tr w:rsidR="006824EB" w:rsidRPr="007915C9" w14:paraId="375F81B5" w14:textId="77777777" w:rsidTr="00B8393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7C64685F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Age (years)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33050CCF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40.16±7.54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63C92442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36.08±5.71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3680E79F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36.95±5.75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0A428AF8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37.23±6.32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35D9F528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One-Way ANOVA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059EC7B1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0.192</w:t>
            </w:r>
          </w:p>
        </w:tc>
      </w:tr>
      <w:tr w:rsidR="006824EB" w:rsidRPr="007915C9" w14:paraId="34735FDE" w14:textId="77777777" w:rsidTr="00B83932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65FFBD44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b/>
                <w:bCs/>
                <w:color w:val="000000" w:themeColor="text1"/>
              </w:rPr>
              <w:t>Gender (M/F)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1F0CC29B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No data*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4792732C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16/9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58594808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17/2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742D4E11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29/14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0918E95A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Chi-square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  <w:hideMark/>
          </w:tcPr>
          <w:p w14:paraId="1BBCC8E3" w14:textId="77777777" w:rsidR="006824EB" w:rsidRPr="007915C9" w:rsidRDefault="006824EB" w:rsidP="00B83932">
            <w:pPr>
              <w:rPr>
                <w:color w:val="000000" w:themeColor="text1"/>
              </w:rPr>
            </w:pPr>
            <w:r w:rsidRPr="007915C9">
              <w:rPr>
                <w:color w:val="000000" w:themeColor="text1"/>
              </w:rPr>
              <w:t>0.133</w:t>
            </w:r>
          </w:p>
        </w:tc>
      </w:tr>
    </w:tbl>
    <w:p w14:paraId="4931925A" w14:textId="77777777" w:rsidR="006824EB" w:rsidRPr="00837A19" w:rsidRDefault="006824EB" w:rsidP="006824EB">
      <w:pPr>
        <w:rPr>
          <w:rFonts w:cstheme="minorHAnsi"/>
          <w:color w:val="000000" w:themeColor="text1"/>
          <w:sz w:val="18"/>
          <w:szCs w:val="18"/>
        </w:rPr>
      </w:pPr>
      <w:r w:rsidRPr="00837A19">
        <w:rPr>
          <w:rFonts w:cstheme="minorHAnsi"/>
          <w:b/>
          <w:bCs/>
          <w:color w:val="000000" w:themeColor="text1"/>
          <w:sz w:val="18"/>
          <w:szCs w:val="18"/>
        </w:rPr>
        <w:t>Mean</w:t>
      </w:r>
      <w:r w:rsidRPr="00837A19">
        <w:rPr>
          <w:rFonts w:cstheme="minorHAnsi"/>
          <w:color w:val="000000" w:themeColor="text1"/>
          <w:sz w:val="18"/>
          <w:szCs w:val="18"/>
        </w:rPr>
        <w:t xml:space="preserve">: Mean, </w:t>
      </w:r>
      <w:r w:rsidRPr="00837A19">
        <w:rPr>
          <w:rFonts w:cstheme="minorHAnsi"/>
          <w:b/>
          <w:bCs/>
          <w:color w:val="000000" w:themeColor="text1"/>
          <w:sz w:val="18"/>
          <w:szCs w:val="18"/>
        </w:rPr>
        <w:t>SD</w:t>
      </w:r>
      <w:r w:rsidRPr="00837A19">
        <w:rPr>
          <w:rFonts w:cstheme="minorHAnsi"/>
          <w:color w:val="000000" w:themeColor="text1"/>
          <w:sz w:val="18"/>
          <w:szCs w:val="18"/>
        </w:rPr>
        <w:t xml:space="preserve">: Standard Deviation. *Gender data for the Mild OSAS group was not coded in the dataset. </w:t>
      </w:r>
      <w:r w:rsidRPr="00837A19">
        <w:rPr>
          <w:rFonts w:cstheme="minorHAnsi"/>
          <w:b/>
          <w:bCs/>
          <w:color w:val="000000" w:themeColor="text1"/>
          <w:sz w:val="18"/>
          <w:szCs w:val="18"/>
        </w:rPr>
        <w:t>p&gt;0.05: not statistically significant.</w:t>
      </w:r>
    </w:p>
    <w:p w14:paraId="0DC86436" w14:textId="77777777" w:rsidR="006824EB" w:rsidRPr="00837A19" w:rsidRDefault="006824EB" w:rsidP="006824EB">
      <w:pPr>
        <w:rPr>
          <w:rFonts w:cstheme="minorHAnsi"/>
        </w:rPr>
      </w:pPr>
    </w:p>
    <w:p w14:paraId="089A6C66" w14:textId="77777777" w:rsidR="00E44CAC" w:rsidRPr="00837A19" w:rsidRDefault="00E44CAC" w:rsidP="00E44CAC">
      <w:pPr>
        <w:rPr>
          <w:rFonts w:cstheme="minorHAnsi"/>
          <w:sz w:val="20"/>
          <w:szCs w:val="20"/>
        </w:rPr>
      </w:pPr>
      <w:r w:rsidRPr="00837A19">
        <w:rPr>
          <w:rFonts w:eastAsia="Times New Roman" w:cstheme="minorHAnsi"/>
          <w:b/>
          <w:bCs/>
          <w:sz w:val="24"/>
          <w:szCs w:val="24"/>
        </w:rPr>
        <w:t xml:space="preserve">Table 2. Right </w:t>
      </w:r>
      <w:r>
        <w:rPr>
          <w:rFonts w:eastAsia="Times New Roman" w:cstheme="minorHAnsi"/>
          <w:b/>
          <w:bCs/>
          <w:sz w:val="24"/>
          <w:szCs w:val="24"/>
        </w:rPr>
        <w:t xml:space="preserve"> and </w:t>
      </w:r>
      <w:r w:rsidRPr="00837A19">
        <w:rPr>
          <w:rFonts w:eastAsia="Times New Roman" w:cstheme="minorHAnsi"/>
          <w:b/>
          <w:bCs/>
          <w:sz w:val="24"/>
          <w:szCs w:val="24"/>
        </w:rPr>
        <w:t>Left Ear ECochG Parameters – Between-Group Comparison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CAC" w:rsidRPr="009A5D55" w14:paraId="28B58732" w14:textId="77777777" w:rsidTr="00776806">
        <w:tc>
          <w:tcPr>
            <w:tcW w:w="9062" w:type="dxa"/>
          </w:tcPr>
          <w:tbl>
            <w:tblPr>
              <w:tblW w:w="8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47"/>
              <w:gridCol w:w="1089"/>
              <w:gridCol w:w="1090"/>
              <w:gridCol w:w="1089"/>
              <w:gridCol w:w="1089"/>
              <w:gridCol w:w="918"/>
              <w:gridCol w:w="978"/>
              <w:gridCol w:w="860"/>
            </w:tblGrid>
            <w:tr w:rsidR="00E44CAC" w:rsidRPr="009A5D55" w14:paraId="237D0877" w14:textId="77777777" w:rsidTr="00776806">
              <w:trPr>
                <w:tblHeader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73D2A3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Parameter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8983C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Mild OSAS (n=19)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691568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Moderate OSAS (n=25)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B1BF8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Severe OSAS (n=19)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E0D7E4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Control (n=43)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6B13FC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8E8B01A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1B8A42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Effect Size</w:t>
                  </w:r>
                </w:p>
              </w:tc>
            </w:tr>
            <w:tr w:rsidR="00E44CAC" w:rsidRPr="009A5D55" w14:paraId="55070C41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EBA707D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17A18D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416E69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D99E2F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3A4CD9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470B62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30815B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836AFE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η²/ε²</w:t>
                  </w:r>
                </w:p>
              </w:tc>
            </w:tr>
            <w:tr w:rsidR="00E44CAC" w:rsidRPr="009A5D55" w14:paraId="563D08AC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A6E0391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Base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98B7F0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0.55 (0.42)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794457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0.81 (0.32)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E38F87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0.49 (0.35)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AA09CB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0.70 (0.09)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A9B84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00F6FD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B430C5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ε²=0.150</w:t>
                  </w:r>
                </w:p>
              </w:tc>
            </w:tr>
            <w:tr w:rsidR="00E44CAC" w:rsidRPr="009A5D55" w14:paraId="3CDD62CC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82889F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C0294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0.011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6FD849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6D4FE1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4253CC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39A935D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C14192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A16844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532CDAA5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423FF22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SP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3FF78B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0.83±0.24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AC6FB9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1.10±0.38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AFAEE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0.78±0.32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4D5608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0.93±0.06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8E4227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ANOVA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30BBEE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4A82F5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η²=0.162</w:t>
                  </w:r>
                </w:p>
              </w:tc>
            </w:tr>
            <w:tr w:rsidR="00E44CAC" w:rsidRPr="009A5D55" w14:paraId="544305F6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ACCD510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F16C0F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6F4E09A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B5941D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A40DE4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0.013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59B401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FF5F84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A42EB2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624D8E2E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A489851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AP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E082F1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1.22 (0.46)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B048DFA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1.32 (0.50)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8C7A83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1.19 (0.49)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8DB54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1.40 (0.10)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D712AF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989C6B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0.011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598CF1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ε²=0.080</w:t>
                  </w:r>
                </w:p>
              </w:tc>
            </w:tr>
            <w:tr w:rsidR="00E44CAC" w:rsidRPr="009A5D55" w14:paraId="221F4911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45458F8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2E60F4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EE4702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CAE865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63B39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1ED330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3CB233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0.032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3125A4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4FD59629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542C5DA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SP–Base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DAD0A4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0.19 (0.12)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26FDD3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0.21 (0.06)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8878E1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0.19 (0.13)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36381F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0.23 (0.01)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B7CD61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F2EEF0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0.009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694A6F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ε²=0.085</w:t>
                  </w:r>
                </w:p>
              </w:tc>
            </w:tr>
            <w:tr w:rsidR="00E44CAC" w:rsidRPr="009A5D55" w14:paraId="144F9F00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FEE9396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EA0C28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853712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428191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1585FBA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65D358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0.007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0DAE5B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8AB725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78327621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D9384F0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AP–Base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F5FBF0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0.61±0.13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730799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0.54±0.13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9B4531D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0.64±0.15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5E57C8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0.70±0.04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FE6ACE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ANOVA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F8397F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669E99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η²=0.286</w:t>
                  </w:r>
                </w:p>
              </w:tc>
            </w:tr>
            <w:tr w:rsidR="00E44CAC" w:rsidRPr="009A5D55" w14:paraId="53C07B07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2EAC600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3BACB2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0FCF1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98862E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0.034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45E3C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0.041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440DA5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704C4D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CFF933D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02BDC336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A3C9CA7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SP–Base (µV)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25275B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0.25 (0.19)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07B503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0.15 (0.08)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5C11A2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0.14 (0.10)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C164C7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0.11 (0.03)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8192A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BE40DD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6F511E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ε²=0.175</w:t>
                  </w:r>
                </w:p>
              </w:tc>
            </w:tr>
            <w:tr w:rsidR="00E44CAC" w:rsidRPr="009A5D55" w14:paraId="7728F450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4F6A9BC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5DA773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91BD19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B43930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A6D185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64C7BED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F3B32A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1203CF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47342280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9319247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AP–Base (µV)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DC5995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0.28 (0.22)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097851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0.26 (0.14)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FD92335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0.31 (0.16)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828AB6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0.28 (0.05)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B437D2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724538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7A605AA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ε²=0.000</w:t>
                  </w:r>
                </w:p>
              </w:tc>
            </w:tr>
            <w:tr w:rsidR="00E44CAC" w:rsidRPr="009A5D55" w14:paraId="193B6550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61C56E0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SP/AP amplitude ratio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83DA91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1.00 (0.73)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8BB4E9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0.59 (0.40)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AA8304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0.45 (0.33)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150E15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0.40 (0.03)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6E1C6B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E91E50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E0B0E9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ε²=0.199</w:t>
                  </w:r>
                </w:p>
              </w:tc>
            </w:tr>
            <w:tr w:rsidR="00E44CAC" w:rsidRPr="009A5D55" w14:paraId="17A86294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6AA7938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4F913F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27EB9A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0.009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2A5F35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3764EF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CC0473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77857D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ECE33DD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5720162B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1DA9192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SP/AP area ratio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90F64A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43.67 (44.80)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E9559F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8.26 (9.96)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2A9703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2.15 (4.13)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943924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2.01 (0.43)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04F778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3A91F5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A23B69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ε²=0.558</w:t>
                  </w:r>
                </w:p>
              </w:tc>
            </w:tr>
            <w:tr w:rsidR="00E44CAC" w:rsidRPr="009A5D55" w14:paraId="492F2F6D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4FF57A0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2D14D18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0.024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28785D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427113A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9CCC2C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0.020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F590490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510F1F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61F488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614EBDEE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23B3926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SP area (ms·µV)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50C246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3.93 (2.55)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DDD1C5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0.33 (0.45)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6962EA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0.16 (0.22)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A884A6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0.17 (0.05)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99A4E4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FBA720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EB56E2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ε²=0.517</w:t>
                  </w:r>
                </w:p>
              </w:tc>
            </w:tr>
            <w:tr w:rsidR="00E44CAC" w:rsidRPr="009A5D55" w14:paraId="131F5079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4D93A6A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CA2BE0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A605A3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D711996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6EF7F2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CED2DEB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0.010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2075FC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FF2DD4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E44CAC" w:rsidRPr="009A5D55" w14:paraId="120CC7EE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35EF279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Right AP area (ms·µV)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C88CE7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0.11 (0.09)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7669D01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0.05 (0.06)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6A1F20E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0.09 (0.05)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DCFA98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0.08 (0.01)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2A75A7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9473AF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CADC934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ε²=0.140</w:t>
                  </w:r>
                </w:p>
              </w:tc>
            </w:tr>
            <w:tr w:rsidR="00E44CAC" w:rsidRPr="009A5D55" w14:paraId="4F989ED4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F5EA87E" w14:textId="77777777" w:rsidR="00E44CAC" w:rsidRPr="009A5D55" w:rsidRDefault="00E44CAC" w:rsidP="00776806">
                  <w:pPr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7291A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0.005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F49E5F7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108271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0CFBE6C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0.012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CC909C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0.003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7881242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A3147B3" w14:textId="77777777" w:rsidR="00E44CAC" w:rsidRPr="009A5D55" w:rsidRDefault="00E44CAC" w:rsidP="00776806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D120E26" w14:textId="77777777" w:rsidR="00E44CAC" w:rsidRPr="009A5D55" w:rsidRDefault="00E44CAC" w:rsidP="00776806">
            <w:pPr>
              <w:rPr>
                <w:rFonts w:cstheme="minorHAnsi"/>
              </w:rPr>
            </w:pPr>
          </w:p>
        </w:tc>
      </w:tr>
      <w:tr w:rsidR="00E44CAC" w14:paraId="4C8A76E2" w14:textId="77777777" w:rsidTr="00776806">
        <w:tc>
          <w:tcPr>
            <w:tcW w:w="9062" w:type="dxa"/>
          </w:tcPr>
          <w:tbl>
            <w:tblPr>
              <w:tblW w:w="8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51"/>
              <w:gridCol w:w="1088"/>
              <w:gridCol w:w="1090"/>
              <w:gridCol w:w="1088"/>
              <w:gridCol w:w="1088"/>
              <w:gridCol w:w="918"/>
              <w:gridCol w:w="978"/>
              <w:gridCol w:w="859"/>
            </w:tblGrid>
            <w:tr w:rsidR="00E44CAC" w:rsidRPr="009A5D55" w14:paraId="5F8D265E" w14:textId="77777777" w:rsidTr="00776806">
              <w:trPr>
                <w:tblHeader/>
              </w:trPr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710564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lastRenderedPageBreak/>
                    <w:t>Parameter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8CA450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Mild OSAS (n=19)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2C6B43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Moderate OSAS (n=25)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BFDB02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Severe OSAS (n=19)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E5B84C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Control (n=43)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801EAD5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Test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C9AE915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DD7EE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DECC6A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Effect Size</w:t>
                  </w:r>
                </w:p>
              </w:tc>
            </w:tr>
            <w:tr w:rsidR="00E44CAC" w:rsidRPr="009A5D55" w14:paraId="6962FF54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505C51B" w14:textId="77777777" w:rsidR="00E44CAC" w:rsidRPr="009A5D55" w:rsidRDefault="00E44CAC" w:rsidP="00776806">
                  <w:pPr>
                    <w:jc w:val="center"/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967784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17ECD2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8905CC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545214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Med(IQR) or Mean±SD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81B7857" w14:textId="77777777" w:rsidR="00E44CAC" w:rsidRPr="009A5D55" w:rsidRDefault="00E44CAC" w:rsidP="00776806">
                  <w:pPr>
                    <w:jc w:val="center"/>
                  </w:pP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0E474A1" w14:textId="77777777" w:rsidR="00E44CAC" w:rsidRPr="009A5D55" w:rsidRDefault="00E44CAC" w:rsidP="00776806">
                  <w:pPr>
                    <w:jc w:val="center"/>
                  </w:pP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1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75B01D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η²/ε²</w:t>
                  </w:r>
                </w:p>
              </w:tc>
            </w:tr>
            <w:tr w:rsidR="00E44CAC" w:rsidRPr="009A5D55" w14:paraId="5C7458F4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5EA3261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Base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49B663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0.81 (0.45)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8AC2D0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0.96 (0.31)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049685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0.90 (0.48)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B3403C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0.78 (0.08)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580E78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D3E9C1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0.004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5F67F0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ε²=0.102</w:t>
                  </w:r>
                </w:p>
              </w:tc>
            </w:tr>
            <w:tr w:rsidR="00E44CAC" w:rsidRPr="009A5D55" w14:paraId="005C5D7A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6857CED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A168CB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E20B1E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756B78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4CB752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C5970F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0.003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E4EB45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C69C2A0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18AC7C7F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27AD3A1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SP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D15BE2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1.05 (0.52)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62DA1C8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1.30 (0.37)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FA462F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1.03 (0.61)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75EB4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1.00 (0.08)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6CF2607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3F2DFB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77C5A9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ε²=0.241</w:t>
                  </w:r>
                </w:p>
              </w:tc>
            </w:tr>
            <w:tr w:rsidR="00E44CAC" w:rsidRPr="009A5D55" w14:paraId="35457DE7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C30D09B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7BF943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BA4D30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40620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9FC6527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0.035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2C16A2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111291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A630F0F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50346987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5FBDD63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AP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A68E9F7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1.32 (0.47)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5E4A21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1.81 (0.56)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F2C164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1.34 (0.47)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95EFF7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1.51 (0.10)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C7BBDD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22DD43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33415C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ε²=0.258</w:t>
                  </w:r>
                </w:p>
              </w:tc>
            </w:tr>
            <w:tr w:rsidR="00E44CAC" w:rsidRPr="009A5D55" w14:paraId="37D1E675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5C15203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473FB2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0760A1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B6ECE4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4ED630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1FCAB1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53D010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05E2C30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29FCE35A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A82F91D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SP–Base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D9B90E5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0.21 (0.09)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4128658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0.36 (0.06)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5B8C00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0.24 (0.12)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BAC83A5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0.22 (0.00)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443316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0CA00F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093324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ε²=0.498</w:t>
                  </w:r>
                </w:p>
              </w:tc>
            </w:tr>
            <w:tr w:rsidR="00E44CAC" w:rsidRPr="009A5D55" w14:paraId="54368574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5AABC73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20C7B6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3E7FF8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643C73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13DB67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78E8D6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2D3D13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30EA757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38B3B94B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AAA8C9B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AP–Base (ms)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BE0EB8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0.60 (0.12)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EB77B7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0.80 (0.18)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09837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0.57 (0.17)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8062FC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0.72 (0.06)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0637ED8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405FBF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4A0D26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ε²=0.382</w:t>
                  </w:r>
                </w:p>
              </w:tc>
            </w:tr>
            <w:tr w:rsidR="00E44CAC" w:rsidRPr="009A5D55" w14:paraId="08F11743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1D834DB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lastRenderedPageBreak/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E70A1C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1FA4E0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A90C92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F827A4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B999F6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F841EC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0.007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A9ECB7C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1A18641B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4161632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SP–Base (µV)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E5E401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0.21 (0.20)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0CEDBC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0.16 (0.14)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AD30897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0.17 (0.17)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CFD366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0.13 (0.04)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91D504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49D3B6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EFC8F75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ε²=0.025</w:t>
                  </w:r>
                </w:p>
              </w:tc>
            </w:tr>
            <w:tr w:rsidR="00E44CAC" w:rsidRPr="009A5D55" w14:paraId="3B989A4D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4C5292A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AP–Base (µV)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AC9036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0.38 (0.16)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C955E4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0.28 (0.16)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94E1F3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0.40 (0.15)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511140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0.31 (0.05)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B3ABC45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755677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0.038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26F86F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ε²=0.053</w:t>
                  </w:r>
                </w:p>
              </w:tc>
            </w:tr>
            <w:tr w:rsidR="00E44CAC" w:rsidRPr="009A5D55" w14:paraId="79D768D8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8645237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BB2E47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8F2A26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F4E5F0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C9F8BA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FBE04F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7D0B25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C56D288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7A18509A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7DE2492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SP/AP amplitude ratio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02DE9D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0.57 (0.43)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C7130D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0.58 (0.31)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D6C012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0.52 (0.29)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375E54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0.41 (0.05)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CEA9F8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FF6CEB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0.017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A661AA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ε²=0.071</w:t>
                  </w:r>
                </w:p>
              </w:tc>
            </w:tr>
            <w:tr w:rsidR="00E44CAC" w:rsidRPr="009A5D55" w14:paraId="134B91CB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1D9140B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FE29348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2390E38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1E344C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6D13B6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3E0234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8B70EC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1BDA40E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7AAA76C9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524D104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SP/AP area ratio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073701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60.36 (93.78)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7A073A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2.90 (7.11)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180CDB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1.95 (4.81)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55FDB5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1.95 (0.21)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96D680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53B9CF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B01AF2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ε²=0.412</w:t>
                  </w:r>
                </w:p>
              </w:tc>
            </w:tr>
            <w:tr w:rsidR="00E44CAC" w:rsidRPr="009A5D55" w14:paraId="275F43E2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89BFF9E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3AA415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598901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8DC05F7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BDD9F2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02EC35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D093207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4D12AAF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1727E990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CBBF372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SP area (ms·µV)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217714B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5.39 (5.10)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616738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0.21 (0.38)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3C1D3E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0.14 (0.36)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DEAB81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0.20 (0.05)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0A5BB53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1103EF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74D2F9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ε²=0.405</w:t>
                  </w:r>
                </w:p>
              </w:tc>
            </w:tr>
            <w:tr w:rsidR="00E44CAC" w:rsidRPr="009A5D55" w14:paraId="40DCCA83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137E43E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83C21C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5E971F2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7C4F46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9E1FD8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C8B8A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861B65D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79DEEBE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  <w:tr w:rsidR="00E44CAC" w:rsidRPr="009A5D55" w14:paraId="45CD361B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151D51C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Left AP area (ms·µV)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B6984FC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0.08 (0.04)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4A1FB474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0.05 (0.07)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D5A983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0.06 (0.03)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578D3F4E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0.10 (0.02)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0C27351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K-W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ECEDE6B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8"/>
                      <w:szCs w:val="18"/>
                    </w:rPr>
                    <w:t>***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137693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ε²=0.305</w:t>
                  </w:r>
                </w:p>
              </w:tc>
            </w:tr>
            <w:tr w:rsidR="00E44CAC" w:rsidRPr="009A5D55" w14:paraId="6077123D" w14:textId="77777777" w:rsidTr="00776806"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CA187B1" w14:textId="77777777" w:rsidR="00E44CAC" w:rsidRPr="009A5D55" w:rsidRDefault="00E44CAC" w:rsidP="00776806"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Post-hoc (Bonferroni)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BDF8D76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1A429A9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083191F0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0.005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0B85A0F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</w:rPr>
                    <w:t>p&gt;0.05</w:t>
                  </w:r>
                </w:p>
              </w:tc>
              <w:tc>
                <w:tcPr>
                  <w:tcW w:w="9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6B63E24A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&lt;0.001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***</w:t>
                  </w:r>
                </w:p>
              </w:tc>
              <w:tc>
                <w:tcPr>
                  <w:tcW w:w="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71ED1FD9" w14:textId="77777777" w:rsidR="00E44CAC" w:rsidRPr="009A5D55" w:rsidRDefault="00E44CAC" w:rsidP="00776806">
                  <w:pPr>
                    <w:jc w:val="center"/>
                  </w:pP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6"/>
                      <w:szCs w:val="16"/>
                    </w:rPr>
                    <w:t>0.002</w:t>
                  </w:r>
                  <w:r w:rsidRPr="009A5D55">
                    <w:rPr>
                      <w:rFonts w:ascii="Times New Roman" w:eastAsia="Times New Roman" w:hAnsi="Times New Roman" w:cs="Times New Roman"/>
                      <w:b/>
                      <w:bCs/>
                      <w:color w:val="C00000"/>
                      <w:sz w:val="16"/>
                      <w:szCs w:val="16"/>
                    </w:rPr>
                    <w:t>**</w:t>
                  </w:r>
                </w:p>
              </w:tc>
              <w:tc>
                <w:tcPr>
                  <w:tcW w:w="8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/>
                  <w:tcMar>
                    <w:top w:w="80" w:type="dxa"/>
                    <w:left w:w="100" w:type="dxa"/>
                    <w:bottom w:w="80" w:type="dxa"/>
                    <w:right w:w="100" w:type="dxa"/>
                  </w:tcMar>
                  <w:vAlign w:val="center"/>
                </w:tcPr>
                <w:p w14:paraId="30EBC87C" w14:textId="77777777" w:rsidR="00E44CAC" w:rsidRPr="009A5D55" w:rsidRDefault="00E44CAC" w:rsidP="00776806">
                  <w:pPr>
                    <w:jc w:val="center"/>
                  </w:pPr>
                </w:p>
              </w:tc>
            </w:tr>
          </w:tbl>
          <w:p w14:paraId="53039C27" w14:textId="77777777" w:rsidR="00E44CAC" w:rsidRDefault="00E44CAC" w:rsidP="00776806"/>
        </w:tc>
      </w:tr>
    </w:tbl>
    <w:p w14:paraId="76FF9976" w14:textId="77777777" w:rsidR="00E44CAC" w:rsidRDefault="00E44CAC" w:rsidP="00E44CAC">
      <w:pPr>
        <w:spacing w:before="100"/>
        <w:rPr>
          <w:rFonts w:eastAsia="Times New Roman" w:cstheme="minorHAnsi"/>
          <w:b/>
          <w:bCs/>
          <w:sz w:val="18"/>
          <w:szCs w:val="18"/>
        </w:rPr>
      </w:pPr>
    </w:p>
    <w:p w14:paraId="46AF2A25" w14:textId="77777777" w:rsidR="00E44CAC" w:rsidRPr="00837A19" w:rsidRDefault="00E44CAC" w:rsidP="00E44CAC">
      <w:pPr>
        <w:spacing w:before="100"/>
        <w:rPr>
          <w:rFonts w:eastAsia="Times New Roman" w:cstheme="minorHAnsi"/>
          <w:sz w:val="18"/>
          <w:szCs w:val="18"/>
        </w:rPr>
      </w:pPr>
      <w:r w:rsidRPr="00837A19">
        <w:rPr>
          <w:rFonts w:eastAsia="Times New Roman" w:cstheme="minorHAnsi"/>
          <w:b/>
          <w:bCs/>
          <w:sz w:val="18"/>
          <w:szCs w:val="18"/>
        </w:rPr>
        <w:t>Med</w:t>
      </w:r>
      <w:r w:rsidRPr="00837A19">
        <w:rPr>
          <w:rFonts w:eastAsia="Times New Roman" w:cstheme="minorHAnsi"/>
          <w:sz w:val="18"/>
          <w:szCs w:val="18"/>
        </w:rPr>
        <w:t xml:space="preserve">: Median, </w:t>
      </w:r>
      <w:r w:rsidRPr="00837A19">
        <w:rPr>
          <w:rFonts w:eastAsia="Times New Roman" w:cstheme="minorHAnsi"/>
          <w:b/>
          <w:bCs/>
          <w:sz w:val="18"/>
          <w:szCs w:val="18"/>
        </w:rPr>
        <w:t>IQR</w:t>
      </w:r>
      <w:r w:rsidRPr="00837A19">
        <w:rPr>
          <w:rFonts w:eastAsia="Times New Roman" w:cstheme="minorHAnsi"/>
          <w:sz w:val="18"/>
          <w:szCs w:val="18"/>
        </w:rPr>
        <w:t xml:space="preserve">: Interquartile Range, </w:t>
      </w:r>
      <w:r w:rsidRPr="00837A19">
        <w:rPr>
          <w:rFonts w:eastAsia="Times New Roman" w:cstheme="minorHAnsi"/>
          <w:b/>
          <w:bCs/>
          <w:sz w:val="18"/>
          <w:szCs w:val="18"/>
        </w:rPr>
        <w:t>Mean</w:t>
      </w:r>
      <w:r w:rsidRPr="00837A19">
        <w:rPr>
          <w:rFonts w:eastAsia="Times New Roman" w:cstheme="minorHAnsi"/>
          <w:sz w:val="18"/>
          <w:szCs w:val="18"/>
        </w:rPr>
        <w:t xml:space="preserve">: Mean, </w:t>
      </w:r>
      <w:r w:rsidRPr="00837A19">
        <w:rPr>
          <w:rFonts w:eastAsia="Times New Roman" w:cstheme="minorHAnsi"/>
          <w:b/>
          <w:bCs/>
          <w:sz w:val="18"/>
          <w:szCs w:val="18"/>
        </w:rPr>
        <w:t>SD</w:t>
      </w:r>
      <w:r w:rsidRPr="00837A19">
        <w:rPr>
          <w:rFonts w:eastAsia="Times New Roman" w:cstheme="minorHAnsi"/>
          <w:sz w:val="18"/>
          <w:szCs w:val="18"/>
        </w:rPr>
        <w:t xml:space="preserve">: Standard Deviation. </w:t>
      </w:r>
      <w:r w:rsidRPr="00837A19">
        <w:rPr>
          <w:rFonts w:eastAsia="Times New Roman" w:cstheme="minorHAnsi"/>
          <w:b/>
          <w:bCs/>
          <w:sz w:val="18"/>
          <w:szCs w:val="18"/>
        </w:rPr>
        <w:t>K-W</w:t>
      </w:r>
      <w:r w:rsidRPr="00837A19">
        <w:rPr>
          <w:rFonts w:eastAsia="Times New Roman" w:cstheme="minorHAnsi"/>
          <w:sz w:val="18"/>
          <w:szCs w:val="18"/>
        </w:rPr>
        <w:t xml:space="preserve">: Kruskal-Wallis test; </w:t>
      </w:r>
      <w:r w:rsidRPr="00837A19">
        <w:rPr>
          <w:rFonts w:eastAsia="Times New Roman" w:cstheme="minorHAnsi"/>
          <w:b/>
          <w:bCs/>
          <w:sz w:val="18"/>
          <w:szCs w:val="18"/>
        </w:rPr>
        <w:t>ANOVA</w:t>
      </w:r>
      <w:r w:rsidRPr="00837A19">
        <w:rPr>
          <w:rFonts w:eastAsia="Times New Roman" w:cstheme="minorHAnsi"/>
          <w:sz w:val="18"/>
          <w:szCs w:val="18"/>
        </w:rPr>
        <w:t>: One-Way ANOVA. Effect size: η² (for ANOVA), ε² (for Kruskal-Wallis). Post-hoc: Dunn test with Bonferroni correction. * p&lt;0.05  ** p&lt;0.01  *** p&lt;0.001</w:t>
      </w:r>
    </w:p>
    <w:p w14:paraId="53BA4E9A" w14:textId="77777777" w:rsidR="006824EB" w:rsidRPr="00837A19" w:rsidRDefault="006824EB" w:rsidP="006824EB">
      <w:pPr>
        <w:spacing w:before="100"/>
        <w:rPr>
          <w:rFonts w:cstheme="minorHAnsi"/>
          <w:sz w:val="20"/>
          <w:szCs w:val="20"/>
        </w:rPr>
      </w:pPr>
    </w:p>
    <w:p w14:paraId="2D6658D7" w14:textId="6392CC81" w:rsidR="006824EB" w:rsidRPr="00837A19" w:rsidRDefault="006824EB" w:rsidP="006824EB">
      <w:pPr>
        <w:rPr>
          <w:rFonts w:cstheme="minorHAnsi"/>
        </w:rPr>
      </w:pPr>
      <w:r w:rsidRPr="00837A19">
        <w:rPr>
          <w:rFonts w:eastAsia="Times New Roman" w:cstheme="minorHAnsi"/>
          <w:b/>
          <w:bCs/>
          <w:sz w:val="24"/>
          <w:szCs w:val="24"/>
        </w:rPr>
        <w:t xml:space="preserve">Table </w:t>
      </w:r>
      <w:r w:rsidR="00E44CAC">
        <w:rPr>
          <w:rFonts w:eastAsia="Times New Roman" w:cstheme="minorHAnsi"/>
          <w:b/>
          <w:bCs/>
          <w:sz w:val="24"/>
          <w:szCs w:val="24"/>
        </w:rPr>
        <w:t>3</w:t>
      </w:r>
      <w:r w:rsidRPr="00837A19">
        <w:rPr>
          <w:rFonts w:eastAsia="Times New Roman" w:cstheme="minorHAnsi"/>
          <w:b/>
          <w:bCs/>
          <w:sz w:val="24"/>
          <w:szCs w:val="24"/>
        </w:rPr>
        <w:t>. ROC Analysis – Diagnostic Accuracy (Ranked by AUC)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00"/>
        <w:gridCol w:w="1200"/>
        <w:gridCol w:w="1000"/>
        <w:gridCol w:w="1600"/>
        <w:gridCol w:w="1000"/>
        <w:gridCol w:w="900"/>
        <w:gridCol w:w="900"/>
      </w:tblGrid>
      <w:tr w:rsidR="006824EB" w14:paraId="6A663B06" w14:textId="77777777" w:rsidTr="00B83932">
        <w:trPr>
          <w:tblHeader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A6B035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Parameter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6C65F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Group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909F8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AUC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43EB7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95% CI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ADC2C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Cutoff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16E24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Sens.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7EE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F3934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Spec.</w:t>
            </w:r>
          </w:p>
        </w:tc>
      </w:tr>
      <w:tr w:rsidR="006824EB" w14:paraId="1407A519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F33768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SP/AP area 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A1960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9047C8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2B256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[1.000, 1.000]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46EE1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296E3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76A0E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1FE6AD73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556822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888EB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D8867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AC01C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[1.000, 1.000]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C70F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01615AF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4ABAA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43619E94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98CB19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SP–Base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B4725F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947CC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82D49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[1.000, 1.000]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121EAC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3903B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F4FCC6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B47D645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30D63B8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SP/AP area 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B7360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A1710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A791CD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[1.000, 1.000]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3551A8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E7C1D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0497F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54C18385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F3FD98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SP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45472A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C05B7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C81F7C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[1.000, 1.000]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0AE6A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3E92D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933E1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CF1EE59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DF61A1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Left AP–Base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B12EEF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6271A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0.925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AFAE1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[0.834, 0.996]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B5D99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69ECD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84.2%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8AF022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97.7%</w:t>
            </w:r>
          </w:p>
        </w:tc>
      </w:tr>
      <w:tr w:rsidR="006824EB" w14:paraId="3ADBC6E1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51D347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SP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2329E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E0A637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0.914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96DE6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[0.810, 0.986]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DF70F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FD48C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DE226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0F92C616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697551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AP–Base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C6542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97510F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0.909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0D6DB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[0.798, 0.990]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36C0F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095F2D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91E88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D842AB5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CC5E634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SP/AP area 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D12D0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6778B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0.879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8E3B46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[0.739, 0.993]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884DADF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CD932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82.6%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893E9F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4FB6492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2674A81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AP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FA20E2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05DF7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0.852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5A7DE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[0.722, 0.962]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9D883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1.700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7FC31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B6CB8D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13778865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4E20C9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SP/AP amplitude 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F4CA08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B6347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0.846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080E5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[0.683, 0.991]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61A767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03FBE2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78.9%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86E888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97.7%</w:t>
            </w:r>
          </w:p>
        </w:tc>
      </w:tr>
      <w:tr w:rsidR="006824EB" w14:paraId="16ACF83F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B841C3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AP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6BFC31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ABF66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0.843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118142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[0.707, 0.960]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3CABE8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FBA25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8F11D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D4DB668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4BC3BC4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AP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4D8E7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Severe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604BC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0.838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F478FC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[0.646, 1.000]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6446A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F80BE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80.0%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2EE5C0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02C76051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95BBEA0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SP–Base (µV)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FACC9E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2CB861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0.799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4E3863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[0.632, 0.947]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A06A0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010996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73.7%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7D934B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44209D5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C6C7C8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5EB087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4B0761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0.797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AF981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[0.648, 0.933]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6B741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45265B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72.0%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15B80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93.0%</w:t>
            </w:r>
          </w:p>
        </w:tc>
      </w:tr>
      <w:tr w:rsidR="006824EB" w14:paraId="65E52ED3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80250B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19E9C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2ADF9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0.788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CFC12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[0.636, 0.920]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C32ACC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1BD29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96AEBD0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6716CBF7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42518F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SP–Base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3FACE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D9A8A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0.787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2732F6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[0.622, 0.929]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7DAAE4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0.220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B5BD7D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76.0%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D75464E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01D476EB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9BB452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AP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6195B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B964E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618A9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[0.642, 0.905]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0EF9C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B9049B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68BAD6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97.7%</w:t>
            </w:r>
          </w:p>
        </w:tc>
      </w:tr>
      <w:tr w:rsidR="006824EB" w14:paraId="6CC6CF66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EE2BA4F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AP area (ms·µV)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B12579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9B74C7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0.785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FD60C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[0.600, 0.939]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775DB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0.080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52BC4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68.4%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50E9DC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26B22EAB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0F778A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AP–Base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69A9C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Severe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A3C79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0.759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C2C7C1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[0.558, 0.917]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1A24E5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0.660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A3FF0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73.7%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07A80F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97.7%</w:t>
            </w:r>
          </w:p>
        </w:tc>
      </w:tr>
      <w:tr w:rsidR="006824EB" w14:paraId="1F18F69F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B50CBF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AP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8B6BED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Severe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C36A69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0.729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4D61C1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[0.541, 0.907]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501091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1.270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3C72DC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61.1%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34AE8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01CED50E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BB9E95C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AP–Base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63A3FB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3AB52C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0.720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E9298F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[0.539, 0.871]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90245C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73C5A5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47.4%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16243C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73C25883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D0308E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3B9D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5C457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0E2BFF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[0.558, 0.862]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5EAAA90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9E35A0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56.0%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E7BF065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3D46C17B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1CA832B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Base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116B98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Severe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D9212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7D9B838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[0.533, 0.891]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67D417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46501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57.9%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7A9F8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3B71AB60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E795171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Right SP–Base (µV)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F363A0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E5C566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6AF0F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[0.547, 0.870]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AA841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499B90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64.0%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85BF92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93.0%</w:t>
            </w:r>
          </w:p>
        </w:tc>
      </w:tr>
      <w:tr w:rsidR="006824EB" w14:paraId="68AFDE43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2C85ECA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SP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BE927D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Severe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AAA01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0.711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ECBD67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[0.526, 0.895]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F04E3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9F5F896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68.4%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C4E7372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5EC34044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DEEA84D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Left SP/AP area ratio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7BB6466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Moderate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B07490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0.709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189D003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[0.534, 0.875]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EFDD297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2.330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A84B9FB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63.6%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0DFA4D4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100.0%</w:t>
            </w:r>
          </w:p>
        </w:tc>
      </w:tr>
      <w:tr w:rsidR="006824EB" w14:paraId="64149FDB" w14:textId="77777777" w:rsidTr="00B83932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3855616" w14:textId="77777777" w:rsidR="006824EB" w:rsidRDefault="006824EB" w:rsidP="00B83932"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Right AP (ms)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D44344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Mild OSAS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C95662D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0.702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A7D878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[0.519, 0.884]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CC5A601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1.290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57E4B5C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63.2%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91DB77A" w14:textId="77777777" w:rsidR="006824EB" w:rsidRDefault="006824EB" w:rsidP="00B8393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97.7%</w:t>
            </w:r>
          </w:p>
        </w:tc>
      </w:tr>
    </w:tbl>
    <w:p w14:paraId="06457AEA" w14:textId="77777777" w:rsidR="006824EB" w:rsidRPr="00837A19" w:rsidRDefault="006824EB" w:rsidP="006824EB">
      <w:pPr>
        <w:spacing w:before="120"/>
        <w:rPr>
          <w:rFonts w:cstheme="minorHAnsi"/>
        </w:rPr>
      </w:pPr>
      <w:r w:rsidRPr="00837A19">
        <w:rPr>
          <w:rFonts w:eastAsia="Times New Roman" w:cstheme="minorHAnsi"/>
          <w:sz w:val="18"/>
          <w:szCs w:val="18"/>
        </w:rPr>
        <w:t xml:space="preserve">Cutoff points were determined using the Youden index (J = Sensitivity + Specificity − 1). AUC 95% confidence intervals were calculated with 2000 bootstrap iterations. All comparisons were made between the relevant OSAS subgroup and the Control group. </w:t>
      </w:r>
      <w:r w:rsidRPr="00837A19">
        <w:rPr>
          <w:rFonts w:eastAsia="Times New Roman" w:cstheme="minorHAnsi"/>
          <w:b/>
          <w:bCs/>
          <w:sz w:val="18"/>
          <w:szCs w:val="18"/>
        </w:rPr>
        <w:t>AUC</w:t>
      </w:r>
      <w:r w:rsidRPr="00837A19">
        <w:rPr>
          <w:rFonts w:eastAsia="Times New Roman" w:cstheme="minorHAnsi"/>
          <w:sz w:val="18"/>
          <w:szCs w:val="18"/>
        </w:rPr>
        <w:t xml:space="preserve">: ≥0.90 Excellent | 0.80–0.89 Good | 0.70–0.79 Acceptable. </w:t>
      </w:r>
      <w:r w:rsidRPr="00837A19">
        <w:rPr>
          <w:rFonts w:eastAsia="Times New Roman" w:cstheme="minorHAnsi"/>
          <w:b/>
          <w:bCs/>
          <w:sz w:val="18"/>
          <w:szCs w:val="18"/>
        </w:rPr>
        <w:t>Sens.</w:t>
      </w:r>
      <w:r w:rsidRPr="00837A19">
        <w:rPr>
          <w:rFonts w:eastAsia="Times New Roman" w:cstheme="minorHAnsi"/>
          <w:sz w:val="18"/>
          <w:szCs w:val="18"/>
        </w:rPr>
        <w:t xml:space="preserve">: Sensitivity; </w:t>
      </w:r>
      <w:r w:rsidRPr="00837A19">
        <w:rPr>
          <w:rFonts w:eastAsia="Times New Roman" w:cstheme="minorHAnsi"/>
          <w:b/>
          <w:bCs/>
          <w:sz w:val="18"/>
          <w:szCs w:val="18"/>
        </w:rPr>
        <w:t>Spec.</w:t>
      </w:r>
      <w:r w:rsidRPr="00837A19">
        <w:rPr>
          <w:rFonts w:eastAsia="Times New Roman" w:cstheme="minorHAnsi"/>
          <w:sz w:val="18"/>
          <w:szCs w:val="18"/>
        </w:rPr>
        <w:t xml:space="preserve">: Specificity; </w:t>
      </w:r>
      <w:r w:rsidRPr="00837A19">
        <w:rPr>
          <w:rFonts w:eastAsia="Times New Roman" w:cstheme="minorHAnsi"/>
          <w:b/>
          <w:bCs/>
          <w:sz w:val="18"/>
          <w:szCs w:val="18"/>
        </w:rPr>
        <w:t>CI</w:t>
      </w:r>
      <w:r w:rsidRPr="00837A19">
        <w:rPr>
          <w:rFonts w:eastAsia="Times New Roman" w:cstheme="minorHAnsi"/>
          <w:sz w:val="18"/>
          <w:szCs w:val="18"/>
        </w:rPr>
        <w:t>: Confidence Interval.</w:t>
      </w:r>
    </w:p>
    <w:p w14:paraId="2BB8C7A5" w14:textId="77777777" w:rsidR="006824EB" w:rsidRDefault="006824EB"/>
    <w:sectPr w:rsidR="00682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EB"/>
    <w:rsid w:val="0019647A"/>
    <w:rsid w:val="003A33EB"/>
    <w:rsid w:val="006824EB"/>
    <w:rsid w:val="00E4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4FC1F9"/>
  <w15:chartTrackingRefBased/>
  <w15:docId w15:val="{1EC755FD-D8F2-A242-AEB9-643B331E8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4EB"/>
    <w:pPr>
      <w:spacing w:line="259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6824E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824E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824E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824E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824E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824E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824E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824E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824E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824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824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824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824E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824E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824E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824E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824E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824E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824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824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824E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824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824E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6824E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824EB"/>
    <w:pPr>
      <w:spacing w:line="278" w:lineRule="auto"/>
      <w:ind w:left="720"/>
      <w:contextualSpacing/>
    </w:pPr>
    <w:rPr>
      <w:sz w:val="24"/>
      <w:szCs w:val="24"/>
    </w:rPr>
  </w:style>
  <w:style w:type="character" w:styleId="GlVurgulama">
    <w:name w:val="Intense Emphasis"/>
    <w:basedOn w:val="VarsaylanParagrafYazTipi"/>
    <w:uiPriority w:val="21"/>
    <w:qFormat/>
    <w:rsid w:val="006824E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824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GlAlntChar">
    <w:name w:val="Güçlü Alıntı Char"/>
    <w:basedOn w:val="VarsaylanParagrafYazTipi"/>
    <w:link w:val="GlAlnt"/>
    <w:uiPriority w:val="30"/>
    <w:rsid w:val="006824E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824E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44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1047</Words>
  <Characters>5971</Characters>
  <Application>Microsoft Office Word</Application>
  <DocSecurity>0</DocSecurity>
  <Lines>49</Lines>
  <Paragraphs>14</Paragraphs>
  <ScaleCrop>false</ScaleCrop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Aslan</dc:creator>
  <cp:keywords/>
  <dc:description/>
  <cp:lastModifiedBy>Mehmet Aslan</cp:lastModifiedBy>
  <cp:revision>2</cp:revision>
  <dcterms:created xsi:type="dcterms:W3CDTF">2026-04-02T23:59:00Z</dcterms:created>
  <dcterms:modified xsi:type="dcterms:W3CDTF">2026-04-22T19:51:00Z</dcterms:modified>
</cp:coreProperties>
</file>