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9145F" w14:textId="1308627A" w:rsidR="00B536F3" w:rsidRPr="00590236" w:rsidRDefault="00B536F3" w:rsidP="009F772E">
      <w:pPr>
        <w:pStyle w:val="NormalWeb"/>
        <w:spacing w:line="360" w:lineRule="auto"/>
        <w:jc w:val="center"/>
        <w:rPr>
          <w:rStyle w:val="Strong"/>
          <w:rFonts w:ascii="Arial" w:eastAsiaTheme="majorEastAsia" w:hAnsi="Arial" w:cs="Arial"/>
          <w:b w:val="0"/>
          <w:bCs w:val="0"/>
        </w:rPr>
      </w:pPr>
      <w:r w:rsidRPr="00590236">
        <w:rPr>
          <w:rStyle w:val="Strong"/>
          <w:rFonts w:ascii="Arial" w:eastAsiaTheme="majorEastAsia" w:hAnsi="Arial" w:cs="Arial"/>
          <w:b w:val="0"/>
          <w:bCs w:val="0"/>
        </w:rPr>
        <w:t>Supplementary material</w:t>
      </w:r>
    </w:p>
    <w:p w14:paraId="72990B4B" w14:textId="5B47893F" w:rsidR="00F12D7B" w:rsidRPr="00590236" w:rsidRDefault="00F12D7B" w:rsidP="00A143DC">
      <w:pPr>
        <w:pStyle w:val="NormalWeb"/>
        <w:spacing w:line="360" w:lineRule="auto"/>
        <w:jc w:val="center"/>
        <w:rPr>
          <w:rFonts w:ascii="Arial" w:hAnsi="Arial" w:cs="Arial"/>
        </w:rPr>
      </w:pPr>
      <w:r w:rsidRPr="00590236">
        <w:rPr>
          <w:rStyle w:val="Strong"/>
          <w:rFonts w:ascii="Arial" w:eastAsiaTheme="majorEastAsia" w:hAnsi="Arial" w:cs="Arial"/>
        </w:rPr>
        <w:t>Seasonal air–sea coupling drives tropical Atlantic multidecadal variability and its impact</w:t>
      </w:r>
    </w:p>
    <w:p w14:paraId="695164E8" w14:textId="77777777" w:rsidR="00F12D7B" w:rsidRPr="00590236" w:rsidRDefault="00F12D7B"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p>
    <w:p w14:paraId="11D28DF4" w14:textId="77777777" w:rsidR="00313515" w:rsidRPr="00590236" w:rsidRDefault="00313515"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p>
    <w:p w14:paraId="6435EB07" w14:textId="3B7DDBC2" w:rsidR="00975F3F" w:rsidRPr="00590236" w:rsidRDefault="00975F3F"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sidRPr="00590236">
        <w:rPr>
          <w:rFonts w:ascii="Arial" w:eastAsia="Times New Roman" w:hAnsi="Arial" w:cs="Arial"/>
          <w:b/>
          <w:bCs/>
          <w:kern w:val="0"/>
          <w:lang w:eastAsia="en-GB"/>
          <w14:ligatures w14:val="none"/>
        </w:rPr>
        <w:t>Contents:</w:t>
      </w:r>
    </w:p>
    <w:p w14:paraId="375A49EB" w14:textId="505A591E" w:rsidR="00975F3F" w:rsidRPr="00590236" w:rsidRDefault="00975F3F" w:rsidP="00590236">
      <w:pPr>
        <w:pStyle w:val="ListParagraph"/>
        <w:numPr>
          <w:ilvl w:val="0"/>
          <w:numId w:val="2"/>
        </w:numPr>
        <w:spacing w:before="100" w:beforeAutospacing="1" w:after="100" w:afterAutospacing="1" w:line="360" w:lineRule="auto"/>
        <w:jc w:val="both"/>
        <w:outlineLvl w:val="2"/>
        <w:rPr>
          <w:rFonts w:ascii="Arial" w:eastAsia="Times New Roman" w:hAnsi="Arial" w:cs="Arial"/>
          <w:kern w:val="0"/>
          <w:lang w:eastAsia="en-GB"/>
          <w14:ligatures w14:val="none"/>
        </w:rPr>
      </w:pPr>
      <w:r w:rsidRPr="00590236">
        <w:rPr>
          <w:rFonts w:ascii="Arial" w:eastAsia="Times New Roman" w:hAnsi="Arial" w:cs="Arial"/>
          <w:kern w:val="0"/>
          <w:lang w:eastAsia="en-GB"/>
          <w14:ligatures w14:val="none"/>
        </w:rPr>
        <w:t>Supplementary Text 1</w:t>
      </w:r>
    </w:p>
    <w:p w14:paraId="37C01F96" w14:textId="7089AE23" w:rsidR="00975F3F" w:rsidRPr="00590236" w:rsidRDefault="00975F3F" w:rsidP="00590236">
      <w:pPr>
        <w:pStyle w:val="ListParagraph"/>
        <w:numPr>
          <w:ilvl w:val="0"/>
          <w:numId w:val="2"/>
        </w:numPr>
        <w:spacing w:before="100" w:beforeAutospacing="1" w:after="100" w:afterAutospacing="1" w:line="360" w:lineRule="auto"/>
        <w:jc w:val="both"/>
        <w:outlineLvl w:val="2"/>
        <w:rPr>
          <w:rFonts w:ascii="Arial" w:eastAsia="Times New Roman" w:hAnsi="Arial" w:cs="Arial"/>
          <w:kern w:val="0"/>
          <w:lang w:eastAsia="en-GB"/>
          <w14:ligatures w14:val="none"/>
        </w:rPr>
      </w:pPr>
      <w:r w:rsidRPr="00590236">
        <w:rPr>
          <w:rFonts w:ascii="Arial" w:eastAsia="Times New Roman" w:hAnsi="Arial" w:cs="Arial"/>
          <w:kern w:val="0"/>
          <w:lang w:eastAsia="en-GB"/>
          <w14:ligatures w14:val="none"/>
        </w:rPr>
        <w:t>Supplementary Tables 1-5</w:t>
      </w:r>
    </w:p>
    <w:p w14:paraId="777D852B" w14:textId="0C298B7E" w:rsidR="00975F3F" w:rsidRPr="00590236" w:rsidRDefault="00975F3F" w:rsidP="00590236">
      <w:pPr>
        <w:pStyle w:val="ListParagraph"/>
        <w:numPr>
          <w:ilvl w:val="0"/>
          <w:numId w:val="2"/>
        </w:numPr>
        <w:spacing w:before="100" w:beforeAutospacing="1" w:after="100" w:afterAutospacing="1" w:line="360" w:lineRule="auto"/>
        <w:jc w:val="both"/>
        <w:outlineLvl w:val="2"/>
        <w:rPr>
          <w:rFonts w:ascii="Arial" w:eastAsia="Times New Roman" w:hAnsi="Arial" w:cs="Arial"/>
          <w:kern w:val="0"/>
          <w:lang w:eastAsia="en-GB"/>
          <w14:ligatures w14:val="none"/>
        </w:rPr>
      </w:pPr>
      <w:r w:rsidRPr="00590236">
        <w:rPr>
          <w:rFonts w:ascii="Arial" w:eastAsia="Times New Roman" w:hAnsi="Arial" w:cs="Arial"/>
          <w:kern w:val="0"/>
          <w:lang w:eastAsia="en-GB"/>
          <w14:ligatures w14:val="none"/>
        </w:rPr>
        <w:t>Supplementary Figures 1-15</w:t>
      </w:r>
    </w:p>
    <w:p w14:paraId="477B9253" w14:textId="77777777" w:rsidR="00975F3F" w:rsidRPr="00590236" w:rsidRDefault="00975F3F" w:rsidP="00590236">
      <w:pPr>
        <w:spacing w:before="100" w:beforeAutospacing="1" w:after="100" w:afterAutospacing="1" w:line="360" w:lineRule="auto"/>
        <w:jc w:val="both"/>
        <w:outlineLvl w:val="2"/>
        <w:rPr>
          <w:rFonts w:ascii="Arial" w:eastAsia="Times New Roman" w:hAnsi="Arial" w:cs="Arial"/>
          <w:kern w:val="0"/>
          <w:lang w:eastAsia="en-GB"/>
          <w14:ligatures w14:val="none"/>
        </w:rPr>
      </w:pPr>
    </w:p>
    <w:p w14:paraId="6AFA47C7" w14:textId="77777777" w:rsidR="00313515" w:rsidRPr="00590236" w:rsidRDefault="00313515"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sidRPr="00590236">
        <w:rPr>
          <w:rFonts w:ascii="Arial" w:eastAsia="Times New Roman" w:hAnsi="Arial" w:cs="Arial"/>
          <w:b/>
          <w:bCs/>
          <w:kern w:val="0"/>
          <w:lang w:eastAsia="en-GB"/>
          <w14:ligatures w14:val="none"/>
        </w:rPr>
        <w:br w:type="page"/>
      </w:r>
    </w:p>
    <w:p w14:paraId="654F58E3" w14:textId="2B46FB15" w:rsidR="001547DA" w:rsidRPr="00590236" w:rsidRDefault="001547DA"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sidRPr="00590236">
        <w:rPr>
          <w:rFonts w:ascii="Arial" w:eastAsia="Times New Roman" w:hAnsi="Arial" w:cs="Arial"/>
          <w:b/>
          <w:bCs/>
          <w:kern w:val="0"/>
          <w:lang w:eastAsia="en-GB"/>
          <w14:ligatures w14:val="none"/>
        </w:rPr>
        <w:lastRenderedPageBreak/>
        <w:t xml:space="preserve">Supplementary Text 1 | </w:t>
      </w:r>
      <w:r w:rsidRPr="00590236">
        <w:rPr>
          <w:rFonts w:ascii="Arial" w:hAnsi="Arial" w:cs="Arial"/>
          <w:b/>
          <w:bCs/>
        </w:rPr>
        <w:t xml:space="preserve">First-order linear decomposition of the </w:t>
      </w:r>
      <w:r w:rsidR="00C05CB3" w:rsidRPr="00590236">
        <w:rPr>
          <w:rFonts w:ascii="Arial" w:hAnsi="Arial" w:cs="Arial"/>
          <w:b/>
          <w:bCs/>
        </w:rPr>
        <w:t xml:space="preserve">net </w:t>
      </w:r>
      <w:r w:rsidRPr="00590236">
        <w:rPr>
          <w:rFonts w:ascii="Arial" w:hAnsi="Arial" w:cs="Arial"/>
          <w:b/>
          <w:bCs/>
        </w:rPr>
        <w:t xml:space="preserve">surface </w:t>
      </w:r>
      <w:r w:rsidR="00C05CB3" w:rsidRPr="00590236">
        <w:rPr>
          <w:rFonts w:ascii="Arial" w:hAnsi="Arial" w:cs="Arial"/>
          <w:b/>
          <w:bCs/>
        </w:rPr>
        <w:t>heat-</w:t>
      </w:r>
      <w:r w:rsidRPr="00590236">
        <w:rPr>
          <w:rFonts w:ascii="Arial" w:hAnsi="Arial" w:cs="Arial"/>
          <w:b/>
          <w:bCs/>
        </w:rPr>
        <w:t>flux term</w:t>
      </w:r>
    </w:p>
    <w:p w14:paraId="3011EB36" w14:textId="0EE4E6C9" w:rsidR="001547DA" w:rsidRPr="00590236" w:rsidRDefault="001547DA" w:rsidP="00590236">
      <w:pPr>
        <w:spacing w:line="360" w:lineRule="auto"/>
        <w:jc w:val="both"/>
        <w:rPr>
          <w:rFonts w:ascii="Arial" w:hAnsi="Arial" w:cs="Arial"/>
        </w:rPr>
      </w:pPr>
      <w:r w:rsidRPr="00590236">
        <w:rPr>
          <w:rFonts w:ascii="Arial" w:hAnsi="Arial" w:cs="Arial"/>
        </w:rPr>
        <w:t xml:space="preserve">We consider the mixed-layer temperature tendency term associated with </w:t>
      </w:r>
      <w:r w:rsidR="00EC2683" w:rsidRPr="00590236">
        <w:rPr>
          <w:rFonts w:ascii="Arial" w:hAnsi="Arial" w:cs="Arial"/>
        </w:rPr>
        <w:t xml:space="preserve">net </w:t>
      </w:r>
      <w:r w:rsidRPr="00590236">
        <w:rPr>
          <w:rFonts w:ascii="Arial" w:hAnsi="Arial" w:cs="Arial"/>
        </w:rPr>
        <w:t>surface heat</w:t>
      </w:r>
      <w:r w:rsidR="00EC2683" w:rsidRPr="00590236">
        <w:rPr>
          <w:rFonts w:ascii="Arial" w:hAnsi="Arial" w:cs="Arial"/>
        </w:rPr>
        <w:t>-</w:t>
      </w:r>
      <w:r w:rsidRPr="00590236">
        <w:rPr>
          <w:rFonts w:ascii="Arial" w:hAnsi="Arial" w:cs="Arial"/>
        </w:rPr>
        <w:t>fluxes:</w:t>
      </w:r>
    </w:p>
    <w:p w14:paraId="3A793BED" w14:textId="0A7B34C3" w:rsidR="001547DA" w:rsidRPr="00590236" w:rsidRDefault="001547DA" w:rsidP="00590236">
      <w:pPr>
        <w:spacing w:line="360" w:lineRule="auto"/>
        <w:jc w:val="both"/>
        <w:rPr>
          <w:rFonts w:ascii="Arial" w:hAnsi="Arial" w:cs="Arial"/>
        </w:rPr>
      </w:pPr>
      <m:oMathPara>
        <m:oMath>
          <m:r>
            <w:rPr>
              <w:rFonts w:ascii="Cambria Math" w:hAnsi="Cambria Math" w:cs="Arial"/>
            </w:rPr>
            <m:t>F</m:t>
          </m:r>
          <m:r>
            <m:rPr>
              <m:nor/>
            </m:rPr>
            <w:rPr>
              <w:rFonts w:ascii="Arial" w:hAnsi="Arial" w:cs="Arial"/>
            </w:rPr>
            <m:t>  </m:t>
          </m:r>
          <m:r>
            <w:rPr>
              <w:rFonts w:ascii="Cambria Math" w:hAnsi="Cambria Math" w:cs="Arial"/>
            </w:rPr>
            <m:t>=</m:t>
          </m:r>
          <m:r>
            <m:rPr>
              <m:nor/>
            </m:rPr>
            <w:rPr>
              <w:rFonts w:ascii="Arial" w:hAnsi="Arial" w:cs="Arial"/>
            </w:rPr>
            <m:t>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net</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d</m:t>
                  </m:r>
                </m:sub>
              </m:sSub>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r>
                <w:rPr>
                  <w:rFonts w:ascii="Cambria Math" w:hAnsi="Cambria Math" w:cs="Arial"/>
                </w:rPr>
                <m:t>H</m:t>
              </m:r>
            </m:den>
          </m:f>
          <m:r>
            <m:rPr>
              <m:sty m:val="p"/>
            </m:rPr>
            <w:rPr>
              <w:rFonts w:ascii="Cambria Math" w:hAnsi="Cambria Math" w:cs="Arial"/>
            </w:rPr>
            <m:t>.</m:t>
          </m:r>
          <m:r>
            <m:rPr>
              <m:sty m:val="p"/>
            </m:rPr>
            <w:rPr>
              <w:rFonts w:ascii="Cambria Math" w:hAnsi="Cambria Math" w:cs="Arial"/>
            </w:rPr>
            <w:br/>
          </m:r>
        </m:oMath>
      </m:oMathPara>
    </w:p>
    <w:p w14:paraId="57FCCD9C" w14:textId="77777777" w:rsidR="001547DA" w:rsidRPr="00590236" w:rsidRDefault="001547DA" w:rsidP="00590236">
      <w:pPr>
        <w:spacing w:line="360" w:lineRule="auto"/>
        <w:jc w:val="both"/>
        <w:rPr>
          <w:rFonts w:ascii="Arial" w:hAnsi="Arial" w:cs="Arial"/>
        </w:rPr>
      </w:pPr>
      <w:r w:rsidRPr="00590236">
        <w:rPr>
          <w:rFonts w:ascii="Arial" w:hAnsi="Arial" w:cs="Arial"/>
        </w:rPr>
        <w:t>Here,</w:t>
      </w:r>
    </w:p>
    <w:p w14:paraId="1868C3B3" w14:textId="77777777" w:rsidR="001547DA" w:rsidRPr="00590236" w:rsidRDefault="005918EA" w:rsidP="00590236">
      <w:pPr>
        <w:numPr>
          <w:ilvl w:val="0"/>
          <w:numId w:val="1"/>
        </w:numPr>
        <w:spacing w:line="360" w:lineRule="auto"/>
        <w:jc w:val="both"/>
        <w:rPr>
          <w:rFonts w:ascii="Arial" w:hAnsi="Arial" w:cs="Arial"/>
        </w:rPr>
      </w:pPr>
      <m:oMath>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net</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SW</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LW</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LHF</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SHF</m:t>
            </m:r>
          </m:sub>
        </m:sSub>
      </m:oMath>
      <w:r w:rsidR="001547DA" w:rsidRPr="00590236">
        <w:rPr>
          <w:rFonts w:ascii="Arial" w:hAnsi="Arial" w:cs="Arial"/>
        </w:rPr>
        <w:t>,</w:t>
      </w:r>
    </w:p>
    <w:p w14:paraId="06285E55" w14:textId="272DBB36" w:rsidR="001547DA" w:rsidRPr="00590236" w:rsidRDefault="005918EA" w:rsidP="00590236">
      <w:pPr>
        <w:numPr>
          <w:ilvl w:val="0"/>
          <w:numId w:val="1"/>
        </w:numPr>
        <w:spacing w:line="360" w:lineRule="auto"/>
        <w:jc w:val="both"/>
        <w:rPr>
          <w:rFonts w:ascii="Arial" w:hAnsi="Arial" w:cs="Arial"/>
        </w:rPr>
      </w:pPr>
      <m:oMath>
        <m:sSub>
          <m:sSubPr>
            <m:ctrlPr>
              <w:rPr>
                <w:rFonts w:ascii="Cambria Math" w:hAnsi="Cambria Math" w:cs="Arial"/>
              </w:rPr>
            </m:ctrlPr>
          </m:sSubPr>
          <m:e>
            <m:r>
              <w:rPr>
                <w:rFonts w:ascii="Cambria Math" w:hAnsi="Cambria Math" w:cs="Arial"/>
              </w:rPr>
              <m:t>q</m:t>
            </m:r>
          </m:e>
          <m:sub>
            <m:r>
              <w:rPr>
                <w:rFonts w:ascii="Cambria Math" w:hAnsi="Cambria Math" w:cs="Arial"/>
              </w:rPr>
              <m:t>d</m:t>
            </m:r>
          </m:sub>
        </m:sSub>
        <m:r>
          <w:rPr>
            <w:rFonts w:ascii="Cambria Math" w:hAnsi="Cambria Math" w:cs="Arial"/>
          </w:rPr>
          <m:t xml:space="preserve"> </m:t>
        </m:r>
      </m:oMath>
      <w:r w:rsidR="001547DA" w:rsidRPr="00590236">
        <w:rPr>
          <w:rFonts w:ascii="Arial" w:hAnsi="Arial" w:cs="Arial"/>
        </w:rPr>
        <w:t xml:space="preserve">represents the shortwave radiation penetrating below the mixed-layer depth </w:t>
      </w:r>
      <m:oMath>
        <m:r>
          <w:rPr>
            <w:rFonts w:ascii="Cambria Math" w:hAnsi="Cambria Math" w:cs="Arial"/>
          </w:rPr>
          <m:t>H</m:t>
        </m:r>
      </m:oMath>
      <w:r w:rsidR="001547DA" w:rsidRPr="00590236">
        <w:rPr>
          <w:rFonts w:ascii="Arial" w:hAnsi="Arial" w:cs="Arial"/>
        </w:rPr>
        <w:t>,</w:t>
      </w:r>
    </w:p>
    <w:p w14:paraId="55B78E1D" w14:textId="2073D272" w:rsidR="001547DA" w:rsidRPr="00590236" w:rsidRDefault="001547DA" w:rsidP="00590236">
      <w:pPr>
        <w:numPr>
          <w:ilvl w:val="0"/>
          <w:numId w:val="1"/>
        </w:numPr>
        <w:spacing w:line="360" w:lineRule="auto"/>
        <w:jc w:val="both"/>
        <w:rPr>
          <w:rFonts w:ascii="Arial" w:hAnsi="Arial" w:cs="Arial"/>
        </w:rPr>
      </w:pPr>
      <m:oMath>
        <m:r>
          <w:rPr>
            <w:rFonts w:ascii="Cambria Math" w:hAnsi="Cambria Math" w:cs="Arial"/>
          </w:rPr>
          <m:t>ρ</m:t>
        </m:r>
        <m:r>
          <w:rPr>
            <w:rFonts w:ascii="Cambria Math" w:hAnsi="Cambria Math" w:cs="Arial"/>
          </w:rPr>
          <m:t xml:space="preserve"> </m:t>
        </m:r>
      </m:oMath>
      <w:r w:rsidRPr="00590236">
        <w:rPr>
          <w:rFonts w:ascii="Arial" w:hAnsi="Arial" w:cs="Arial"/>
        </w:rPr>
        <w:t>is seawater density, and</w:t>
      </w:r>
    </w:p>
    <w:p w14:paraId="7DD3C0F4" w14:textId="165D325D" w:rsidR="001547DA" w:rsidRPr="00590236" w:rsidRDefault="005918EA" w:rsidP="00590236">
      <w:pPr>
        <w:numPr>
          <w:ilvl w:val="0"/>
          <w:numId w:val="1"/>
        </w:numPr>
        <w:spacing w:line="360" w:lineRule="auto"/>
        <w:jc w:val="both"/>
        <w:rPr>
          <w:rFonts w:ascii="Arial" w:hAnsi="Arial" w:cs="Arial"/>
        </w:rPr>
      </w:pPr>
      <m:oMath>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r>
          <w:rPr>
            <w:rFonts w:ascii="Cambria Math" w:hAnsi="Cambria Math" w:cs="Arial"/>
          </w:rPr>
          <m:t xml:space="preserve"> </m:t>
        </m:r>
      </m:oMath>
      <w:r w:rsidR="001547DA" w:rsidRPr="00590236">
        <w:rPr>
          <w:rFonts w:ascii="Arial" w:hAnsi="Arial" w:cs="Arial"/>
        </w:rPr>
        <w:t>is the specific heat capacity of seawater.</w:t>
      </w:r>
    </w:p>
    <w:p w14:paraId="1E6C394B" w14:textId="77777777" w:rsidR="00EC2683" w:rsidRPr="00590236" w:rsidRDefault="00EC2683" w:rsidP="00590236">
      <w:pPr>
        <w:spacing w:line="360" w:lineRule="auto"/>
        <w:jc w:val="both"/>
        <w:rPr>
          <w:rFonts w:ascii="Arial" w:hAnsi="Arial" w:cs="Arial"/>
        </w:rPr>
      </w:pPr>
    </w:p>
    <w:p w14:paraId="3F9E495A" w14:textId="7E7660CB" w:rsidR="001547DA" w:rsidRPr="00590236" w:rsidRDefault="001547DA" w:rsidP="00590236">
      <w:pPr>
        <w:spacing w:line="360" w:lineRule="auto"/>
        <w:jc w:val="both"/>
        <w:rPr>
          <w:rFonts w:ascii="Arial" w:hAnsi="Arial" w:cs="Arial"/>
        </w:rPr>
      </w:pPr>
      <w:r w:rsidRPr="00590236">
        <w:rPr>
          <w:rFonts w:ascii="Arial" w:hAnsi="Arial" w:cs="Arial"/>
        </w:rPr>
        <w:t xml:space="preserve">The penetrative shortwave flux at depth </w:t>
      </w:r>
      <m:oMath>
        <m:r>
          <w:rPr>
            <w:rFonts w:ascii="Cambria Math" w:hAnsi="Cambria Math" w:cs="Arial"/>
          </w:rPr>
          <m:t>H</m:t>
        </m:r>
      </m:oMath>
      <w:r w:rsidRPr="00590236">
        <w:rPr>
          <w:rFonts w:ascii="Arial" w:hAnsi="Arial" w:cs="Arial"/>
        </w:rPr>
        <w:t>is parameterised as</w:t>
      </w:r>
    </w:p>
    <w:p w14:paraId="3670CD26" w14:textId="27E04F38" w:rsidR="001547DA" w:rsidRPr="00590236" w:rsidRDefault="005918EA" w:rsidP="00590236">
      <w:pPr>
        <w:spacing w:line="360" w:lineRule="auto"/>
        <w:jc w:val="both"/>
        <w:rPr>
          <w:rFonts w:ascii="Arial" w:hAnsi="Arial" w:cs="Arial"/>
        </w:rPr>
      </w:pPr>
      <m:oMathPara>
        <m:oMath>
          <m:sSub>
            <m:sSubPr>
              <m:ctrlPr>
                <w:rPr>
                  <w:rFonts w:ascii="Cambria Math" w:hAnsi="Cambria Math" w:cs="Arial"/>
                </w:rPr>
              </m:ctrlPr>
            </m:sSubPr>
            <m:e>
              <m:r>
                <w:rPr>
                  <w:rFonts w:ascii="Cambria Math" w:hAnsi="Cambria Math" w:cs="Arial"/>
                </w:rPr>
                <m:t>q</m:t>
              </m:r>
            </m:e>
            <m:sub>
              <m:r>
                <w:rPr>
                  <w:rFonts w:ascii="Cambria Math" w:hAnsi="Cambria Math" w:cs="Arial"/>
                </w:rPr>
                <m:t>d</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SW</m:t>
              </m:r>
            </m:sub>
          </m:sSub>
          <m:d>
            <m:dPr>
              <m:begChr m:val="["/>
              <m:endChr m:val="]"/>
              <m:ctrlPr>
                <w:rPr>
                  <w:rFonts w:ascii="Cambria Math" w:hAnsi="Cambria Math" w:cs="Arial"/>
                </w:rPr>
              </m:ctrlPr>
            </m:dPr>
            <m:e>
              <m:r>
                <w:rPr>
                  <w:rFonts w:ascii="Cambria Math" w:hAnsi="Cambria Math" w:cs="Arial"/>
                </w:rPr>
                <m:t>R</m:t>
              </m:r>
              <m:sSup>
                <m:sSupPr>
                  <m:ctrlPr>
                    <w:rPr>
                      <w:rFonts w:ascii="Cambria Math" w:hAnsi="Cambria Math" w:cs="Arial"/>
                    </w:rPr>
                  </m:ctrlPr>
                </m:sSupPr>
                <m:e>
                  <m:r>
                    <w:rPr>
                      <w:rFonts w:ascii="Cambria Math" w:hAnsi="Cambria Math" w:cs="Arial"/>
                    </w:rPr>
                    <m:t>e</m:t>
                  </m:r>
                </m:e>
                <m:sup>
                  <m:r>
                    <w:rPr>
                      <w:rFonts w:ascii="Cambria Math" w:hAnsi="Cambria Math" w:cs="Arial"/>
                    </w:rPr>
                    <m:t>-</m:t>
                  </m:r>
                  <m:r>
                    <w:rPr>
                      <w:rFonts w:ascii="Cambria Math" w:hAnsi="Cambria Math" w:cs="Arial"/>
                    </w:rPr>
                    <m:t>H</m:t>
                  </m:r>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sup>
              </m:sSup>
              <m:r>
                <w:rPr>
                  <w:rFonts w:ascii="Cambria Math" w:hAnsi="Cambria Math" w:cs="Arial"/>
                </w:rPr>
                <m:t>+(1-</m:t>
              </m:r>
              <m:r>
                <w:rPr>
                  <w:rFonts w:ascii="Cambria Math" w:hAnsi="Cambria Math" w:cs="Arial"/>
                </w:rPr>
                <m:t>R</m:t>
              </m:r>
              <m:r>
                <w:rPr>
                  <w:rFonts w:ascii="Cambria Math" w:hAnsi="Cambria Math" w:cs="Arial"/>
                </w:rPr>
                <m:t>)</m:t>
              </m:r>
              <m:sSup>
                <m:sSupPr>
                  <m:ctrlPr>
                    <w:rPr>
                      <w:rFonts w:ascii="Cambria Math" w:hAnsi="Cambria Math" w:cs="Arial"/>
                    </w:rPr>
                  </m:ctrlPr>
                </m:sSupPr>
                <m:e>
                  <m:r>
                    <w:rPr>
                      <w:rFonts w:ascii="Cambria Math" w:hAnsi="Cambria Math" w:cs="Arial"/>
                    </w:rPr>
                    <m:t>e</m:t>
                  </m:r>
                </m:e>
                <m:sup>
                  <m:r>
                    <w:rPr>
                      <w:rFonts w:ascii="Cambria Math" w:hAnsi="Cambria Math" w:cs="Arial"/>
                    </w:rPr>
                    <m:t>-</m:t>
                  </m:r>
                  <m:r>
                    <w:rPr>
                      <w:rFonts w:ascii="Cambria Math" w:hAnsi="Cambria Math" w:cs="Arial"/>
                    </w:rPr>
                    <m:t>H</m:t>
                  </m:r>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sup>
              </m:sSup>
            </m:e>
          </m:d>
          <m:r>
            <m:rPr>
              <m:sty m:val="p"/>
            </m:rPr>
            <w:rPr>
              <w:rFonts w:ascii="Cambria Math" w:hAnsi="Cambria Math" w:cs="Arial"/>
            </w:rPr>
            <m:t>.</m:t>
          </m:r>
          <m:r>
            <m:rPr>
              <m:sty m:val="p"/>
            </m:rPr>
            <w:rPr>
              <w:rFonts w:ascii="Cambria Math" w:hAnsi="Cambria Math" w:cs="Arial"/>
            </w:rPr>
            <w:br/>
          </m:r>
        </m:oMath>
      </m:oMathPara>
    </w:p>
    <w:p w14:paraId="207B0146" w14:textId="77777777" w:rsidR="001547DA" w:rsidRPr="00590236" w:rsidRDefault="001547DA" w:rsidP="00590236">
      <w:pPr>
        <w:spacing w:line="360" w:lineRule="auto"/>
        <w:jc w:val="both"/>
        <w:rPr>
          <w:rFonts w:ascii="Arial" w:hAnsi="Arial" w:cs="Arial"/>
        </w:rPr>
      </w:pPr>
      <w:r w:rsidRPr="00590236">
        <w:rPr>
          <w:rFonts w:ascii="Arial" w:hAnsi="Arial" w:cs="Arial"/>
        </w:rPr>
        <w:t>Define</w:t>
      </w:r>
    </w:p>
    <w:p w14:paraId="29ECA56F" w14:textId="77777777" w:rsidR="001547DA" w:rsidRPr="00590236" w:rsidRDefault="001547DA" w:rsidP="00590236">
      <w:pPr>
        <w:spacing w:line="360" w:lineRule="auto"/>
        <w:jc w:val="both"/>
        <w:rPr>
          <w:rFonts w:ascii="Arial" w:hAnsi="Arial" w:cs="Arial"/>
        </w:rPr>
      </w:pPr>
      <m:oMathPara>
        <m:oMath>
          <m:r>
            <w:rPr>
              <w:rFonts w:ascii="Cambria Math" w:hAnsi="Cambria Math" w:cs="Arial"/>
            </w:rPr>
            <m:t>A(H)=R</m:t>
          </m:r>
          <m:sSup>
            <m:sSupPr>
              <m:ctrlPr>
                <w:rPr>
                  <w:rFonts w:ascii="Cambria Math" w:hAnsi="Cambria Math" w:cs="Arial"/>
                </w:rPr>
              </m:ctrlPr>
            </m:sSupPr>
            <m:e>
              <m:r>
                <w:rPr>
                  <w:rFonts w:ascii="Cambria Math" w:hAnsi="Cambria Math" w:cs="Arial"/>
                </w:rPr>
                <m:t>e</m:t>
              </m:r>
            </m:e>
            <m:sup>
              <m:r>
                <w:rPr>
                  <w:rFonts w:ascii="Cambria Math" w:hAnsi="Cambria Math" w:cs="Arial"/>
                </w:rPr>
                <m:t>-H</m:t>
              </m:r>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sup>
          </m:sSup>
          <m:r>
            <w:rPr>
              <w:rFonts w:ascii="Cambria Math" w:hAnsi="Cambria Math" w:cs="Arial"/>
            </w:rPr>
            <m:t>+(1-R)</m:t>
          </m:r>
          <m:sSup>
            <m:sSupPr>
              <m:ctrlPr>
                <w:rPr>
                  <w:rFonts w:ascii="Cambria Math" w:hAnsi="Cambria Math" w:cs="Arial"/>
                </w:rPr>
              </m:ctrlPr>
            </m:sSupPr>
            <m:e>
              <m:r>
                <w:rPr>
                  <w:rFonts w:ascii="Cambria Math" w:hAnsi="Cambria Math" w:cs="Arial"/>
                </w:rPr>
                <m:t>e</m:t>
              </m:r>
            </m:e>
            <m:sup>
              <m:r>
                <w:rPr>
                  <w:rFonts w:ascii="Cambria Math" w:hAnsi="Cambria Math" w:cs="Arial"/>
                </w:rPr>
                <m:t>-H</m:t>
              </m:r>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sup>
          </m:sSup>
          <m:r>
            <m:rPr>
              <m:sty m:val="p"/>
            </m:rPr>
            <w:rPr>
              <w:rFonts w:ascii="Cambria Math" w:hAnsi="Cambria Math" w:cs="Arial"/>
            </w:rPr>
            <m:t>.</m:t>
          </m:r>
          <m:r>
            <m:rPr>
              <m:sty m:val="p"/>
            </m:rPr>
            <w:rPr>
              <w:rFonts w:ascii="Cambria Math" w:hAnsi="Cambria Math" w:cs="Arial"/>
            </w:rPr>
            <w:br/>
          </m:r>
        </m:oMath>
      </m:oMathPara>
    </w:p>
    <w:p w14:paraId="76936657" w14:textId="77777777" w:rsidR="001547DA" w:rsidRPr="00590236" w:rsidRDefault="001547DA" w:rsidP="00590236">
      <w:pPr>
        <w:spacing w:line="360" w:lineRule="auto"/>
        <w:jc w:val="both"/>
        <w:rPr>
          <w:rFonts w:ascii="Arial" w:hAnsi="Arial" w:cs="Arial"/>
        </w:rPr>
      </w:pPr>
      <w:r w:rsidRPr="00590236">
        <w:rPr>
          <w:rFonts w:ascii="Arial" w:hAnsi="Arial" w:cs="Arial"/>
        </w:rPr>
        <w:t>Thus,</w:t>
      </w:r>
    </w:p>
    <w:p w14:paraId="0FCA21B4" w14:textId="77777777" w:rsidR="001547DA" w:rsidRPr="00590236" w:rsidRDefault="001547DA" w:rsidP="00590236">
      <w:pPr>
        <w:spacing w:line="360" w:lineRule="auto"/>
        <w:jc w:val="both"/>
        <w:rPr>
          <w:rFonts w:ascii="Arial" w:hAnsi="Arial" w:cs="Arial"/>
        </w:rPr>
      </w:pPr>
      <m:oMathPara>
        <m:oMath>
          <m:r>
            <w:rPr>
              <w:rFonts w:ascii="Cambria Math" w:hAnsi="Cambria Math" w:cs="Arial"/>
            </w:rPr>
            <m:t>F=</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net</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SW</m:t>
                  </m:r>
                </m:sub>
              </m:sSub>
              <m:r>
                <w:rPr>
                  <w:rFonts w:ascii="Cambria Math" w:hAnsi="Cambria Math" w:cs="Arial"/>
                </w:rPr>
                <m:t>A(H)</m:t>
              </m:r>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r>
                <w:rPr>
                  <w:rFonts w:ascii="Cambria Math" w:hAnsi="Cambria Math" w:cs="Arial"/>
                </w:rPr>
                <m:t>H</m:t>
              </m:r>
            </m:den>
          </m:f>
          <m:r>
            <m:rPr>
              <m:sty m:val="p"/>
            </m:rPr>
            <w:rPr>
              <w:rFonts w:ascii="Cambria Math" w:hAnsi="Cambria Math" w:cs="Arial"/>
            </w:rPr>
            <m:t>.</m:t>
          </m:r>
          <m:r>
            <m:rPr>
              <m:sty m:val="p"/>
            </m:rPr>
            <w:rPr>
              <w:rFonts w:ascii="Cambria Math" w:hAnsi="Cambria Math" w:cs="Arial"/>
            </w:rPr>
            <w:br/>
          </m:r>
        </m:oMath>
      </m:oMathPara>
    </w:p>
    <w:p w14:paraId="587BA0E0" w14:textId="77777777" w:rsidR="001547DA" w:rsidRPr="00590236" w:rsidRDefault="005918EA" w:rsidP="00590236">
      <w:pPr>
        <w:spacing w:line="360" w:lineRule="auto"/>
        <w:jc w:val="both"/>
        <w:rPr>
          <w:rFonts w:ascii="Arial" w:hAnsi="Arial" w:cs="Arial"/>
        </w:rPr>
      </w:pPr>
      <w:r>
        <w:rPr>
          <w:rFonts w:ascii="Arial" w:hAnsi="Arial" w:cs="Arial"/>
          <w:noProof/>
        </w:rPr>
        <w:pict w14:anchorId="19C124C5">
          <v:rect id="_x0000_i1025" alt="" style="width:451.3pt;height:.05pt;mso-width-percent:0;mso-height-percent:0;mso-width-percent:0;mso-height-percent:0" o:hralign="center" o:hrstd="t" o:hr="t" fillcolor="#a0a0a0" stroked="f"/>
        </w:pict>
      </w:r>
    </w:p>
    <w:p w14:paraId="19D78AD8" w14:textId="77777777" w:rsidR="001547DA" w:rsidRPr="00590236" w:rsidRDefault="001547DA" w:rsidP="00590236">
      <w:pPr>
        <w:spacing w:line="360" w:lineRule="auto"/>
        <w:jc w:val="both"/>
        <w:rPr>
          <w:rFonts w:ascii="Arial" w:hAnsi="Arial" w:cs="Arial"/>
          <w:b/>
          <w:bCs/>
        </w:rPr>
      </w:pPr>
      <w:r w:rsidRPr="00590236">
        <w:rPr>
          <w:rFonts w:ascii="Arial" w:hAnsi="Arial" w:cs="Arial"/>
          <w:b/>
          <w:bCs/>
        </w:rPr>
        <w:t>Linearisation about the monthly mean state</w:t>
      </w:r>
    </w:p>
    <w:p w14:paraId="7CF62F4C" w14:textId="77777777" w:rsidR="001547DA" w:rsidRPr="00590236" w:rsidRDefault="001547DA" w:rsidP="00590236">
      <w:pPr>
        <w:spacing w:line="360" w:lineRule="auto"/>
        <w:jc w:val="both"/>
        <w:rPr>
          <w:rFonts w:ascii="Arial" w:hAnsi="Arial" w:cs="Arial"/>
        </w:rPr>
      </w:pPr>
      <w:r w:rsidRPr="00590236">
        <w:rPr>
          <w:rFonts w:ascii="Arial" w:hAnsi="Arial" w:cs="Arial"/>
        </w:rPr>
        <w:t>We decompose each variable into monthly mean and anomaly:</w:t>
      </w:r>
    </w:p>
    <w:p w14:paraId="0B81649C" w14:textId="77777777" w:rsidR="001547DA" w:rsidRPr="00590236" w:rsidRDefault="001547DA" w:rsidP="00590236">
      <w:pPr>
        <w:spacing w:line="360" w:lineRule="auto"/>
        <w:jc w:val="both"/>
        <w:rPr>
          <w:rFonts w:ascii="Arial" w:hAnsi="Arial" w:cs="Arial"/>
        </w:rPr>
      </w:pPr>
      <m:oMathPara>
        <m:oMath>
          <m:r>
            <w:rPr>
              <w:rFonts w:ascii="Cambria Math" w:hAnsi="Cambria Math" w:cs="Arial"/>
            </w:rPr>
            <m:t>Q=</m:t>
          </m:r>
          <m:acc>
            <m:accPr>
              <m:chr m:val="‾"/>
              <m:ctrlPr>
                <w:rPr>
                  <w:rFonts w:ascii="Cambria Math" w:hAnsi="Cambria Math" w:cs="Arial"/>
                </w:rPr>
              </m:ctrlPr>
            </m:accPr>
            <m:e>
              <m:r>
                <w:rPr>
                  <w:rFonts w:ascii="Cambria Math" w:hAnsi="Cambria Math" w:cs="Arial"/>
                </w:rPr>
                <m:t>Q</m:t>
              </m:r>
            </m:e>
          </m:acc>
          <m:r>
            <w:rPr>
              <w:rFonts w:ascii="Cambria Math" w:hAnsi="Cambria Math" w:cs="Arial"/>
            </w:rPr>
            <m:t>+δQ,H=</m:t>
          </m:r>
          <m:acc>
            <m:accPr>
              <m:chr m:val="‾"/>
              <m:ctrlPr>
                <w:rPr>
                  <w:rFonts w:ascii="Cambria Math" w:hAnsi="Cambria Math" w:cs="Arial"/>
                </w:rPr>
              </m:ctrlPr>
            </m:accPr>
            <m:e>
              <m:r>
                <w:rPr>
                  <w:rFonts w:ascii="Cambria Math" w:hAnsi="Cambria Math" w:cs="Arial"/>
                </w:rPr>
                <m:t>H</m:t>
              </m:r>
            </m:e>
          </m:acc>
          <m:r>
            <w:rPr>
              <w:rFonts w:ascii="Cambria Math" w:hAnsi="Cambria Math" w:cs="Arial"/>
            </w:rPr>
            <m:t>+δH</m:t>
          </m:r>
          <m:r>
            <m:rPr>
              <m:sty m:val="p"/>
            </m:rPr>
            <w:rPr>
              <w:rFonts w:ascii="Cambria Math" w:hAnsi="Cambria Math" w:cs="Arial"/>
            </w:rPr>
            <m:t>.</m:t>
          </m:r>
          <m:r>
            <m:rPr>
              <m:sty m:val="p"/>
            </m:rPr>
            <w:rPr>
              <w:rFonts w:ascii="Cambria Math" w:hAnsi="Cambria Math" w:cs="Arial"/>
            </w:rPr>
            <w:br/>
          </m:r>
        </m:oMath>
      </m:oMathPara>
    </w:p>
    <w:p w14:paraId="7DFD5AA8" w14:textId="720DD936" w:rsidR="001547DA" w:rsidRPr="00590236" w:rsidRDefault="001547DA" w:rsidP="00590236">
      <w:pPr>
        <w:spacing w:line="360" w:lineRule="auto"/>
        <w:jc w:val="both"/>
        <w:rPr>
          <w:rFonts w:ascii="Arial" w:hAnsi="Arial" w:cs="Arial"/>
        </w:rPr>
      </w:pPr>
      <w:r w:rsidRPr="00590236">
        <w:rPr>
          <w:rFonts w:ascii="Arial" w:hAnsi="Arial" w:cs="Arial"/>
        </w:rPr>
        <w:t xml:space="preserve">Using a first-order Taylor expansion about </w:t>
      </w:r>
      <m:oMath>
        <m:d>
          <m:dPr>
            <m:sepChr m:val=","/>
            <m:ctrlPr>
              <w:rPr>
                <w:rFonts w:ascii="Cambria Math" w:hAnsi="Cambria Math" w:cs="Arial"/>
              </w:rPr>
            </m:ctrlPr>
          </m:dPr>
          <m:e>
            <m:acc>
              <m:accPr>
                <m:chr m:val="‾"/>
                <m:ctrlPr>
                  <w:rPr>
                    <w:rFonts w:ascii="Cambria Math" w:hAnsi="Cambria Math" w:cs="Arial"/>
                  </w:rPr>
                </m:ctrlPr>
              </m:accPr>
              <m:e>
                <m:r>
                  <w:rPr>
                    <w:rFonts w:ascii="Cambria Math" w:hAnsi="Cambria Math" w:cs="Arial"/>
                  </w:rPr>
                  <m:t>Q</m:t>
                </m:r>
              </m:e>
            </m:acc>
          </m:e>
          <m:e>
            <m:acc>
              <m:accPr>
                <m:chr m:val="‾"/>
                <m:ctrlPr>
                  <w:rPr>
                    <w:rFonts w:ascii="Cambria Math" w:hAnsi="Cambria Math" w:cs="Arial"/>
                  </w:rPr>
                </m:ctrlPr>
              </m:accPr>
              <m:e>
                <m:r>
                  <w:rPr>
                    <w:rFonts w:ascii="Cambria Math" w:hAnsi="Cambria Math" w:cs="Arial"/>
                  </w:rPr>
                  <m:t>H</m:t>
                </m:r>
              </m:e>
            </m:acc>
          </m:e>
        </m:d>
      </m:oMath>
      <w:r w:rsidRPr="00590236">
        <w:rPr>
          <w:rFonts w:ascii="Arial" w:hAnsi="Arial" w:cs="Arial"/>
        </w:rPr>
        <w:t xml:space="preserve">, the anomaly of </w:t>
      </w:r>
      <m:oMath>
        <m:r>
          <w:rPr>
            <w:rFonts w:ascii="Cambria Math" w:hAnsi="Cambria Math" w:cs="Arial"/>
          </w:rPr>
          <m:t>F</m:t>
        </m:r>
        <m:r>
          <w:rPr>
            <w:rFonts w:ascii="Cambria Math" w:hAnsi="Cambria Math" w:cs="Arial"/>
          </w:rPr>
          <m:t xml:space="preserve"> </m:t>
        </m:r>
      </m:oMath>
      <w:r w:rsidRPr="00590236">
        <w:rPr>
          <w:rFonts w:ascii="Arial" w:hAnsi="Arial" w:cs="Arial"/>
        </w:rPr>
        <w:t>is</w:t>
      </w:r>
    </w:p>
    <w:p w14:paraId="7B8BE2C0" w14:textId="77777777" w:rsidR="001547DA" w:rsidRPr="00590236" w:rsidRDefault="001547DA" w:rsidP="00590236">
      <w:pPr>
        <w:spacing w:line="360" w:lineRule="auto"/>
        <w:jc w:val="both"/>
        <w:rPr>
          <w:rFonts w:ascii="Arial" w:hAnsi="Arial" w:cs="Arial"/>
        </w:rPr>
      </w:pPr>
      <m:oMathPara>
        <m:oMath>
          <m:r>
            <w:rPr>
              <w:rFonts w:ascii="Cambria Math" w:hAnsi="Cambria Math" w:cs="Arial"/>
            </w:rPr>
            <m:t>δF≈</m:t>
          </m:r>
          <m:f>
            <m:fPr>
              <m:ctrlPr>
                <w:rPr>
                  <w:rFonts w:ascii="Cambria Math" w:hAnsi="Cambria Math" w:cs="Arial"/>
                </w:rPr>
              </m:ctrlPr>
            </m:fPr>
            <m:num>
              <m:r>
                <m:rPr>
                  <m:sty m:val="p"/>
                </m:rPr>
                <w:rPr>
                  <w:rFonts w:ascii="Cambria Math" w:hAnsi="Cambria Math" w:cs="Arial"/>
                </w:rPr>
                <m:t>∂</m:t>
              </m:r>
              <m:r>
                <w:rPr>
                  <w:rFonts w:ascii="Cambria Math" w:hAnsi="Cambria Math" w:cs="Arial"/>
                </w:rPr>
                <m:t>F</m:t>
              </m:r>
            </m:num>
            <m:den>
              <m:r>
                <m:rPr>
                  <m:sty m:val="p"/>
                </m:rPr>
                <w:rPr>
                  <w:rFonts w:ascii="Cambria Math" w:hAnsi="Cambria Math" w:cs="Arial"/>
                </w:rPr>
                <m:t>∂</m:t>
              </m:r>
              <m:r>
                <w:rPr>
                  <w:rFonts w:ascii="Cambria Math" w:hAnsi="Cambria Math" w:cs="Arial"/>
                </w:rPr>
                <m:t>Q</m:t>
              </m:r>
            </m:den>
          </m:f>
          <m:sSub>
            <m:sSubPr>
              <m:ctrlPr>
                <w:rPr>
                  <w:rFonts w:ascii="Cambria Math" w:hAnsi="Cambria Math" w:cs="Arial"/>
                </w:rPr>
              </m:ctrlPr>
            </m:sSubPr>
            <m:e>
              <m:r>
                <w:rPr>
                  <w:rFonts w:ascii="Cambria Math" w:hAnsi="Cambria Math" w:cs="Arial"/>
                </w:rPr>
                <m:t>∣</m:t>
              </m:r>
            </m:e>
            <m:sub>
              <m:acc>
                <m:accPr>
                  <m:chr m:val="‾"/>
                  <m:ctrlPr>
                    <w:rPr>
                      <w:rFonts w:ascii="Cambria Math" w:hAnsi="Cambria Math" w:cs="Arial"/>
                    </w:rPr>
                  </m:ctrlPr>
                </m:accPr>
                <m:e>
                  <m:r>
                    <w:rPr>
                      <w:rFonts w:ascii="Cambria Math" w:hAnsi="Cambria Math" w:cs="Arial"/>
                    </w:rPr>
                    <m:t>H</m:t>
                  </m:r>
                </m:e>
              </m:acc>
            </m:sub>
          </m:sSub>
          <m:r>
            <w:rPr>
              <w:rFonts w:ascii="Cambria Math" w:hAnsi="Cambria Math" w:cs="Arial"/>
            </w:rPr>
            <m:t>δQ+</m:t>
          </m:r>
          <m:f>
            <m:fPr>
              <m:ctrlPr>
                <w:rPr>
                  <w:rFonts w:ascii="Cambria Math" w:hAnsi="Cambria Math" w:cs="Arial"/>
                </w:rPr>
              </m:ctrlPr>
            </m:fPr>
            <m:num>
              <m:r>
                <m:rPr>
                  <m:sty m:val="p"/>
                </m:rPr>
                <w:rPr>
                  <w:rFonts w:ascii="Cambria Math" w:hAnsi="Cambria Math" w:cs="Arial"/>
                </w:rPr>
                <m:t>∂</m:t>
              </m:r>
              <m:r>
                <w:rPr>
                  <w:rFonts w:ascii="Cambria Math" w:hAnsi="Cambria Math" w:cs="Arial"/>
                </w:rPr>
                <m:t>F</m:t>
              </m:r>
            </m:num>
            <m:den>
              <m:r>
                <m:rPr>
                  <m:sty m:val="p"/>
                </m:rPr>
                <w:rPr>
                  <w:rFonts w:ascii="Cambria Math" w:hAnsi="Cambria Math" w:cs="Arial"/>
                </w:rPr>
                <m:t>∂</m:t>
              </m:r>
              <m:r>
                <w:rPr>
                  <w:rFonts w:ascii="Cambria Math" w:hAnsi="Cambria Math" w:cs="Arial"/>
                </w:rPr>
                <m:t>H</m:t>
              </m:r>
            </m:den>
          </m:f>
          <m:sSub>
            <m:sSubPr>
              <m:ctrlPr>
                <w:rPr>
                  <w:rFonts w:ascii="Cambria Math" w:hAnsi="Cambria Math" w:cs="Arial"/>
                </w:rPr>
              </m:ctrlPr>
            </m:sSubPr>
            <m:e>
              <m:r>
                <w:rPr>
                  <w:rFonts w:ascii="Cambria Math" w:hAnsi="Cambria Math" w:cs="Arial"/>
                </w:rPr>
                <m:t>∣</m:t>
              </m:r>
            </m:e>
            <m:sub>
              <m:acc>
                <m:accPr>
                  <m:chr m:val="‾"/>
                  <m:ctrlPr>
                    <w:rPr>
                      <w:rFonts w:ascii="Cambria Math" w:hAnsi="Cambria Math" w:cs="Arial"/>
                    </w:rPr>
                  </m:ctrlPr>
                </m:accPr>
                <m:e>
                  <m:r>
                    <w:rPr>
                      <w:rFonts w:ascii="Cambria Math" w:hAnsi="Cambria Math" w:cs="Arial"/>
                    </w:rPr>
                    <m:t>Q</m:t>
                  </m:r>
                </m:e>
              </m:acc>
              <m:r>
                <w:rPr>
                  <w:rFonts w:ascii="Cambria Math" w:hAnsi="Cambria Math" w:cs="Arial"/>
                </w:rPr>
                <m:t>,</m:t>
              </m:r>
              <m:acc>
                <m:accPr>
                  <m:chr m:val="‾"/>
                  <m:ctrlPr>
                    <w:rPr>
                      <w:rFonts w:ascii="Cambria Math" w:hAnsi="Cambria Math" w:cs="Arial"/>
                    </w:rPr>
                  </m:ctrlPr>
                </m:accPr>
                <m:e>
                  <m:r>
                    <w:rPr>
                      <w:rFonts w:ascii="Cambria Math" w:hAnsi="Cambria Math" w:cs="Arial"/>
                    </w:rPr>
                    <m:t>H</m:t>
                  </m:r>
                </m:e>
              </m:acc>
            </m:sub>
          </m:sSub>
          <m:r>
            <w:rPr>
              <w:rFonts w:ascii="Cambria Math" w:hAnsi="Cambria Math" w:cs="Arial"/>
            </w:rPr>
            <m:t>δH</m:t>
          </m:r>
          <m:r>
            <m:rPr>
              <m:sty m:val="p"/>
            </m:rPr>
            <w:rPr>
              <w:rFonts w:ascii="Cambria Math" w:hAnsi="Cambria Math" w:cs="Arial"/>
            </w:rPr>
            <m:t>.</m:t>
          </m:r>
          <m:r>
            <m:rPr>
              <m:sty m:val="p"/>
            </m:rPr>
            <w:rPr>
              <w:rFonts w:ascii="Cambria Math" w:hAnsi="Cambria Math" w:cs="Arial"/>
            </w:rPr>
            <w:br/>
          </m:r>
        </m:oMath>
      </m:oMathPara>
    </w:p>
    <w:p w14:paraId="4086EC8A" w14:textId="77777777" w:rsidR="001547DA" w:rsidRPr="00590236" w:rsidRDefault="005918EA" w:rsidP="00590236">
      <w:pPr>
        <w:spacing w:line="360" w:lineRule="auto"/>
        <w:jc w:val="both"/>
        <w:rPr>
          <w:rFonts w:ascii="Arial" w:hAnsi="Arial" w:cs="Arial"/>
        </w:rPr>
      </w:pPr>
      <w:r>
        <w:rPr>
          <w:rFonts w:ascii="Arial" w:hAnsi="Arial" w:cs="Arial"/>
          <w:noProof/>
        </w:rPr>
        <w:lastRenderedPageBreak/>
        <w:pict w14:anchorId="21AC5476">
          <v:rect id="_x0000_i1026" alt="" style="width:451.3pt;height:.05pt;mso-width-percent:0;mso-height-percent:0;mso-width-percent:0;mso-height-percent:0" o:hralign="center" o:hrstd="t" o:hr="t" fillcolor="#a0a0a0" stroked="f"/>
        </w:pict>
      </w:r>
    </w:p>
    <w:p w14:paraId="132D4FAA" w14:textId="77777777" w:rsidR="001547DA" w:rsidRPr="00590236" w:rsidRDefault="001547DA" w:rsidP="00590236">
      <w:pPr>
        <w:spacing w:line="360" w:lineRule="auto"/>
        <w:jc w:val="both"/>
        <w:rPr>
          <w:rFonts w:ascii="Arial" w:hAnsi="Arial" w:cs="Arial"/>
          <w:b/>
          <w:bCs/>
        </w:rPr>
      </w:pPr>
      <w:r w:rsidRPr="00590236">
        <w:rPr>
          <w:rFonts w:ascii="Arial" w:hAnsi="Arial" w:cs="Arial"/>
          <w:b/>
          <w:bCs/>
        </w:rPr>
        <w:t>Contribution from surface heat flux anomalies</w:t>
      </w:r>
    </w:p>
    <w:p w14:paraId="4C55E4F4" w14:textId="77777777" w:rsidR="001547DA" w:rsidRPr="00590236" w:rsidRDefault="001547DA" w:rsidP="00590236">
      <w:pPr>
        <w:spacing w:line="360" w:lineRule="auto"/>
        <w:jc w:val="both"/>
        <w:rPr>
          <w:rFonts w:ascii="Arial" w:hAnsi="Arial" w:cs="Arial"/>
        </w:rPr>
      </w:pPr>
      <w:r w:rsidRPr="00590236">
        <w:rPr>
          <w:rFonts w:ascii="Arial" w:hAnsi="Arial" w:cs="Arial"/>
        </w:rPr>
        <w:t>The partial derivative with respect to the flux components gives</w:t>
      </w:r>
    </w:p>
    <w:p w14:paraId="163D4753" w14:textId="77777777" w:rsidR="001547DA" w:rsidRPr="00590236" w:rsidRDefault="001547DA" w:rsidP="00590236">
      <w:pPr>
        <w:spacing w:line="360" w:lineRule="auto"/>
        <w:jc w:val="both"/>
        <w:rPr>
          <w:rFonts w:ascii="Arial" w:hAnsi="Arial" w:cs="Arial"/>
        </w:rPr>
      </w:pPr>
      <m:oMathPara>
        <m:oMath>
          <m:r>
            <w:rPr>
              <w:rFonts w:ascii="Cambria Math" w:hAnsi="Cambria Math" w:cs="Arial"/>
            </w:rPr>
            <m:t>δ</m:t>
          </m:r>
          <m:sSub>
            <m:sSubPr>
              <m:ctrlPr>
                <w:rPr>
                  <w:rFonts w:ascii="Cambria Math" w:hAnsi="Cambria Math" w:cs="Arial"/>
                </w:rPr>
              </m:ctrlPr>
            </m:sSubPr>
            <m:e>
              <m:r>
                <w:rPr>
                  <w:rFonts w:ascii="Cambria Math" w:hAnsi="Cambria Math" w:cs="Arial"/>
                </w:rPr>
                <m:t>F</m:t>
              </m:r>
            </m:e>
            <m:sub>
              <m:r>
                <m:rPr>
                  <m:sty m:val="p"/>
                </m:rPr>
                <w:rPr>
                  <w:rFonts w:ascii="Cambria Math" w:hAnsi="Cambria Math" w:cs="Arial"/>
                </w:rPr>
                <m:t>flux</m:t>
              </m:r>
            </m:sub>
          </m:sSub>
          <m:r>
            <w:rPr>
              <w:rFonts w:ascii="Cambria Math" w:hAnsi="Cambria Math" w:cs="Arial"/>
            </w:rPr>
            <m:t>=</m:t>
          </m:r>
          <m:f>
            <m:fPr>
              <m:ctrlPr>
                <w:rPr>
                  <w:rFonts w:ascii="Cambria Math" w:hAnsi="Cambria Math" w:cs="Arial"/>
                </w:rPr>
              </m:ctrlPr>
            </m:fPr>
            <m:num>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SW</m:t>
                  </m:r>
                </m:sub>
              </m:sSub>
              <m:d>
                <m:dPr>
                  <m:begChr m:val="["/>
                  <m:endChr m:val="]"/>
                  <m:ctrlPr>
                    <w:rPr>
                      <w:rFonts w:ascii="Cambria Math" w:hAnsi="Cambria Math" w:cs="Arial"/>
                    </w:rPr>
                  </m:ctrlPr>
                </m:dPr>
                <m:e>
                  <m:r>
                    <w:rPr>
                      <w:rFonts w:ascii="Cambria Math" w:hAnsi="Cambria Math" w:cs="Arial"/>
                    </w:rPr>
                    <m:t>1-A(</m:t>
                  </m:r>
                  <m:acc>
                    <m:accPr>
                      <m:chr m:val="‾"/>
                      <m:ctrlPr>
                        <w:rPr>
                          <w:rFonts w:ascii="Cambria Math" w:hAnsi="Cambria Math" w:cs="Arial"/>
                        </w:rPr>
                      </m:ctrlPr>
                    </m:accPr>
                    <m:e>
                      <m:r>
                        <w:rPr>
                          <w:rFonts w:ascii="Cambria Math" w:hAnsi="Cambria Math" w:cs="Arial"/>
                        </w:rPr>
                        <m:t>H</m:t>
                      </m:r>
                    </m:e>
                  </m:acc>
                  <m:r>
                    <w:rPr>
                      <w:rFonts w:ascii="Cambria Math" w:hAnsi="Cambria Math" w:cs="Arial"/>
                    </w:rPr>
                    <m:t>)</m:t>
                  </m:r>
                </m:e>
              </m:d>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LW</m:t>
                  </m:r>
                </m:sub>
              </m:sSub>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LHF</m:t>
                  </m:r>
                </m:sub>
              </m:sSub>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SHF</m:t>
                  </m:r>
                </m:sub>
              </m:sSub>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acc>
                <m:accPr>
                  <m:chr m:val="‾"/>
                  <m:ctrlPr>
                    <w:rPr>
                      <w:rFonts w:ascii="Cambria Math" w:hAnsi="Cambria Math" w:cs="Arial"/>
                    </w:rPr>
                  </m:ctrlPr>
                </m:accPr>
                <m:e>
                  <m:r>
                    <w:rPr>
                      <w:rFonts w:ascii="Cambria Math" w:hAnsi="Cambria Math" w:cs="Arial"/>
                    </w:rPr>
                    <m:t>H</m:t>
                  </m:r>
                </m:e>
              </m:acc>
            </m:den>
          </m:f>
          <m:r>
            <m:rPr>
              <m:sty m:val="p"/>
            </m:rPr>
            <w:rPr>
              <w:rFonts w:ascii="Cambria Math" w:hAnsi="Cambria Math" w:cs="Arial"/>
            </w:rPr>
            <m:t>.</m:t>
          </m:r>
          <m:r>
            <m:rPr>
              <m:sty m:val="p"/>
            </m:rPr>
            <w:rPr>
              <w:rFonts w:ascii="Cambria Math" w:hAnsi="Cambria Math" w:cs="Arial"/>
            </w:rPr>
            <w:br/>
          </m:r>
        </m:oMath>
      </m:oMathPara>
    </w:p>
    <w:p w14:paraId="47E5F718" w14:textId="77777777" w:rsidR="001547DA" w:rsidRPr="00590236" w:rsidRDefault="001547DA" w:rsidP="00590236">
      <w:pPr>
        <w:spacing w:line="360" w:lineRule="auto"/>
        <w:jc w:val="both"/>
        <w:rPr>
          <w:rFonts w:ascii="Arial" w:hAnsi="Arial" w:cs="Arial"/>
        </w:rPr>
      </w:pPr>
      <w:r w:rsidRPr="00590236">
        <w:rPr>
          <w:rFonts w:ascii="Arial" w:hAnsi="Arial" w:cs="Arial"/>
        </w:rPr>
        <w:t xml:space="preserve">Substituting </w:t>
      </w:r>
      <m:oMath>
        <m:r>
          <w:rPr>
            <w:rFonts w:ascii="Cambria Math" w:hAnsi="Cambria Math" w:cs="Arial"/>
          </w:rPr>
          <m:t>A(</m:t>
        </m:r>
        <m:acc>
          <m:accPr>
            <m:chr m:val="‾"/>
            <m:ctrlPr>
              <w:rPr>
                <w:rFonts w:ascii="Cambria Math" w:hAnsi="Cambria Math" w:cs="Arial"/>
              </w:rPr>
            </m:ctrlPr>
          </m:accPr>
          <m:e>
            <m:r>
              <w:rPr>
                <w:rFonts w:ascii="Cambria Math" w:hAnsi="Cambria Math" w:cs="Arial"/>
              </w:rPr>
              <m:t>H</m:t>
            </m:r>
          </m:e>
        </m:acc>
        <m:r>
          <w:rPr>
            <w:rFonts w:ascii="Cambria Math" w:hAnsi="Cambria Math" w:cs="Arial"/>
          </w:rPr>
          <m:t>)</m:t>
        </m:r>
      </m:oMath>
      <w:r w:rsidRPr="00590236">
        <w:rPr>
          <w:rFonts w:ascii="Arial" w:hAnsi="Arial" w:cs="Arial"/>
        </w:rPr>
        <w:t>,</w:t>
      </w:r>
    </w:p>
    <w:p w14:paraId="5C45398B" w14:textId="77777777" w:rsidR="001547DA" w:rsidRPr="00590236" w:rsidRDefault="005918EA" w:rsidP="00590236">
      <w:pPr>
        <w:spacing w:line="360" w:lineRule="auto"/>
        <w:jc w:val="both"/>
        <w:rPr>
          <w:rFonts w:ascii="Arial" w:hAnsi="Arial" w:cs="Arial"/>
        </w:rPr>
      </w:pPr>
      <m:oMathPara>
        <m:oMath>
          <m:borderBox>
            <m:borderBoxPr>
              <m:ctrlPr>
                <w:rPr>
                  <w:rFonts w:ascii="Cambria Math" w:hAnsi="Cambria Math" w:cs="Arial"/>
                </w:rPr>
              </m:ctrlPr>
            </m:borderBoxPr>
            <m:e>
              <m:r>
                <w:rPr>
                  <w:rFonts w:ascii="Cambria Math" w:hAnsi="Cambria Math" w:cs="Arial"/>
                </w:rPr>
                <m:t>δ</m:t>
              </m:r>
              <m:sSub>
                <m:sSubPr>
                  <m:ctrlPr>
                    <w:rPr>
                      <w:rFonts w:ascii="Cambria Math" w:hAnsi="Cambria Math" w:cs="Arial"/>
                    </w:rPr>
                  </m:ctrlPr>
                </m:sSubPr>
                <m:e>
                  <m:r>
                    <w:rPr>
                      <w:rFonts w:ascii="Cambria Math" w:hAnsi="Cambria Math" w:cs="Arial"/>
                    </w:rPr>
                    <m:t>F</m:t>
                  </m:r>
                </m:e>
                <m:sub>
                  <m:r>
                    <m:rPr>
                      <m:sty m:val="p"/>
                    </m:rPr>
                    <w:rPr>
                      <w:rFonts w:ascii="Cambria Math" w:hAnsi="Cambria Math" w:cs="Arial"/>
                    </w:rPr>
                    <m:t>flux</m:t>
                  </m:r>
                </m:sub>
              </m:sSub>
              <m:r>
                <w:rPr>
                  <w:rFonts w:ascii="Cambria Math" w:hAnsi="Cambria Math" w:cs="Arial"/>
                </w:rPr>
                <m:t>=</m:t>
              </m:r>
              <m:f>
                <m:fPr>
                  <m:ctrlPr>
                    <w:rPr>
                      <w:rFonts w:ascii="Cambria Math" w:hAnsi="Cambria Math" w:cs="Arial"/>
                    </w:rPr>
                  </m:ctrlPr>
                </m:fPr>
                <m:num>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SW</m:t>
                      </m:r>
                    </m:sub>
                  </m:sSub>
                  <m:d>
                    <m:dPr>
                      <m:begChr m:val="["/>
                      <m:endChr m:val="]"/>
                      <m:ctrlPr>
                        <w:rPr>
                          <w:rFonts w:ascii="Cambria Math" w:hAnsi="Cambria Math" w:cs="Arial"/>
                        </w:rPr>
                      </m:ctrlPr>
                    </m:dPr>
                    <m:e>
                      <m:r>
                        <w:rPr>
                          <w:rFonts w:ascii="Cambria Math" w:hAnsi="Cambria Math" w:cs="Arial"/>
                        </w:rPr>
                        <m:t>1-</m:t>
                      </m:r>
                      <m:r>
                        <w:rPr>
                          <w:rFonts w:ascii="Cambria Math" w:hAnsi="Cambria Math" w:cs="Arial"/>
                        </w:rPr>
                        <m:t>R</m:t>
                      </m:r>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sup>
                      </m:sSup>
                      <m:r>
                        <w:rPr>
                          <w:rFonts w:ascii="Cambria Math" w:hAnsi="Cambria Math" w:cs="Arial"/>
                        </w:rPr>
                        <m:t>-</m:t>
                      </m:r>
                      <m:r>
                        <w:rPr>
                          <w:rFonts w:ascii="Cambria Math" w:hAnsi="Cambria Math" w:cs="Arial"/>
                        </w:rPr>
                        <m:t>(1-</m:t>
                      </m:r>
                      <m:r>
                        <w:rPr>
                          <w:rFonts w:ascii="Cambria Math" w:hAnsi="Cambria Math" w:cs="Arial"/>
                        </w:rPr>
                        <m:t>R</m:t>
                      </m:r>
                      <m:r>
                        <w:rPr>
                          <w:rFonts w:ascii="Cambria Math" w:hAnsi="Cambria Math" w:cs="Arial"/>
                        </w:rPr>
                        <m:t>)</m:t>
                      </m:r>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sup>
                      </m:sSup>
                    </m:e>
                  </m:d>
                  <m:r>
                    <w:rPr>
                      <w:rFonts w:ascii="Cambria Math" w:hAnsi="Cambria Math" w:cs="Arial"/>
                    </w:rPr>
                    <m:t>+</m:t>
                  </m:r>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LW</m:t>
                      </m:r>
                    </m:sub>
                  </m:sSub>
                  <m:r>
                    <w:rPr>
                      <w:rFonts w:ascii="Cambria Math" w:hAnsi="Cambria Math" w:cs="Arial"/>
                    </w:rPr>
                    <m:t>+</m:t>
                  </m:r>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LHF</m:t>
                      </m:r>
                    </m:sub>
                  </m:sSub>
                  <m:r>
                    <w:rPr>
                      <w:rFonts w:ascii="Cambria Math" w:hAnsi="Cambria Math" w:cs="Arial"/>
                    </w:rPr>
                    <m:t>+</m:t>
                  </m:r>
                  <m:r>
                    <w:rPr>
                      <w:rFonts w:ascii="Cambria Math" w:hAnsi="Cambria Math" w:cs="Arial"/>
                    </w:rPr>
                    <m:t>δ</m:t>
                  </m:r>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SHF</m:t>
                      </m:r>
                    </m:sub>
                  </m:sSub>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acc>
                    <m:accPr>
                      <m:chr m:val="‾"/>
                      <m:ctrlPr>
                        <w:rPr>
                          <w:rFonts w:ascii="Cambria Math" w:hAnsi="Cambria Math" w:cs="Arial"/>
                        </w:rPr>
                      </m:ctrlPr>
                    </m:accPr>
                    <m:e>
                      <m:r>
                        <w:rPr>
                          <w:rFonts w:ascii="Cambria Math" w:hAnsi="Cambria Math" w:cs="Arial"/>
                        </w:rPr>
                        <m:t>H</m:t>
                      </m:r>
                    </m:e>
                  </m:acc>
                </m:den>
              </m:f>
            </m:e>
          </m:borderBox>
          <m:r>
            <m:rPr>
              <m:sty m:val="p"/>
            </m:rPr>
            <w:rPr>
              <w:rFonts w:ascii="Cambria Math" w:hAnsi="Cambria Math" w:cs="Arial"/>
            </w:rPr>
            <w:br/>
          </m:r>
        </m:oMath>
      </m:oMathPara>
    </w:p>
    <w:p w14:paraId="66BD83ED" w14:textId="77777777" w:rsidR="001547DA" w:rsidRPr="00590236" w:rsidRDefault="001547DA" w:rsidP="00590236">
      <w:pPr>
        <w:spacing w:line="360" w:lineRule="auto"/>
        <w:jc w:val="both"/>
        <w:rPr>
          <w:rFonts w:ascii="Arial" w:hAnsi="Arial" w:cs="Arial"/>
        </w:rPr>
      </w:pPr>
      <w:r w:rsidRPr="00590236">
        <w:rPr>
          <w:rFonts w:ascii="Arial" w:hAnsi="Arial" w:cs="Arial"/>
        </w:rPr>
        <w:t>This term represents the direct effect of surface flux anomalies.</w:t>
      </w:r>
    </w:p>
    <w:p w14:paraId="0F7B13A9" w14:textId="77777777" w:rsidR="001547DA" w:rsidRPr="00590236" w:rsidRDefault="005918EA" w:rsidP="00590236">
      <w:pPr>
        <w:spacing w:line="360" w:lineRule="auto"/>
        <w:jc w:val="both"/>
        <w:rPr>
          <w:rFonts w:ascii="Arial" w:hAnsi="Arial" w:cs="Arial"/>
        </w:rPr>
      </w:pPr>
      <w:r>
        <w:rPr>
          <w:rFonts w:ascii="Arial" w:hAnsi="Arial" w:cs="Arial"/>
          <w:noProof/>
        </w:rPr>
        <w:pict w14:anchorId="6B3103DD">
          <v:rect id="_x0000_i1027" alt="" style="width:451.3pt;height:.05pt;mso-width-percent:0;mso-height-percent:0;mso-width-percent:0;mso-height-percent:0" o:hralign="center" o:hrstd="t" o:hr="t" fillcolor="#a0a0a0" stroked="f"/>
        </w:pict>
      </w:r>
    </w:p>
    <w:p w14:paraId="7FADF7D5" w14:textId="77777777" w:rsidR="001547DA" w:rsidRPr="00590236" w:rsidRDefault="001547DA" w:rsidP="00590236">
      <w:pPr>
        <w:spacing w:line="360" w:lineRule="auto"/>
        <w:jc w:val="both"/>
        <w:rPr>
          <w:rFonts w:ascii="Arial" w:hAnsi="Arial" w:cs="Arial"/>
          <w:b/>
          <w:bCs/>
        </w:rPr>
      </w:pPr>
      <w:r w:rsidRPr="00590236">
        <w:rPr>
          <w:rFonts w:ascii="Arial" w:hAnsi="Arial" w:cs="Arial"/>
          <w:b/>
          <w:bCs/>
        </w:rPr>
        <w:t>Contribution from mixed-layer depth anomalies</w:t>
      </w:r>
    </w:p>
    <w:p w14:paraId="5009A47C" w14:textId="18958015" w:rsidR="001547DA" w:rsidRPr="00590236" w:rsidRDefault="001547DA" w:rsidP="00590236">
      <w:pPr>
        <w:spacing w:line="360" w:lineRule="auto"/>
        <w:jc w:val="both"/>
        <w:rPr>
          <w:rFonts w:ascii="Arial" w:hAnsi="Arial" w:cs="Arial"/>
        </w:rPr>
      </w:pPr>
      <w:r w:rsidRPr="00590236">
        <w:rPr>
          <w:rFonts w:ascii="Arial" w:hAnsi="Arial" w:cs="Arial"/>
        </w:rPr>
        <w:t xml:space="preserve">The derivative with respect to </w:t>
      </w:r>
      <m:oMath>
        <m:r>
          <w:rPr>
            <w:rFonts w:ascii="Cambria Math" w:hAnsi="Cambria Math" w:cs="Arial"/>
          </w:rPr>
          <m:t>H</m:t>
        </m:r>
      </m:oMath>
      <w:r w:rsidR="00D808D6" w:rsidRPr="00590236">
        <w:rPr>
          <w:rFonts w:ascii="Arial" w:eastAsiaTheme="minorEastAsia" w:hAnsi="Arial" w:cs="Arial"/>
        </w:rPr>
        <w:t xml:space="preserve"> </w:t>
      </w:r>
      <w:r w:rsidRPr="00590236">
        <w:rPr>
          <w:rFonts w:ascii="Arial" w:hAnsi="Arial" w:cs="Arial"/>
        </w:rPr>
        <w:t>yields</w:t>
      </w:r>
    </w:p>
    <w:p w14:paraId="1CF7F780" w14:textId="77777777" w:rsidR="001547DA" w:rsidRPr="00590236" w:rsidRDefault="005918EA" w:rsidP="00590236">
      <w:pPr>
        <w:spacing w:line="360" w:lineRule="auto"/>
        <w:jc w:val="both"/>
        <w:rPr>
          <w:rFonts w:ascii="Arial" w:hAnsi="Arial" w:cs="Arial"/>
        </w:rPr>
      </w:pPr>
      <m:oMathPara>
        <m:oMath>
          <m:f>
            <m:fPr>
              <m:ctrlPr>
                <w:rPr>
                  <w:rFonts w:ascii="Cambria Math" w:hAnsi="Cambria Math" w:cs="Arial"/>
                </w:rPr>
              </m:ctrlPr>
            </m:fPr>
            <m:num>
              <m:r>
                <m:rPr>
                  <m:sty m:val="p"/>
                </m:rPr>
                <w:rPr>
                  <w:rFonts w:ascii="Cambria Math" w:hAnsi="Cambria Math" w:cs="Arial"/>
                </w:rPr>
                <m:t>∂</m:t>
              </m:r>
              <m:r>
                <w:rPr>
                  <w:rFonts w:ascii="Cambria Math" w:hAnsi="Cambria Math" w:cs="Arial"/>
                </w:rPr>
                <m:t>F</m:t>
              </m:r>
            </m:num>
            <m:den>
              <m:r>
                <m:rPr>
                  <m:sty m:val="p"/>
                </m:rPr>
                <w:rPr>
                  <w:rFonts w:ascii="Cambria Math" w:hAnsi="Cambria Math" w:cs="Arial"/>
                </w:rPr>
                <m:t>∂</m:t>
              </m:r>
              <m:r>
                <w:rPr>
                  <w:rFonts w:ascii="Cambria Math" w:hAnsi="Cambria Math" w:cs="Arial"/>
                </w:rPr>
                <m:t>H</m:t>
              </m:r>
            </m:den>
          </m:f>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acc>
                    <m:accPr>
                      <m:chr m:val="‾"/>
                      <m:ctrlPr>
                        <w:rPr>
                          <w:rFonts w:ascii="Cambria Math" w:hAnsi="Cambria Math" w:cs="Arial"/>
                        </w:rPr>
                      </m:ctrlPr>
                    </m:accPr>
                    <m:e>
                      <m:r>
                        <w:rPr>
                          <w:rFonts w:ascii="Cambria Math" w:hAnsi="Cambria Math" w:cs="Arial"/>
                        </w:rPr>
                        <m:t>Q</m:t>
                      </m:r>
                    </m:e>
                  </m:acc>
                </m:e>
                <m:sub>
                  <m:r>
                    <m:rPr>
                      <m:sty m:val="p"/>
                    </m:rPr>
                    <w:rPr>
                      <w:rFonts w:ascii="Cambria Math" w:hAnsi="Cambria Math" w:cs="Arial"/>
                    </w:rPr>
                    <m:t>net</m:t>
                  </m:r>
                </m:sub>
              </m:sSub>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sSup>
                <m:sSupPr>
                  <m:ctrlPr>
                    <w:rPr>
                      <w:rFonts w:ascii="Cambria Math" w:hAnsi="Cambria Math" w:cs="Arial"/>
                    </w:rPr>
                  </m:ctrlPr>
                </m:sSupPr>
                <m:e>
                  <m:acc>
                    <m:accPr>
                      <m:chr m:val="‾"/>
                      <m:ctrlPr>
                        <w:rPr>
                          <w:rFonts w:ascii="Cambria Math" w:hAnsi="Cambria Math" w:cs="Arial"/>
                        </w:rPr>
                      </m:ctrlPr>
                    </m:accPr>
                    <m:e>
                      <m:r>
                        <w:rPr>
                          <w:rFonts w:ascii="Cambria Math" w:hAnsi="Cambria Math" w:cs="Arial"/>
                        </w:rPr>
                        <m:t>H</m:t>
                      </m:r>
                    </m:e>
                  </m:acc>
                </m:e>
                <m:sup>
                  <m:r>
                    <w:rPr>
                      <w:rFonts w:ascii="Cambria Math" w:hAnsi="Cambria Math" w:cs="Arial"/>
                    </w:rPr>
                    <m:t>2</m:t>
                  </m:r>
                </m:sup>
              </m:sSup>
            </m:den>
          </m:f>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acc>
                    <m:accPr>
                      <m:chr m:val="‾"/>
                      <m:ctrlPr>
                        <w:rPr>
                          <w:rFonts w:ascii="Cambria Math" w:hAnsi="Cambria Math" w:cs="Arial"/>
                        </w:rPr>
                      </m:ctrlPr>
                    </m:accPr>
                    <m:e>
                      <m:r>
                        <w:rPr>
                          <w:rFonts w:ascii="Cambria Math" w:hAnsi="Cambria Math" w:cs="Arial"/>
                        </w:rPr>
                        <m:t>Q</m:t>
                      </m:r>
                    </m:e>
                  </m:acc>
                </m:e>
                <m:sub>
                  <m:r>
                    <m:rPr>
                      <m:sty m:val="p"/>
                    </m:rPr>
                    <w:rPr>
                      <w:rFonts w:ascii="Cambria Math" w:hAnsi="Cambria Math" w:cs="Arial"/>
                    </w:rPr>
                    <m:t>SW</m:t>
                  </m:r>
                </m:sub>
              </m:sSub>
              <m:r>
                <w:rPr>
                  <w:rFonts w:ascii="Cambria Math" w:hAnsi="Cambria Math" w:cs="Arial"/>
                </w:rPr>
                <m:t>A</m:t>
              </m:r>
              <m:r>
                <w:rPr>
                  <w:rFonts w:ascii="Cambria Math" w:hAnsi="Cambria Math" w:cs="Arial"/>
                </w:rPr>
                <m:t>(</m:t>
              </m:r>
              <m:acc>
                <m:accPr>
                  <m:chr m:val="‾"/>
                  <m:ctrlPr>
                    <w:rPr>
                      <w:rFonts w:ascii="Cambria Math" w:hAnsi="Cambria Math" w:cs="Arial"/>
                    </w:rPr>
                  </m:ctrlPr>
                </m:accPr>
                <m:e>
                  <m:r>
                    <w:rPr>
                      <w:rFonts w:ascii="Cambria Math" w:hAnsi="Cambria Math" w:cs="Arial"/>
                    </w:rPr>
                    <m:t>H</m:t>
                  </m:r>
                </m:e>
              </m:acc>
              <m:r>
                <w:rPr>
                  <w:rFonts w:ascii="Cambria Math" w:hAnsi="Cambria Math" w:cs="Arial"/>
                </w:rPr>
                <m:t>)</m:t>
              </m:r>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sSup>
                <m:sSupPr>
                  <m:ctrlPr>
                    <w:rPr>
                      <w:rFonts w:ascii="Cambria Math" w:hAnsi="Cambria Math" w:cs="Arial"/>
                    </w:rPr>
                  </m:ctrlPr>
                </m:sSupPr>
                <m:e>
                  <m:acc>
                    <m:accPr>
                      <m:chr m:val="‾"/>
                      <m:ctrlPr>
                        <w:rPr>
                          <w:rFonts w:ascii="Cambria Math" w:hAnsi="Cambria Math" w:cs="Arial"/>
                        </w:rPr>
                      </m:ctrlPr>
                    </m:accPr>
                    <m:e>
                      <m:r>
                        <w:rPr>
                          <w:rFonts w:ascii="Cambria Math" w:hAnsi="Cambria Math" w:cs="Arial"/>
                        </w:rPr>
                        <m:t>H</m:t>
                      </m:r>
                    </m:e>
                  </m:acc>
                </m:e>
                <m:sup>
                  <m:r>
                    <w:rPr>
                      <w:rFonts w:ascii="Cambria Math" w:hAnsi="Cambria Math" w:cs="Arial"/>
                    </w:rPr>
                    <m:t>2</m:t>
                  </m:r>
                </m:sup>
              </m:sSup>
            </m:den>
          </m:f>
          <m: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acc>
                    <m:accPr>
                      <m:chr m:val="‾"/>
                      <m:ctrlPr>
                        <w:rPr>
                          <w:rFonts w:ascii="Cambria Math" w:hAnsi="Cambria Math" w:cs="Arial"/>
                        </w:rPr>
                      </m:ctrlPr>
                    </m:accPr>
                    <m:e>
                      <m:r>
                        <w:rPr>
                          <w:rFonts w:ascii="Cambria Math" w:hAnsi="Cambria Math" w:cs="Arial"/>
                        </w:rPr>
                        <m:t>Q</m:t>
                      </m:r>
                    </m:e>
                  </m:acc>
                </m:e>
                <m:sub>
                  <m:r>
                    <m:rPr>
                      <m:sty m:val="p"/>
                    </m:rPr>
                    <w:rPr>
                      <w:rFonts w:ascii="Cambria Math" w:hAnsi="Cambria Math" w:cs="Arial"/>
                    </w:rPr>
                    <m:t>SW</m:t>
                  </m:r>
                </m:sub>
              </m:sSub>
              <m:sSup>
                <m:sSupPr>
                  <m:ctrlPr>
                    <w:rPr>
                      <w:rFonts w:ascii="Cambria Math" w:hAnsi="Cambria Math" w:cs="Arial"/>
                    </w:rPr>
                  </m:ctrlPr>
                </m:sSupPr>
                <m:e>
                  <m:r>
                    <w:rPr>
                      <w:rFonts w:ascii="Cambria Math" w:hAnsi="Cambria Math" w:cs="Arial"/>
                    </w:rPr>
                    <m:t>A</m:t>
                  </m:r>
                </m:e>
                <m:sup>
                  <m:r>
                    <m:rPr>
                      <m:sty m:val="p"/>
                    </m:rPr>
                    <w:rPr>
                      <w:rFonts w:ascii="Cambria Math" w:hAnsi="Cambria Math" w:cs="Arial"/>
                    </w:rPr>
                    <m:t>'</m:t>
                  </m:r>
                </m:sup>
              </m:s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w:rPr>
                  <w:rFonts w:ascii="Cambria Math" w:hAnsi="Cambria Math" w:cs="Arial"/>
                </w:rPr>
                <m:t>)</m:t>
              </m:r>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acc>
                <m:accPr>
                  <m:chr m:val="‾"/>
                  <m:ctrlPr>
                    <w:rPr>
                      <w:rFonts w:ascii="Cambria Math" w:hAnsi="Cambria Math" w:cs="Arial"/>
                    </w:rPr>
                  </m:ctrlPr>
                </m:accPr>
                <m:e>
                  <m:r>
                    <w:rPr>
                      <w:rFonts w:ascii="Cambria Math" w:hAnsi="Cambria Math" w:cs="Arial"/>
                    </w:rPr>
                    <m:t>H</m:t>
                  </m:r>
                </m:e>
              </m:acc>
            </m:den>
          </m:f>
          <m:r>
            <w:rPr>
              <w:rFonts w:ascii="Cambria Math" w:hAnsi="Cambria Math" w:cs="Arial"/>
            </w:rPr>
            <m:t>,</m:t>
          </m:r>
          <m:r>
            <m:rPr>
              <m:sty m:val="p"/>
            </m:rPr>
            <w:rPr>
              <w:rFonts w:ascii="Cambria Math" w:hAnsi="Cambria Math" w:cs="Arial"/>
            </w:rPr>
            <w:br/>
          </m:r>
        </m:oMath>
      </m:oMathPara>
    </w:p>
    <w:p w14:paraId="6FDEA3CB" w14:textId="77777777" w:rsidR="001547DA" w:rsidRPr="00590236" w:rsidRDefault="001547DA" w:rsidP="00590236">
      <w:pPr>
        <w:spacing w:line="360" w:lineRule="auto"/>
        <w:jc w:val="both"/>
        <w:rPr>
          <w:rFonts w:ascii="Arial" w:hAnsi="Arial" w:cs="Arial"/>
        </w:rPr>
      </w:pPr>
      <w:r w:rsidRPr="00590236">
        <w:rPr>
          <w:rFonts w:ascii="Arial" w:hAnsi="Arial" w:cs="Arial"/>
        </w:rPr>
        <w:t>where</w:t>
      </w:r>
    </w:p>
    <w:p w14:paraId="4B3E88B9" w14:textId="77777777" w:rsidR="001547DA" w:rsidRPr="00590236" w:rsidRDefault="005918EA" w:rsidP="00590236">
      <w:pPr>
        <w:spacing w:line="360" w:lineRule="auto"/>
        <w:jc w:val="both"/>
        <w:rPr>
          <w:rFonts w:ascii="Arial" w:hAnsi="Arial" w:cs="Arial"/>
        </w:rPr>
      </w:pPr>
      <m:oMathPara>
        <m:oMath>
          <m:sSup>
            <m:sSupPr>
              <m:ctrlPr>
                <w:rPr>
                  <w:rFonts w:ascii="Cambria Math" w:hAnsi="Cambria Math" w:cs="Arial"/>
                </w:rPr>
              </m:ctrlPr>
            </m:sSupPr>
            <m:e>
              <m:r>
                <w:rPr>
                  <w:rFonts w:ascii="Cambria Math" w:hAnsi="Cambria Math" w:cs="Arial"/>
                </w:rPr>
                <m:t>A</m:t>
              </m:r>
            </m:e>
            <m:sup>
              <m:r>
                <m:rPr>
                  <m:sty m:val="p"/>
                </m:rPr>
                <w:rPr>
                  <w:rFonts w:ascii="Cambria Math" w:hAnsi="Cambria Math" w:cs="Arial"/>
                </w:rPr>
                <m:t>'</m:t>
              </m:r>
            </m:sup>
          </m:s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w:rPr>
              <w:rFonts w:ascii="Cambria Math" w:hAnsi="Cambria Math" w:cs="Arial"/>
            </w:rPr>
            <m:t>)=-</m:t>
          </m:r>
          <m:f>
            <m:fPr>
              <m:ctrlPr>
                <w:rPr>
                  <w:rFonts w:ascii="Cambria Math" w:hAnsi="Cambria Math" w:cs="Arial"/>
                </w:rPr>
              </m:ctrlPr>
            </m:fPr>
            <m:num>
              <m:r>
                <w:rPr>
                  <w:rFonts w:ascii="Cambria Math" w:hAnsi="Cambria Math" w:cs="Arial"/>
                </w:rPr>
                <m:t>R</m:t>
              </m:r>
            </m:num>
            <m:den>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den>
          </m:f>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sup>
          </m:sSup>
          <m:r>
            <w:rPr>
              <w:rFonts w:ascii="Cambria Math" w:hAnsi="Cambria Math" w:cs="Arial"/>
            </w:rPr>
            <m:t>-</m:t>
          </m:r>
          <m:f>
            <m:fPr>
              <m:ctrlPr>
                <w:rPr>
                  <w:rFonts w:ascii="Cambria Math" w:hAnsi="Cambria Math" w:cs="Arial"/>
                </w:rPr>
              </m:ctrlPr>
            </m:fPr>
            <m:num>
              <m:r>
                <w:rPr>
                  <w:rFonts w:ascii="Cambria Math" w:hAnsi="Cambria Math" w:cs="Arial"/>
                </w:rPr>
                <m:t>1-</m:t>
              </m:r>
              <m:r>
                <w:rPr>
                  <w:rFonts w:ascii="Cambria Math" w:hAnsi="Cambria Math" w:cs="Arial"/>
                </w:rPr>
                <m:t>R</m:t>
              </m:r>
            </m:num>
            <m:den>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den>
          </m:f>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sup>
          </m:sSup>
          <m:r>
            <m:rPr>
              <m:sty m:val="p"/>
            </m:rPr>
            <w:rPr>
              <w:rFonts w:ascii="Cambria Math" w:hAnsi="Cambria Math" w:cs="Arial"/>
            </w:rPr>
            <m:t>.</m:t>
          </m:r>
          <m:r>
            <m:rPr>
              <m:sty m:val="p"/>
            </m:rPr>
            <w:rPr>
              <w:rFonts w:ascii="Cambria Math" w:hAnsi="Cambria Math" w:cs="Arial"/>
            </w:rPr>
            <w:br/>
          </m:r>
        </m:oMath>
      </m:oMathPara>
    </w:p>
    <w:p w14:paraId="3910034A" w14:textId="77777777" w:rsidR="001547DA" w:rsidRPr="00590236" w:rsidRDefault="001547DA" w:rsidP="00590236">
      <w:pPr>
        <w:spacing w:line="360" w:lineRule="auto"/>
        <w:jc w:val="both"/>
        <w:rPr>
          <w:rFonts w:ascii="Arial" w:hAnsi="Arial" w:cs="Arial"/>
        </w:rPr>
      </w:pPr>
      <w:r w:rsidRPr="00590236">
        <w:rPr>
          <w:rFonts w:ascii="Arial" w:hAnsi="Arial" w:cs="Arial"/>
        </w:rPr>
        <w:t>Thus, the MLD contribution becomes</w:t>
      </w:r>
    </w:p>
    <w:p w14:paraId="365AFECE" w14:textId="77777777" w:rsidR="001547DA" w:rsidRPr="00590236" w:rsidRDefault="005918EA" w:rsidP="00590236">
      <w:pPr>
        <w:spacing w:line="360" w:lineRule="auto"/>
        <w:jc w:val="both"/>
        <w:rPr>
          <w:rFonts w:ascii="Arial" w:hAnsi="Arial" w:cs="Arial"/>
        </w:rPr>
      </w:pPr>
      <m:oMathPara>
        <m:oMath>
          <m:borderBox>
            <m:borderBoxPr>
              <m:ctrlPr>
                <w:rPr>
                  <w:rFonts w:ascii="Cambria Math" w:hAnsi="Cambria Math" w:cs="Arial"/>
                </w:rPr>
              </m:ctrlPr>
            </m:borderBoxPr>
            <m:e>
              <m:r>
                <w:rPr>
                  <w:rFonts w:ascii="Cambria Math" w:hAnsi="Cambria Math" w:cs="Arial"/>
                </w:rPr>
                <m:t>δ</m:t>
              </m:r>
              <m:sSub>
                <m:sSubPr>
                  <m:ctrlPr>
                    <w:rPr>
                      <w:rFonts w:ascii="Cambria Math" w:hAnsi="Cambria Math" w:cs="Arial"/>
                    </w:rPr>
                  </m:ctrlPr>
                </m:sSubPr>
                <m:e>
                  <m:r>
                    <w:rPr>
                      <w:rFonts w:ascii="Cambria Math" w:hAnsi="Cambria Math" w:cs="Arial"/>
                    </w:rPr>
                    <m:t>F</m:t>
                  </m:r>
                </m:e>
                <m:sub>
                  <m:r>
                    <m:rPr>
                      <m:sty m:val="p"/>
                    </m:rPr>
                    <w:rPr>
                      <w:rFonts w:ascii="Cambria Math" w:hAnsi="Cambria Math" w:cs="Arial"/>
                    </w:rPr>
                    <m:t>MLD</m:t>
                  </m:r>
                </m:sub>
              </m:sSub>
              <m:r>
                <w:rPr>
                  <w:rFonts w:ascii="Cambria Math" w:hAnsi="Cambria Math" w:cs="Arial"/>
                </w:rPr>
                <m:t>=-</m:t>
              </m:r>
              <m:d>
                <m:dPr>
                  <m:begChr m:val="["/>
                  <m:sepChr m:val="+"/>
                  <m:endChr m:val="]"/>
                  <m:ctrlPr>
                    <w:rPr>
                      <w:rFonts w:ascii="Cambria Math" w:hAnsi="Cambria Math" w:cs="Arial"/>
                    </w:rPr>
                  </m:ctrlPr>
                </m:dPr>
                <m:e>
                  <m:f>
                    <m:fPr>
                      <m:ctrlPr>
                        <w:rPr>
                          <w:rFonts w:ascii="Cambria Math" w:hAnsi="Cambria Math" w:cs="Arial"/>
                        </w:rPr>
                      </m:ctrlPr>
                    </m:fPr>
                    <m:num>
                      <m:r>
                        <w:rPr>
                          <w:rFonts w:ascii="Cambria Math" w:hAnsi="Cambria Math" w:cs="Arial"/>
                        </w:rPr>
                        <m:t>δH</m:t>
                      </m:r>
                      <m:r>
                        <m:rPr>
                          <m:nor/>
                        </m:rPr>
                        <w:rPr>
                          <w:rFonts w:ascii="Arial" w:hAnsi="Arial" w:cs="Arial"/>
                        </w:rPr>
                        <m:t> </m:t>
                      </m:r>
                      <m:sSub>
                        <m:sSubPr>
                          <m:ctrlPr>
                            <w:rPr>
                              <w:rFonts w:ascii="Cambria Math" w:hAnsi="Cambria Math" w:cs="Arial"/>
                            </w:rPr>
                          </m:ctrlPr>
                        </m:sSubPr>
                        <m:e>
                          <m:acc>
                            <m:accPr>
                              <m:chr m:val="‾"/>
                              <m:ctrlPr>
                                <w:rPr>
                                  <w:rFonts w:ascii="Cambria Math" w:hAnsi="Cambria Math" w:cs="Arial"/>
                                </w:rPr>
                              </m:ctrlPr>
                            </m:accPr>
                            <m:e>
                              <m:r>
                                <w:rPr>
                                  <w:rFonts w:ascii="Cambria Math" w:hAnsi="Cambria Math" w:cs="Arial"/>
                                </w:rPr>
                                <m:t>Q</m:t>
                              </m:r>
                            </m:e>
                          </m:acc>
                        </m:e>
                        <m:sub>
                          <m:r>
                            <m:rPr>
                              <m:sty m:val="p"/>
                            </m:rPr>
                            <w:rPr>
                              <w:rFonts w:ascii="Cambria Math" w:hAnsi="Cambria Math" w:cs="Arial"/>
                            </w:rPr>
                            <m:t>net</m:t>
                          </m:r>
                        </m:sub>
                      </m:sSub>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sSup>
                        <m:sSupPr>
                          <m:ctrlPr>
                            <w:rPr>
                              <w:rFonts w:ascii="Cambria Math" w:hAnsi="Cambria Math" w:cs="Arial"/>
                            </w:rPr>
                          </m:ctrlPr>
                        </m:sSupPr>
                        <m:e>
                          <m:acc>
                            <m:accPr>
                              <m:chr m:val="‾"/>
                              <m:ctrlPr>
                                <w:rPr>
                                  <w:rFonts w:ascii="Cambria Math" w:hAnsi="Cambria Math" w:cs="Arial"/>
                                </w:rPr>
                              </m:ctrlPr>
                            </m:accPr>
                            <m:e>
                              <m:r>
                                <w:rPr>
                                  <w:rFonts w:ascii="Cambria Math" w:hAnsi="Cambria Math" w:cs="Arial"/>
                                </w:rPr>
                                <m:t>H</m:t>
                              </m:r>
                            </m:e>
                          </m:acc>
                        </m:e>
                        <m:sup>
                          <m:r>
                            <w:rPr>
                              <w:rFonts w:ascii="Cambria Math" w:hAnsi="Cambria Math" w:cs="Arial"/>
                            </w:rPr>
                            <m:t>2</m:t>
                          </m:r>
                        </m:sup>
                      </m:sSup>
                    </m:den>
                  </m:f>
                </m:e>
                <m:e>
                  <m:f>
                    <m:fPr>
                      <m:ctrlPr>
                        <w:rPr>
                          <w:rFonts w:ascii="Cambria Math" w:hAnsi="Cambria Math" w:cs="Arial"/>
                        </w:rPr>
                      </m:ctrlPr>
                    </m:fPr>
                    <m:num>
                      <m:r>
                        <w:rPr>
                          <w:rFonts w:ascii="Cambria Math" w:hAnsi="Cambria Math" w:cs="Arial"/>
                        </w:rPr>
                        <m:t>δH</m:t>
                      </m:r>
                      <m:r>
                        <m:rPr>
                          <m:nor/>
                        </m:rPr>
                        <w:rPr>
                          <w:rFonts w:ascii="Arial" w:hAnsi="Arial" w:cs="Arial"/>
                        </w:rPr>
                        <m:t> </m:t>
                      </m:r>
                      <m:sSub>
                        <m:sSubPr>
                          <m:ctrlPr>
                            <w:rPr>
                              <w:rFonts w:ascii="Cambria Math" w:hAnsi="Cambria Math" w:cs="Arial"/>
                            </w:rPr>
                          </m:ctrlPr>
                        </m:sSubPr>
                        <m:e>
                          <m:acc>
                            <m:accPr>
                              <m:chr m:val="‾"/>
                              <m:ctrlPr>
                                <w:rPr>
                                  <w:rFonts w:ascii="Cambria Math" w:hAnsi="Cambria Math" w:cs="Arial"/>
                                </w:rPr>
                              </m:ctrlPr>
                            </m:accPr>
                            <m:e>
                              <m:r>
                                <w:rPr>
                                  <w:rFonts w:ascii="Cambria Math" w:hAnsi="Cambria Math" w:cs="Arial"/>
                                </w:rPr>
                                <m:t>Q</m:t>
                              </m:r>
                            </m:e>
                          </m:acc>
                        </m:e>
                        <m:sub>
                          <m:r>
                            <m:rPr>
                              <m:sty m:val="p"/>
                            </m:rPr>
                            <w:rPr>
                              <w:rFonts w:ascii="Cambria Math" w:hAnsi="Cambria Math" w:cs="Arial"/>
                            </w:rPr>
                            <m:t>SW</m:t>
                          </m:r>
                        </m:sub>
                      </m:sSub>
                      <m:d>
                        <m:dPr>
                          <m:ctrlPr>
                            <w:rPr>
                              <w:rFonts w:ascii="Cambria Math" w:hAnsi="Cambria Math" w:cs="Arial"/>
                            </w:rPr>
                          </m:ctrlPr>
                        </m:dPr>
                        <m:e>
                          <m:r>
                            <w:rPr>
                              <w:rFonts w:ascii="Cambria Math" w:hAnsi="Cambria Math" w:cs="Arial"/>
                            </w:rPr>
                            <m:t>R</m:t>
                          </m:r>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sup>
                          </m:sSup>
                          <m:r>
                            <w:rPr>
                              <w:rFonts w:ascii="Cambria Math" w:hAnsi="Cambria Math" w:cs="Arial"/>
                            </w:rPr>
                            <m:t>+(1-</m:t>
                          </m:r>
                          <m:r>
                            <w:rPr>
                              <w:rFonts w:ascii="Cambria Math" w:hAnsi="Cambria Math" w:cs="Arial"/>
                            </w:rPr>
                            <m:t>R</m:t>
                          </m:r>
                          <m:r>
                            <w:rPr>
                              <w:rFonts w:ascii="Cambria Math" w:hAnsi="Cambria Math" w:cs="Arial"/>
                            </w:rPr>
                            <m:t>)</m:t>
                          </m:r>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sup>
                          </m:sSup>
                        </m:e>
                      </m:d>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sSup>
                        <m:sSupPr>
                          <m:ctrlPr>
                            <w:rPr>
                              <w:rFonts w:ascii="Cambria Math" w:hAnsi="Cambria Math" w:cs="Arial"/>
                            </w:rPr>
                          </m:ctrlPr>
                        </m:sSupPr>
                        <m:e>
                          <m:acc>
                            <m:accPr>
                              <m:chr m:val="‾"/>
                              <m:ctrlPr>
                                <w:rPr>
                                  <w:rFonts w:ascii="Cambria Math" w:hAnsi="Cambria Math" w:cs="Arial"/>
                                </w:rPr>
                              </m:ctrlPr>
                            </m:accPr>
                            <m:e>
                              <m:r>
                                <w:rPr>
                                  <w:rFonts w:ascii="Cambria Math" w:hAnsi="Cambria Math" w:cs="Arial"/>
                                </w:rPr>
                                <m:t>H</m:t>
                              </m:r>
                            </m:e>
                          </m:acc>
                        </m:e>
                        <m:sup>
                          <m:r>
                            <w:rPr>
                              <w:rFonts w:ascii="Cambria Math" w:hAnsi="Cambria Math" w:cs="Arial"/>
                            </w:rPr>
                            <m:t>2</m:t>
                          </m:r>
                        </m:sup>
                      </m:sSup>
                    </m:den>
                  </m:f>
                </m:e>
                <m:e>
                  <m:f>
                    <m:fPr>
                      <m:ctrlPr>
                        <w:rPr>
                          <w:rFonts w:ascii="Cambria Math" w:hAnsi="Cambria Math" w:cs="Arial"/>
                        </w:rPr>
                      </m:ctrlPr>
                    </m:fPr>
                    <m:num>
                      <m:r>
                        <w:rPr>
                          <w:rFonts w:ascii="Cambria Math" w:hAnsi="Cambria Math" w:cs="Arial"/>
                        </w:rPr>
                        <m:t>δH</m:t>
                      </m:r>
                      <m:r>
                        <m:rPr>
                          <m:nor/>
                        </m:rPr>
                        <w:rPr>
                          <w:rFonts w:ascii="Arial" w:hAnsi="Arial" w:cs="Arial"/>
                        </w:rPr>
                        <m:t> </m:t>
                      </m:r>
                      <m:sSub>
                        <m:sSubPr>
                          <m:ctrlPr>
                            <w:rPr>
                              <w:rFonts w:ascii="Cambria Math" w:hAnsi="Cambria Math" w:cs="Arial"/>
                            </w:rPr>
                          </m:ctrlPr>
                        </m:sSubPr>
                        <m:e>
                          <m:acc>
                            <m:accPr>
                              <m:chr m:val="‾"/>
                              <m:ctrlPr>
                                <w:rPr>
                                  <w:rFonts w:ascii="Cambria Math" w:hAnsi="Cambria Math" w:cs="Arial"/>
                                </w:rPr>
                              </m:ctrlPr>
                            </m:accPr>
                            <m:e>
                              <m:r>
                                <w:rPr>
                                  <w:rFonts w:ascii="Cambria Math" w:hAnsi="Cambria Math" w:cs="Arial"/>
                                </w:rPr>
                                <m:t>Q</m:t>
                              </m:r>
                            </m:e>
                          </m:acc>
                        </m:e>
                        <m:sub>
                          <m:r>
                            <m:rPr>
                              <m:sty m:val="p"/>
                            </m:rPr>
                            <w:rPr>
                              <w:rFonts w:ascii="Cambria Math" w:hAnsi="Cambria Math" w:cs="Arial"/>
                            </w:rPr>
                            <m:t>SW</m:t>
                          </m:r>
                        </m:sub>
                      </m:sSub>
                      <m:d>
                        <m:dPr>
                          <m:sepChr m:val="+"/>
                          <m:ctrlPr>
                            <w:rPr>
                              <w:rFonts w:ascii="Cambria Math" w:hAnsi="Cambria Math" w:cs="Arial"/>
                            </w:rPr>
                          </m:ctrlPr>
                        </m:dPr>
                        <m:e>
                          <m:f>
                            <m:fPr>
                              <m:ctrlPr>
                                <w:rPr>
                                  <w:rFonts w:ascii="Cambria Math" w:hAnsi="Cambria Math" w:cs="Arial"/>
                                </w:rPr>
                              </m:ctrlPr>
                            </m:fPr>
                            <m:num>
                              <m:r>
                                <w:rPr>
                                  <w:rFonts w:ascii="Cambria Math" w:hAnsi="Cambria Math" w:cs="Arial"/>
                                </w:rPr>
                                <m:t>R</m:t>
                              </m:r>
                            </m:num>
                            <m:den>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den>
                          </m:f>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1</m:t>
                                  </m:r>
                                </m:sub>
                              </m:sSub>
                            </m:sup>
                          </m:sSup>
                        </m:e>
                        <m:e>
                          <m:f>
                            <m:fPr>
                              <m:ctrlPr>
                                <w:rPr>
                                  <w:rFonts w:ascii="Cambria Math" w:hAnsi="Cambria Math" w:cs="Arial"/>
                                </w:rPr>
                              </m:ctrlPr>
                            </m:fPr>
                            <m:num>
                              <m:r>
                                <w:rPr>
                                  <w:rFonts w:ascii="Cambria Math" w:hAnsi="Cambria Math" w:cs="Arial"/>
                                </w:rPr>
                                <m:t>1-</m:t>
                              </m:r>
                              <m:r>
                                <w:rPr>
                                  <w:rFonts w:ascii="Cambria Math" w:hAnsi="Cambria Math" w:cs="Arial"/>
                                </w:rPr>
                                <m:t>R</m:t>
                              </m:r>
                            </m:num>
                            <m:den>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den>
                          </m:f>
                          <m:sSup>
                            <m:sSupPr>
                              <m:ctrlPr>
                                <w:rPr>
                                  <w:rFonts w:ascii="Cambria Math" w:hAnsi="Cambria Math" w:cs="Arial"/>
                                </w:rPr>
                              </m:ctrlPr>
                            </m:sSupPr>
                            <m:e>
                              <m:r>
                                <w:rPr>
                                  <w:rFonts w:ascii="Cambria Math" w:hAnsi="Cambria Math" w:cs="Arial"/>
                                </w:rPr>
                                <m:t>e</m:t>
                              </m:r>
                            </m:e>
                            <m:sup>
                              <m:r>
                                <w:rPr>
                                  <w:rFonts w:ascii="Cambria Math" w:hAnsi="Cambria Math" w:cs="Arial"/>
                                </w:rPr>
                                <m:t>-</m:t>
                              </m:r>
                              <m:acc>
                                <m:accPr>
                                  <m:chr m:val="‾"/>
                                  <m:ctrlPr>
                                    <w:rPr>
                                      <w:rFonts w:ascii="Cambria Math" w:hAnsi="Cambria Math" w:cs="Arial"/>
                                    </w:rPr>
                                  </m:ctrlPr>
                                </m:accPr>
                                <m:e>
                                  <m:r>
                                    <w:rPr>
                                      <w:rFonts w:ascii="Cambria Math" w:hAnsi="Cambria Math" w:cs="Arial"/>
                                    </w:rPr>
                                    <m:t>H</m:t>
                                  </m:r>
                                </m:e>
                              </m:acc>
                              <m:r>
                                <m:rPr>
                                  <m:sty m:val="p"/>
                                </m:rPr>
                                <w:rPr>
                                  <w:rFonts w:ascii="Cambria Math" w:hAnsi="Cambria Math" w:cs="Arial"/>
                                </w:rPr>
                                <m:t>/</m:t>
                              </m:r>
                              <m:sSub>
                                <m:sSubPr>
                                  <m:ctrlPr>
                                    <w:rPr>
                                      <w:rFonts w:ascii="Cambria Math" w:hAnsi="Cambria Math" w:cs="Arial"/>
                                    </w:rPr>
                                  </m:ctrlPr>
                                </m:sSubPr>
                                <m:e>
                                  <m:r>
                                    <w:rPr>
                                      <w:rFonts w:ascii="Cambria Math" w:hAnsi="Cambria Math" w:cs="Arial"/>
                                    </w:rPr>
                                    <m:t>γ</m:t>
                                  </m:r>
                                </m:e>
                                <m:sub>
                                  <m:r>
                                    <w:rPr>
                                      <w:rFonts w:ascii="Cambria Math" w:hAnsi="Cambria Math" w:cs="Arial"/>
                                    </w:rPr>
                                    <m:t>2</m:t>
                                  </m:r>
                                </m:sub>
                              </m:sSub>
                            </m:sup>
                          </m:sSup>
                        </m:e>
                      </m:d>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acc>
                        <m:accPr>
                          <m:chr m:val="‾"/>
                          <m:ctrlPr>
                            <w:rPr>
                              <w:rFonts w:ascii="Cambria Math" w:hAnsi="Cambria Math" w:cs="Arial"/>
                            </w:rPr>
                          </m:ctrlPr>
                        </m:accPr>
                        <m:e>
                          <m:r>
                            <w:rPr>
                              <w:rFonts w:ascii="Cambria Math" w:hAnsi="Cambria Math" w:cs="Arial"/>
                            </w:rPr>
                            <m:t>H</m:t>
                          </m:r>
                        </m:e>
                      </m:acc>
                    </m:den>
                  </m:f>
                </m:e>
              </m:d>
            </m:e>
          </m:borderBox>
          <m:r>
            <m:rPr>
              <m:sty m:val="p"/>
            </m:rPr>
            <w:rPr>
              <w:rFonts w:ascii="Cambria Math" w:hAnsi="Cambria Math" w:cs="Arial"/>
            </w:rPr>
            <w:br/>
          </m:r>
        </m:oMath>
      </m:oMathPara>
    </w:p>
    <w:p w14:paraId="5BEE0544" w14:textId="77777777" w:rsidR="001547DA" w:rsidRPr="00590236" w:rsidRDefault="001547DA" w:rsidP="00590236">
      <w:pPr>
        <w:spacing w:line="360" w:lineRule="auto"/>
        <w:jc w:val="both"/>
        <w:rPr>
          <w:rFonts w:ascii="Arial" w:hAnsi="Arial" w:cs="Arial"/>
        </w:rPr>
      </w:pPr>
      <w:r w:rsidRPr="00590236">
        <w:rPr>
          <w:rFonts w:ascii="Arial" w:hAnsi="Arial" w:cs="Arial"/>
        </w:rPr>
        <w:t>This term represents the indirect effect of MLD variability through both geometric dilution (</w:t>
      </w:r>
      <m:oMath>
        <m:r>
          <w:rPr>
            <w:rFonts w:ascii="Cambria Math" w:hAnsi="Cambria Math" w:cs="Arial"/>
          </w:rPr>
          <m:t>1</m:t>
        </m:r>
        <m:r>
          <m:rPr>
            <m:sty m:val="p"/>
          </m:rPr>
          <w:rPr>
            <w:rFonts w:ascii="Cambria Math" w:hAnsi="Cambria Math" w:cs="Arial"/>
          </w:rPr>
          <m:t>/</m:t>
        </m:r>
        <m:r>
          <w:rPr>
            <w:rFonts w:ascii="Cambria Math" w:hAnsi="Cambria Math" w:cs="Arial"/>
          </w:rPr>
          <m:t>H</m:t>
        </m:r>
      </m:oMath>
      <w:r w:rsidRPr="00590236">
        <w:rPr>
          <w:rFonts w:ascii="Arial" w:hAnsi="Arial" w:cs="Arial"/>
        </w:rPr>
        <w:t>) and changes in penetrative shortwave absorption.</w:t>
      </w:r>
    </w:p>
    <w:p w14:paraId="554CF923" w14:textId="77777777" w:rsidR="001547DA" w:rsidRPr="00590236" w:rsidRDefault="005918EA" w:rsidP="00590236">
      <w:pPr>
        <w:spacing w:line="360" w:lineRule="auto"/>
        <w:jc w:val="both"/>
        <w:rPr>
          <w:rFonts w:ascii="Arial" w:hAnsi="Arial" w:cs="Arial"/>
        </w:rPr>
      </w:pPr>
      <w:r>
        <w:rPr>
          <w:rFonts w:ascii="Arial" w:hAnsi="Arial" w:cs="Arial"/>
          <w:noProof/>
        </w:rPr>
        <w:pict w14:anchorId="526E1CAF">
          <v:rect id="_x0000_i1028" alt="" style="width:451.3pt;height:.05pt;mso-width-percent:0;mso-height-percent:0;mso-width-percent:0;mso-height-percent:0" o:hralign="center" o:hrstd="t" o:hr="t" fillcolor="#a0a0a0" stroked="f"/>
        </w:pict>
      </w:r>
    </w:p>
    <w:p w14:paraId="04FEA217" w14:textId="77777777" w:rsidR="001547DA" w:rsidRPr="00590236" w:rsidRDefault="001547DA" w:rsidP="00590236">
      <w:pPr>
        <w:spacing w:line="360" w:lineRule="auto"/>
        <w:jc w:val="both"/>
        <w:rPr>
          <w:rFonts w:ascii="Arial" w:hAnsi="Arial" w:cs="Arial"/>
          <w:b/>
          <w:bCs/>
        </w:rPr>
      </w:pPr>
      <w:r w:rsidRPr="00590236">
        <w:rPr>
          <w:rFonts w:ascii="Arial" w:hAnsi="Arial" w:cs="Arial"/>
          <w:b/>
          <w:bCs/>
        </w:rPr>
        <w:t>Final first-order decomposition</w:t>
      </w:r>
    </w:p>
    <w:p w14:paraId="379CEED3" w14:textId="77777777" w:rsidR="001547DA" w:rsidRPr="00590236" w:rsidRDefault="001547DA" w:rsidP="00590236">
      <w:pPr>
        <w:spacing w:line="360" w:lineRule="auto"/>
        <w:jc w:val="both"/>
        <w:rPr>
          <w:rFonts w:ascii="Arial" w:hAnsi="Arial" w:cs="Arial"/>
        </w:rPr>
      </w:pPr>
      <w:r w:rsidRPr="00590236">
        <w:rPr>
          <w:rFonts w:ascii="Arial" w:hAnsi="Arial" w:cs="Arial"/>
        </w:rPr>
        <w:t>Combining both contributions,</w:t>
      </w:r>
    </w:p>
    <w:p w14:paraId="1A82DD69" w14:textId="29E51A0A" w:rsidR="001547DA" w:rsidRPr="00590236" w:rsidRDefault="005918EA" w:rsidP="00590236">
      <w:pPr>
        <w:spacing w:line="360" w:lineRule="auto"/>
        <w:jc w:val="both"/>
        <w:rPr>
          <w:rFonts w:ascii="Arial" w:hAnsi="Arial" w:cs="Arial"/>
        </w:rPr>
      </w:pPr>
      <m:oMathPara>
        <m:oMath>
          <m:borderBox>
            <m:borderBoxPr>
              <m:ctrlPr>
                <w:rPr>
                  <w:rFonts w:ascii="Cambria Math" w:hAnsi="Cambria Math" w:cs="Arial"/>
                </w:rPr>
              </m:ctrlPr>
            </m:borderBoxPr>
            <m:e>
              <m:r>
                <w:rPr>
                  <w:rFonts w:ascii="Cambria Math" w:hAnsi="Cambria Math" w:cs="Arial"/>
                </w:rPr>
                <m:t>δ</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Q</m:t>
                          </m:r>
                        </m:e>
                        <m:sub>
                          <m:r>
                            <m:rPr>
                              <m:sty m:val="p"/>
                            </m:rPr>
                            <w:rPr>
                              <w:rFonts w:ascii="Cambria Math" w:hAnsi="Cambria Math" w:cs="Arial"/>
                            </w:rPr>
                            <m:t>net</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d</m:t>
                          </m:r>
                        </m:sub>
                      </m:sSub>
                    </m:num>
                    <m:den>
                      <m:r>
                        <w:rPr>
                          <w:rFonts w:ascii="Cambria Math" w:hAnsi="Cambria Math" w:cs="Arial"/>
                        </w:rPr>
                        <m:t>ρ</m:t>
                      </m:r>
                      <m:sSub>
                        <m:sSubPr>
                          <m:ctrlPr>
                            <w:rPr>
                              <w:rFonts w:ascii="Cambria Math" w:hAnsi="Cambria Math" w:cs="Arial"/>
                            </w:rPr>
                          </m:ctrlPr>
                        </m:sSubPr>
                        <m:e>
                          <m:r>
                            <w:rPr>
                              <w:rFonts w:ascii="Cambria Math" w:hAnsi="Cambria Math" w:cs="Arial"/>
                            </w:rPr>
                            <m:t>c</m:t>
                          </m:r>
                        </m:e>
                        <m:sub>
                          <m:r>
                            <w:rPr>
                              <w:rFonts w:ascii="Cambria Math" w:hAnsi="Cambria Math" w:cs="Arial"/>
                            </w:rPr>
                            <m:t>p</m:t>
                          </m:r>
                        </m:sub>
                      </m:sSub>
                      <m:r>
                        <w:rPr>
                          <w:rFonts w:ascii="Cambria Math" w:hAnsi="Cambria Math" w:cs="Arial"/>
                        </w:rPr>
                        <m:t>H</m:t>
                      </m:r>
                    </m:den>
                  </m:f>
                </m:e>
              </m:d>
              <m:r>
                <w:rPr>
                  <w:rFonts w:ascii="Cambria Math" w:hAnsi="Cambria Math" w:cs="Arial"/>
                </w:rPr>
                <m:t>=</m:t>
              </m:r>
              <m:r>
                <w:rPr>
                  <w:rFonts w:ascii="Cambria Math" w:hAnsi="Cambria Math" w:cs="Arial"/>
                </w:rPr>
                <m:t>δ</m:t>
              </m:r>
              <m:sSub>
                <m:sSubPr>
                  <m:ctrlPr>
                    <w:rPr>
                      <w:rFonts w:ascii="Cambria Math" w:hAnsi="Cambria Math" w:cs="Arial"/>
                    </w:rPr>
                  </m:ctrlPr>
                </m:sSubPr>
                <m:e>
                  <m:r>
                    <w:rPr>
                      <w:rFonts w:ascii="Cambria Math" w:hAnsi="Cambria Math" w:cs="Arial"/>
                    </w:rPr>
                    <m:t>F</m:t>
                  </m:r>
                </m:e>
                <m:sub>
                  <m:r>
                    <m:rPr>
                      <m:sty m:val="p"/>
                    </m:rPr>
                    <w:rPr>
                      <w:rFonts w:ascii="Cambria Math" w:hAnsi="Cambria Math" w:cs="Arial"/>
                    </w:rPr>
                    <m:t>flux</m:t>
                  </m:r>
                </m:sub>
              </m:sSub>
              <m:r>
                <w:rPr>
                  <w:rFonts w:ascii="Cambria Math" w:hAnsi="Cambria Math" w:cs="Arial"/>
                </w:rPr>
                <m:t>+</m:t>
              </m:r>
              <m:r>
                <w:rPr>
                  <w:rFonts w:ascii="Cambria Math" w:hAnsi="Cambria Math" w:cs="Arial"/>
                </w:rPr>
                <m:t>δ</m:t>
              </m:r>
              <m:sSub>
                <m:sSubPr>
                  <m:ctrlPr>
                    <w:rPr>
                      <w:rFonts w:ascii="Cambria Math" w:hAnsi="Cambria Math" w:cs="Arial"/>
                    </w:rPr>
                  </m:ctrlPr>
                </m:sSubPr>
                <m:e>
                  <m:r>
                    <w:rPr>
                      <w:rFonts w:ascii="Cambria Math" w:hAnsi="Cambria Math" w:cs="Arial"/>
                    </w:rPr>
                    <m:t>F</m:t>
                  </m:r>
                </m:e>
                <m:sub>
                  <m:r>
                    <m:rPr>
                      <m:sty m:val="p"/>
                    </m:rPr>
                    <w:rPr>
                      <w:rFonts w:ascii="Cambria Math" w:hAnsi="Cambria Math" w:cs="Arial"/>
                    </w:rPr>
                    <m:t>MLD</m:t>
                  </m:r>
                </m:sub>
              </m:sSub>
            </m:e>
          </m:borderBox>
          <m:r>
            <m:rPr>
              <m:sty m:val="p"/>
            </m:rPr>
            <w:rPr>
              <w:rFonts w:ascii="Cambria Math" w:hAnsi="Cambria Math" w:cs="Arial"/>
            </w:rPr>
            <w:br/>
          </m:r>
        </m:oMath>
      </m:oMathPara>
    </w:p>
    <w:p w14:paraId="5B5A3D52" w14:textId="77777777" w:rsidR="003E2A76" w:rsidRPr="00590236" w:rsidRDefault="003E2A76" w:rsidP="00590236">
      <w:pPr>
        <w:spacing w:line="360" w:lineRule="auto"/>
        <w:jc w:val="both"/>
        <w:rPr>
          <w:rFonts w:ascii="Arial" w:hAnsi="Arial" w:cs="Arial"/>
        </w:rPr>
      </w:pPr>
    </w:p>
    <w:p w14:paraId="2FEF5EB0" w14:textId="77777777" w:rsidR="003E2A76" w:rsidRPr="00590236" w:rsidRDefault="003E2A76" w:rsidP="00590236">
      <w:pPr>
        <w:spacing w:line="360" w:lineRule="auto"/>
        <w:jc w:val="both"/>
        <w:rPr>
          <w:rFonts w:ascii="Arial" w:eastAsia="Times New Roman" w:hAnsi="Arial" w:cs="Arial"/>
          <w:kern w:val="0"/>
          <w:lang w:eastAsia="en-GB"/>
          <w14:ligatures w14:val="none"/>
        </w:rPr>
      </w:pPr>
    </w:p>
    <w:p w14:paraId="0D104EFF" w14:textId="1BDE1F39" w:rsidR="003E2A76" w:rsidRPr="00590236" w:rsidRDefault="003E2A76" w:rsidP="00590236">
      <w:pPr>
        <w:spacing w:line="360" w:lineRule="auto"/>
        <w:jc w:val="both"/>
        <w:rPr>
          <w:rFonts w:ascii="Arial" w:eastAsia="Times New Roman" w:hAnsi="Arial" w:cs="Arial"/>
          <w:kern w:val="0"/>
          <w:lang w:eastAsia="en-GB"/>
          <w14:ligatures w14:val="none"/>
        </w:rPr>
      </w:pPr>
      <m:oMathPara>
        <m:oMath>
          <m:r>
            <m:rPr>
              <m:sty m:val="p"/>
            </m:rPr>
            <w:rPr>
              <w:rFonts w:ascii="Cambria Math" w:eastAsia="Times New Roman" w:hAnsi="Cambria Math" w:cs="Arial"/>
              <w:kern w:val="0"/>
              <w:sz w:val="13"/>
              <w:szCs w:val="13"/>
              <w:lang w:eastAsia="en-GB"/>
              <w14:ligatures w14:val="none"/>
            </w:rPr>
            <m:t>δ</m:t>
          </m:r>
          <m:limLow>
            <m:limLowPr>
              <m:ctrlPr>
                <w:rPr>
                  <w:rFonts w:ascii="Cambria Math" w:eastAsia="Times New Roman" w:hAnsi="Cambria Math" w:cs="Arial"/>
                  <w:i/>
                  <w:kern w:val="0"/>
                  <w:sz w:val="13"/>
                  <w:szCs w:val="13"/>
                  <w:lang w:eastAsia="en-GB"/>
                  <w14:ligatures w14:val="none"/>
                </w:rPr>
              </m:ctrlPr>
            </m:limLowPr>
            <m:e>
              <m:groupChr>
                <m:groupChrPr>
                  <m:ctrlPr>
                    <w:rPr>
                      <w:rFonts w:ascii="Cambria Math" w:eastAsia="Times New Roman" w:hAnsi="Cambria Math" w:cs="Arial"/>
                      <w:kern w:val="0"/>
                      <w:sz w:val="13"/>
                      <w:szCs w:val="13"/>
                      <w:lang w:eastAsia="en-GB"/>
                      <w14:ligatures w14:val="none"/>
                    </w:rPr>
                  </m:ctrlPr>
                </m:groupChrPr>
                <m:e>
                  <m:d>
                    <m:dPr>
                      <m:ctrlPr>
                        <w:rPr>
                          <w:rFonts w:ascii="Cambria Math" w:eastAsia="Times New Roman" w:hAnsi="Cambria Math" w:cs="Arial"/>
                          <w:kern w:val="0"/>
                          <w:sz w:val="13"/>
                          <w:szCs w:val="13"/>
                          <w:lang w:eastAsia="en-GB"/>
                          <w14:ligatures w14:val="none"/>
                        </w:rPr>
                      </m:ctrlPr>
                    </m:dPr>
                    <m:e>
                      <m:f>
                        <m:fPr>
                          <m:ctrlPr>
                            <w:rPr>
                              <w:rFonts w:ascii="Cambria Math" w:eastAsia="Times New Roman" w:hAnsi="Cambria Math" w:cs="Arial"/>
                              <w:kern w:val="0"/>
                              <w:sz w:val="13"/>
                              <w:szCs w:val="13"/>
                              <w:lang w:eastAsia="en-GB"/>
                              <w14:ligatures w14:val="none"/>
                            </w:rPr>
                          </m:ctrlPr>
                        </m:fPr>
                        <m:num>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net</m:t>
                              </m:r>
                            </m:sub>
                          </m:sSub>
                          <m:r>
                            <w:rPr>
                              <w:rFonts w:ascii="Cambria Math" w:eastAsia="Times New Roman" w:hAnsi="Cambria Math" w:cs="Arial"/>
                              <w:kern w:val="0"/>
                              <w:sz w:val="13"/>
                              <w:szCs w:val="13"/>
                              <w:lang w:eastAsia="en-GB"/>
                              <w14:ligatures w14:val="none"/>
                            </w:rPr>
                            <m:t>-</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d</m:t>
                              </m:r>
                            </m:sub>
                          </m:sSub>
                          <m:ctrlPr>
                            <w:rPr>
                              <w:rFonts w:ascii="Cambria Math" w:eastAsia="Times New Roman" w:hAnsi="Cambria Math" w:cs="Arial"/>
                              <w:i/>
                              <w:kern w:val="0"/>
                              <w:sz w:val="13"/>
                              <w:szCs w:val="13"/>
                              <w:lang w:eastAsia="en-GB"/>
                              <w14:ligatures w14:val="none"/>
                            </w:rPr>
                          </m:ctrlPr>
                        </m:num>
                        <m:den>
                          <m:r>
                            <m:rPr>
                              <m:sty m:val="p"/>
                            </m:rPr>
                            <w:rPr>
                              <w:rFonts w:ascii="Cambria Math" w:eastAsia="Times New Roman" w:hAnsi="Cambria Math" w:cs="Arial"/>
                              <w:kern w:val="0"/>
                              <w:sz w:val="13"/>
                              <w:szCs w:val="13"/>
                              <w:lang w:eastAsia="en-GB"/>
                              <w14:ligatures w14:val="none"/>
                            </w:rPr>
                            <m:t>ρ</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c</m:t>
                              </m:r>
                            </m:e>
                            <m:sub>
                              <m:r>
                                <w:rPr>
                                  <w:rFonts w:ascii="Cambria Math" w:eastAsia="Times New Roman" w:hAnsi="Cambria Math" w:cs="Arial"/>
                                  <w:kern w:val="0"/>
                                  <w:sz w:val="13"/>
                                  <w:szCs w:val="13"/>
                                  <w:lang w:eastAsia="en-GB"/>
                                  <w14:ligatures w14:val="none"/>
                                </w:rPr>
                                <m:t>p</m:t>
                              </m:r>
                            </m:sub>
                          </m:sSub>
                          <m:r>
                            <w:rPr>
                              <w:rFonts w:ascii="Cambria Math" w:eastAsia="Times New Roman" w:hAnsi="Cambria Math" w:cs="Arial"/>
                              <w:kern w:val="0"/>
                              <w:sz w:val="13"/>
                              <w:szCs w:val="13"/>
                              <w:lang w:eastAsia="en-GB"/>
                              <w14:ligatures w14:val="none"/>
                            </w:rPr>
                            <m:t>H</m:t>
                          </m:r>
                          <m:ctrlPr>
                            <w:rPr>
                              <w:rFonts w:ascii="Cambria Math" w:eastAsia="Times New Roman" w:hAnsi="Cambria Math" w:cs="Arial"/>
                              <w:i/>
                              <w:kern w:val="0"/>
                              <w:sz w:val="13"/>
                              <w:szCs w:val="13"/>
                              <w:lang w:eastAsia="en-GB"/>
                              <w14:ligatures w14:val="none"/>
                            </w:rPr>
                          </m:ctrlPr>
                        </m:den>
                      </m:f>
                      <m:ctrlPr>
                        <w:rPr>
                          <w:rFonts w:ascii="Cambria Math" w:eastAsia="Times New Roman" w:hAnsi="Cambria Math" w:cs="Arial"/>
                          <w:i/>
                          <w:kern w:val="0"/>
                          <w:sz w:val="13"/>
                          <w:szCs w:val="13"/>
                          <w:lang w:eastAsia="en-GB"/>
                          <w14:ligatures w14:val="none"/>
                        </w:rPr>
                      </m:ctrlPr>
                    </m:e>
                  </m:d>
                </m:e>
              </m:groupChr>
            </m:e>
            <m:lim>
              <m:r>
                <w:rPr>
                  <w:rFonts w:ascii="Cambria Math" w:eastAsia="Times New Roman" w:hAnsi="Cambria Math" w:cs="Arial"/>
                  <w:kern w:val="0"/>
                  <w:sz w:val="13"/>
                  <w:szCs w:val="13"/>
                  <w:lang w:eastAsia="en-GB"/>
                  <w14:ligatures w14:val="none"/>
                </w:rPr>
                <m:t>Flux term</m:t>
              </m:r>
            </m:lim>
          </m:limLow>
          <m:r>
            <w:rPr>
              <w:rFonts w:ascii="Cambria Math" w:eastAsia="Times New Roman" w:hAnsi="Cambria Math" w:cs="Arial"/>
              <w:kern w:val="0"/>
              <w:sz w:val="13"/>
              <w:szCs w:val="13"/>
              <w:lang w:eastAsia="en-GB"/>
              <w14:ligatures w14:val="none"/>
            </w:rPr>
            <m:t>=</m:t>
          </m:r>
          <m:limLow>
            <m:limLowPr>
              <m:ctrlPr>
                <w:rPr>
                  <w:rFonts w:ascii="Cambria Math" w:eastAsia="Times New Roman" w:hAnsi="Cambria Math" w:cs="Arial"/>
                  <w:i/>
                  <w:kern w:val="0"/>
                  <w:sz w:val="13"/>
                  <w:szCs w:val="13"/>
                  <w:lang w:eastAsia="en-GB"/>
                  <w14:ligatures w14:val="none"/>
                </w:rPr>
              </m:ctrlPr>
            </m:limLowPr>
            <m:e>
              <m:groupChr>
                <m:groupChrPr>
                  <m:ctrlPr>
                    <w:rPr>
                      <w:rFonts w:ascii="Cambria Math" w:eastAsia="Times New Roman" w:hAnsi="Cambria Math" w:cs="Arial"/>
                      <w:kern w:val="0"/>
                      <w:sz w:val="13"/>
                      <w:szCs w:val="13"/>
                      <w:lang w:eastAsia="en-GB"/>
                      <w14:ligatures w14:val="none"/>
                    </w:rPr>
                  </m:ctrlPr>
                </m:groupChrPr>
                <m:e>
                  <m:f>
                    <m:fPr>
                      <m:ctrlPr>
                        <w:rPr>
                          <w:rFonts w:ascii="Cambria Math" w:eastAsia="Times New Roman" w:hAnsi="Cambria Math" w:cs="Arial"/>
                          <w:kern w:val="0"/>
                          <w:sz w:val="13"/>
                          <w:szCs w:val="13"/>
                          <w:lang w:eastAsia="en-GB"/>
                          <w14:ligatures w14:val="none"/>
                        </w:rPr>
                      </m:ctrlPr>
                    </m:fPr>
                    <m:num>
                      <m:r>
                        <m:rPr>
                          <m:sty m:val="p"/>
                        </m:rPr>
                        <w:rPr>
                          <w:rFonts w:ascii="Cambria Math" w:eastAsia="Times New Roman" w:hAnsi="Cambria Math" w:cs="Arial"/>
                          <w:kern w:val="0"/>
                          <w:sz w:val="13"/>
                          <w:szCs w:val="13"/>
                          <w:lang w:eastAsia="en-GB"/>
                          <w14:ligatures w14:val="none"/>
                        </w:rPr>
                        <m:t>δ</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SW</m:t>
                          </m:r>
                        </m:sub>
                      </m:sSub>
                      <m:d>
                        <m:dPr>
                          <m:begChr m:val="["/>
                          <m:endChr m:val="]"/>
                          <m:ctrlPr>
                            <w:rPr>
                              <w:rFonts w:ascii="Cambria Math" w:eastAsia="Times New Roman" w:hAnsi="Cambria Math" w:cs="Arial"/>
                              <w:kern w:val="0"/>
                              <w:sz w:val="13"/>
                              <w:szCs w:val="13"/>
                              <w:lang w:eastAsia="en-GB"/>
                              <w14:ligatures w14:val="none"/>
                            </w:rPr>
                          </m:ctrlPr>
                        </m:dPr>
                        <m:e>
                          <m:r>
                            <w:rPr>
                              <w:rFonts w:ascii="Cambria Math" w:eastAsia="Times New Roman" w:hAnsi="Cambria Math" w:cs="Arial"/>
                              <w:kern w:val="0"/>
                              <w:sz w:val="13"/>
                              <w:szCs w:val="13"/>
                              <w:lang w:eastAsia="en-GB"/>
                              <w14:ligatures w14:val="none"/>
                            </w:rPr>
                            <m:t>1-R</m:t>
                          </m:r>
                          <m:sSup>
                            <m:sSupPr>
                              <m:ctrlPr>
                                <w:rPr>
                                  <w:rFonts w:ascii="Cambria Math" w:eastAsia="Times New Roman" w:hAnsi="Cambria Math" w:cs="Arial"/>
                                  <w:i/>
                                  <w:kern w:val="0"/>
                                  <w:sz w:val="13"/>
                                  <w:szCs w:val="13"/>
                                  <w:lang w:eastAsia="en-GB"/>
                                  <w14:ligatures w14:val="none"/>
                                </w:rPr>
                              </m:ctrlPr>
                            </m:sSupPr>
                            <m:e>
                              <m:r>
                                <w:rPr>
                                  <w:rFonts w:ascii="Cambria Math" w:eastAsia="Times New Roman" w:hAnsi="Cambria Math" w:cs="Arial"/>
                                  <w:kern w:val="0"/>
                                  <w:sz w:val="13"/>
                                  <w:szCs w:val="13"/>
                                  <w:lang w:eastAsia="en-GB"/>
                                  <w14:ligatures w14:val="none"/>
                                </w:rPr>
                                <m:t>e</m:t>
                              </m:r>
                            </m:e>
                            <m:sup>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m:t>
                                  </m:r>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m:rPr>
                                          <m:sty m:val="p"/>
                                        </m:rP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1</m:t>
                                      </m:r>
                                    </m:sub>
                                  </m:sSub>
                                  <m:ctrlPr>
                                    <w:rPr>
                                      <w:rFonts w:ascii="Cambria Math" w:eastAsia="Times New Roman" w:hAnsi="Cambria Math" w:cs="Arial"/>
                                      <w:i/>
                                      <w:kern w:val="0"/>
                                      <w:sz w:val="13"/>
                                      <w:szCs w:val="13"/>
                                      <w:lang w:eastAsia="en-GB"/>
                                      <w14:ligatures w14:val="none"/>
                                    </w:rPr>
                                  </m:ctrlPr>
                                </m:den>
                              </m:f>
                            </m:sup>
                          </m:sSup>
                          <m:r>
                            <w:rPr>
                              <w:rFonts w:ascii="Cambria Math" w:eastAsia="Times New Roman" w:hAnsi="Cambria Math" w:cs="Arial"/>
                              <w:kern w:val="0"/>
                              <w:sz w:val="13"/>
                              <w:szCs w:val="13"/>
                              <w:lang w:eastAsia="en-GB"/>
                              <w14:ligatures w14:val="none"/>
                            </w:rPr>
                            <m:t>-</m:t>
                          </m:r>
                          <m:d>
                            <m:dPr>
                              <m:ctrlPr>
                                <w:rPr>
                                  <w:rFonts w:ascii="Cambria Math" w:eastAsia="Times New Roman" w:hAnsi="Cambria Math" w:cs="Arial"/>
                                  <w:i/>
                                  <w:kern w:val="0"/>
                                  <w:sz w:val="13"/>
                                  <w:szCs w:val="13"/>
                                  <w:lang w:eastAsia="en-GB"/>
                                  <w14:ligatures w14:val="none"/>
                                </w:rPr>
                              </m:ctrlPr>
                            </m:dPr>
                            <m:e>
                              <m:r>
                                <w:rPr>
                                  <w:rFonts w:ascii="Cambria Math" w:eastAsia="Times New Roman" w:hAnsi="Cambria Math" w:cs="Arial"/>
                                  <w:kern w:val="0"/>
                                  <w:sz w:val="13"/>
                                  <w:szCs w:val="13"/>
                                  <w:lang w:eastAsia="en-GB"/>
                                  <w14:ligatures w14:val="none"/>
                                </w:rPr>
                                <m:t>1-R</m:t>
                              </m:r>
                            </m:e>
                          </m:d>
                          <m:sSup>
                            <m:sSupPr>
                              <m:ctrlPr>
                                <w:rPr>
                                  <w:rFonts w:ascii="Cambria Math" w:eastAsia="Times New Roman" w:hAnsi="Cambria Math" w:cs="Arial"/>
                                  <w:i/>
                                  <w:kern w:val="0"/>
                                  <w:sz w:val="13"/>
                                  <w:szCs w:val="13"/>
                                  <w:lang w:eastAsia="en-GB"/>
                                  <w14:ligatures w14:val="none"/>
                                </w:rPr>
                              </m:ctrlPr>
                            </m:sSupPr>
                            <m:e>
                              <m:r>
                                <w:rPr>
                                  <w:rFonts w:ascii="Cambria Math" w:eastAsia="Times New Roman" w:hAnsi="Cambria Math" w:cs="Arial"/>
                                  <w:kern w:val="0"/>
                                  <w:sz w:val="13"/>
                                  <w:szCs w:val="13"/>
                                  <w:lang w:eastAsia="en-GB"/>
                                  <w14:ligatures w14:val="none"/>
                                </w:rPr>
                                <m:t>e</m:t>
                              </m:r>
                            </m:e>
                            <m:sup>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m:t>
                                  </m:r>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m:rPr>
                                          <m:sty m:val="p"/>
                                        </m:rP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2</m:t>
                                      </m:r>
                                    </m:sub>
                                  </m:sSub>
                                  <m:ctrlPr>
                                    <w:rPr>
                                      <w:rFonts w:ascii="Cambria Math" w:eastAsia="Times New Roman" w:hAnsi="Cambria Math" w:cs="Arial"/>
                                      <w:i/>
                                      <w:kern w:val="0"/>
                                      <w:sz w:val="13"/>
                                      <w:szCs w:val="13"/>
                                      <w:lang w:eastAsia="en-GB"/>
                                      <w14:ligatures w14:val="none"/>
                                    </w:rPr>
                                  </m:ctrlPr>
                                </m:den>
                              </m:f>
                            </m:sup>
                          </m:sSup>
                          <m:ctrlPr>
                            <w:rPr>
                              <w:rFonts w:ascii="Cambria Math" w:eastAsia="Times New Roman" w:hAnsi="Cambria Math" w:cs="Arial"/>
                              <w:i/>
                              <w:kern w:val="0"/>
                              <w:sz w:val="13"/>
                              <w:szCs w:val="13"/>
                              <w:lang w:eastAsia="en-GB"/>
                              <w14:ligatures w14:val="none"/>
                            </w:rPr>
                          </m:ctrlPr>
                        </m:e>
                      </m:d>
                      <m:r>
                        <w:rPr>
                          <w:rFonts w:ascii="Cambria Math" w:eastAsia="Times New Roman" w:hAnsi="Cambria Math" w:cs="Arial"/>
                          <w:kern w:val="0"/>
                          <w:sz w:val="13"/>
                          <w:szCs w:val="13"/>
                          <w:lang w:eastAsia="en-GB"/>
                          <w14:ligatures w14:val="none"/>
                        </w:rPr>
                        <m:t>+</m:t>
                      </m:r>
                      <m:r>
                        <m:rPr>
                          <m:sty m:val="p"/>
                        </m:rPr>
                        <w:rPr>
                          <w:rFonts w:ascii="Cambria Math" w:eastAsia="Times New Roman" w:hAnsi="Cambria Math" w:cs="Arial"/>
                          <w:kern w:val="0"/>
                          <w:sz w:val="13"/>
                          <w:szCs w:val="13"/>
                          <w:lang w:eastAsia="en-GB"/>
                          <w14:ligatures w14:val="none"/>
                        </w:rPr>
                        <m:t>δ</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LW</m:t>
                          </m:r>
                        </m:sub>
                      </m:sSub>
                      <m:r>
                        <w:rPr>
                          <w:rFonts w:ascii="Cambria Math" w:eastAsia="Times New Roman" w:hAnsi="Cambria Math" w:cs="Arial"/>
                          <w:kern w:val="0"/>
                          <w:sz w:val="13"/>
                          <w:szCs w:val="13"/>
                          <w:lang w:eastAsia="en-GB"/>
                          <w14:ligatures w14:val="none"/>
                        </w:rPr>
                        <m:t>+</m:t>
                      </m:r>
                      <m:r>
                        <m:rPr>
                          <m:sty m:val="p"/>
                        </m:rPr>
                        <w:rPr>
                          <w:rFonts w:ascii="Cambria Math" w:eastAsia="Times New Roman" w:hAnsi="Cambria Math" w:cs="Arial"/>
                          <w:kern w:val="0"/>
                          <w:sz w:val="13"/>
                          <w:szCs w:val="13"/>
                          <w:lang w:eastAsia="en-GB"/>
                          <w14:ligatures w14:val="none"/>
                        </w:rPr>
                        <m:t>δ</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LHF</m:t>
                          </m:r>
                        </m:sub>
                      </m:sSub>
                      <m:r>
                        <w:rPr>
                          <w:rFonts w:ascii="Cambria Math" w:eastAsia="Times New Roman" w:hAnsi="Cambria Math" w:cs="Arial"/>
                          <w:kern w:val="0"/>
                          <w:sz w:val="13"/>
                          <w:szCs w:val="13"/>
                          <w:lang w:eastAsia="en-GB"/>
                          <w14:ligatures w14:val="none"/>
                        </w:rPr>
                        <m:t>+</m:t>
                      </m:r>
                      <m:r>
                        <m:rPr>
                          <m:sty m:val="p"/>
                        </m:rPr>
                        <w:rPr>
                          <w:rFonts w:ascii="Cambria Math" w:eastAsia="Times New Roman" w:hAnsi="Cambria Math" w:cs="Arial"/>
                          <w:kern w:val="0"/>
                          <w:sz w:val="13"/>
                          <w:szCs w:val="13"/>
                          <w:lang w:eastAsia="en-GB"/>
                          <w14:ligatures w14:val="none"/>
                        </w:rPr>
                        <m:t>δ</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SHF</m:t>
                          </m:r>
                        </m:sub>
                      </m:sSub>
                      <m:ctrlPr>
                        <w:rPr>
                          <w:rFonts w:ascii="Cambria Math" w:eastAsia="Times New Roman" w:hAnsi="Cambria Math" w:cs="Arial"/>
                          <w:i/>
                          <w:kern w:val="0"/>
                          <w:sz w:val="13"/>
                          <w:szCs w:val="13"/>
                          <w:lang w:eastAsia="en-GB"/>
                          <w14:ligatures w14:val="none"/>
                        </w:rPr>
                      </m:ctrlPr>
                    </m:num>
                    <m:den>
                      <m:r>
                        <m:rPr>
                          <m:sty m:val="p"/>
                        </m:rPr>
                        <w:rPr>
                          <w:rFonts w:ascii="Cambria Math" w:eastAsia="Times New Roman" w:hAnsi="Cambria Math" w:cs="Arial"/>
                          <w:kern w:val="0"/>
                          <w:sz w:val="13"/>
                          <w:szCs w:val="13"/>
                          <w:lang w:eastAsia="en-GB"/>
                          <w14:ligatures w14:val="none"/>
                        </w:rPr>
                        <m:t>ρ</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c</m:t>
                          </m:r>
                        </m:e>
                        <m:sub>
                          <m:r>
                            <w:rPr>
                              <w:rFonts w:ascii="Cambria Math" w:eastAsia="Times New Roman" w:hAnsi="Cambria Math" w:cs="Arial"/>
                              <w:kern w:val="0"/>
                              <w:sz w:val="13"/>
                              <w:szCs w:val="13"/>
                              <w:lang w:eastAsia="en-GB"/>
                              <w14:ligatures w14:val="none"/>
                            </w:rPr>
                            <m:t>p</m:t>
                          </m:r>
                        </m:sub>
                      </m:sSub>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den>
                  </m:f>
                  <m:r>
                    <w:rPr>
                      <w:rFonts w:ascii="Cambria Math" w:eastAsia="Times New Roman" w:hAnsi="Cambria Math" w:cs="Arial"/>
                      <w:kern w:val="0"/>
                      <w:sz w:val="13"/>
                      <w:szCs w:val="13"/>
                      <w:lang w:eastAsia="en-GB"/>
                      <w14:ligatures w14:val="none"/>
                    </w:rPr>
                    <m:t xml:space="preserve"> </m:t>
                  </m:r>
                </m:e>
              </m:groupChr>
            </m:e>
            <m:lim>
              <m:r>
                <w:rPr>
                  <w:rFonts w:ascii="Cambria Math" w:eastAsia="Times New Roman" w:hAnsi="Cambria Math" w:cs="Arial"/>
                  <w:kern w:val="0"/>
                  <w:sz w:val="13"/>
                  <w:szCs w:val="13"/>
                  <w:lang w:eastAsia="en-GB"/>
                  <w14:ligatures w14:val="none"/>
                </w:rPr>
                <m:t>Due to flux anomaly</m:t>
              </m:r>
            </m:lim>
          </m:limLow>
          <m:r>
            <w:rPr>
              <w:rFonts w:ascii="Cambria Math" w:eastAsia="Times New Roman" w:hAnsi="Cambria Math" w:cs="Arial"/>
              <w:kern w:val="0"/>
              <w:sz w:val="13"/>
              <w:szCs w:val="13"/>
              <w:lang w:eastAsia="en-GB"/>
              <w14:ligatures w14:val="none"/>
            </w:rPr>
            <m:t>-</m:t>
          </m:r>
          <m:limLow>
            <m:limLowPr>
              <m:ctrlPr>
                <w:rPr>
                  <w:rFonts w:ascii="Cambria Math" w:eastAsia="Times New Roman" w:hAnsi="Cambria Math" w:cs="Arial"/>
                  <w:i/>
                  <w:kern w:val="0"/>
                  <w:sz w:val="13"/>
                  <w:szCs w:val="13"/>
                  <w:lang w:eastAsia="en-GB"/>
                  <w14:ligatures w14:val="none"/>
                </w:rPr>
              </m:ctrlPr>
            </m:limLowPr>
            <m:e>
              <m:groupChr>
                <m:groupChrPr>
                  <m:ctrlPr>
                    <w:rPr>
                      <w:rFonts w:ascii="Cambria Math" w:eastAsia="Times New Roman" w:hAnsi="Cambria Math" w:cs="Arial"/>
                      <w:kern w:val="0"/>
                      <w:sz w:val="13"/>
                      <w:szCs w:val="13"/>
                      <w:lang w:eastAsia="en-GB"/>
                      <w14:ligatures w14:val="none"/>
                    </w:rPr>
                  </m:ctrlPr>
                </m:groupChrPr>
                <m:e>
                  <m:f>
                    <m:fPr>
                      <m:ctrlPr>
                        <w:rPr>
                          <w:rFonts w:ascii="Cambria Math" w:eastAsia="Times New Roman" w:hAnsi="Cambria Math" w:cs="Arial"/>
                          <w:kern w:val="0"/>
                          <w:sz w:val="13"/>
                          <w:szCs w:val="13"/>
                          <w:lang w:eastAsia="en-GB"/>
                          <w14:ligatures w14:val="none"/>
                        </w:rPr>
                      </m:ctrlPr>
                    </m:fPr>
                    <m:num>
                      <m:r>
                        <m:rPr>
                          <m:sty m:val="p"/>
                        </m:rPr>
                        <w:rPr>
                          <w:rFonts w:ascii="Cambria Math" w:eastAsia="Times New Roman" w:hAnsi="Cambria Math" w:cs="Arial"/>
                          <w:kern w:val="0"/>
                          <w:sz w:val="13"/>
                          <w:szCs w:val="13"/>
                          <w:lang w:eastAsia="en-GB"/>
                          <w14:ligatures w14:val="none"/>
                        </w:rPr>
                        <m:t>δ</m:t>
                      </m:r>
                      <m:r>
                        <w:rPr>
                          <w:rFonts w:ascii="Cambria Math" w:eastAsia="Times New Roman" w:hAnsi="Cambria Math" w:cs="Arial"/>
                          <w:kern w:val="0"/>
                          <w:sz w:val="13"/>
                          <w:szCs w:val="13"/>
                          <w:lang w:eastAsia="en-GB"/>
                          <w14:ligatures w14:val="none"/>
                        </w:rPr>
                        <m:t>H</m:t>
                      </m:r>
                      <m:bar>
                        <m:barPr>
                          <m:pos m:val="top"/>
                          <m:ctrlPr>
                            <w:rPr>
                              <w:rFonts w:ascii="Cambria Math" w:eastAsia="Times New Roman" w:hAnsi="Cambria Math" w:cs="Arial"/>
                              <w:kern w:val="0"/>
                              <w:sz w:val="13"/>
                              <w:szCs w:val="13"/>
                              <w:lang w:eastAsia="en-GB"/>
                              <w14:ligatures w14:val="none"/>
                            </w:rPr>
                          </m:ctrlPr>
                        </m:barPr>
                        <m:e>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net</m:t>
                              </m:r>
                            </m:sub>
                          </m:sSub>
                        </m:e>
                      </m:bar>
                      <m:r>
                        <w:rPr>
                          <w:rFonts w:ascii="Cambria Math" w:eastAsia="Times New Roman" w:hAnsi="Cambria Math" w:cs="Arial"/>
                          <w:kern w:val="0"/>
                          <w:sz w:val="13"/>
                          <w:szCs w:val="13"/>
                          <w:lang w:eastAsia="en-GB"/>
                          <w14:ligatures w14:val="none"/>
                        </w:rPr>
                        <m:t xml:space="preserve"> </m:t>
                      </m:r>
                      <m:ctrlPr>
                        <w:rPr>
                          <w:rFonts w:ascii="Cambria Math" w:eastAsia="Times New Roman" w:hAnsi="Cambria Math" w:cs="Arial"/>
                          <w:i/>
                          <w:kern w:val="0"/>
                          <w:sz w:val="13"/>
                          <w:szCs w:val="13"/>
                          <w:lang w:eastAsia="en-GB"/>
                          <w14:ligatures w14:val="none"/>
                        </w:rPr>
                      </m:ctrlPr>
                    </m:num>
                    <m:den>
                      <m:r>
                        <m:rPr>
                          <m:sty m:val="p"/>
                        </m:rPr>
                        <w:rPr>
                          <w:rFonts w:ascii="Cambria Math" w:eastAsia="Times New Roman" w:hAnsi="Cambria Math" w:cs="Arial"/>
                          <w:kern w:val="0"/>
                          <w:sz w:val="13"/>
                          <w:szCs w:val="13"/>
                          <w:lang w:eastAsia="en-GB"/>
                          <w14:ligatures w14:val="none"/>
                        </w:rPr>
                        <m:t>ρ</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c</m:t>
                          </m:r>
                        </m:e>
                        <m:sub>
                          <m:r>
                            <w:rPr>
                              <w:rFonts w:ascii="Cambria Math" w:eastAsia="Times New Roman" w:hAnsi="Cambria Math" w:cs="Arial"/>
                              <w:kern w:val="0"/>
                              <w:sz w:val="13"/>
                              <w:szCs w:val="13"/>
                              <w:lang w:eastAsia="en-GB"/>
                              <w14:ligatures w14:val="none"/>
                            </w:rPr>
                            <m:t>p</m:t>
                          </m:r>
                        </m:sub>
                      </m:sSub>
                      <m:sSup>
                        <m:sSupPr>
                          <m:ctrlPr>
                            <w:rPr>
                              <w:rFonts w:ascii="Cambria Math" w:eastAsia="Times New Roman" w:hAnsi="Cambria Math" w:cs="Arial"/>
                              <w:i/>
                              <w:kern w:val="0"/>
                              <w:sz w:val="13"/>
                              <w:szCs w:val="13"/>
                              <w:lang w:eastAsia="en-GB"/>
                              <w14:ligatures w14:val="none"/>
                            </w:rPr>
                          </m:ctrlPr>
                        </m:sSupPr>
                        <m:e>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e>
                        <m:sup>
                          <m:r>
                            <w:rPr>
                              <w:rFonts w:ascii="Cambria Math" w:eastAsia="Times New Roman" w:hAnsi="Cambria Math" w:cs="Arial"/>
                              <w:kern w:val="0"/>
                              <w:sz w:val="13"/>
                              <w:szCs w:val="13"/>
                              <w:lang w:eastAsia="en-GB"/>
                              <w14:ligatures w14:val="none"/>
                            </w:rPr>
                            <m:t>2</m:t>
                          </m:r>
                        </m:sup>
                      </m:sSup>
                      <m:ctrlPr>
                        <w:rPr>
                          <w:rFonts w:ascii="Cambria Math" w:eastAsia="Times New Roman" w:hAnsi="Cambria Math" w:cs="Arial"/>
                          <w:i/>
                          <w:kern w:val="0"/>
                          <w:sz w:val="13"/>
                          <w:szCs w:val="13"/>
                          <w:lang w:eastAsia="en-GB"/>
                          <w14:ligatures w14:val="none"/>
                        </w:rPr>
                      </m:ctrlPr>
                    </m:den>
                  </m:f>
                  <m:r>
                    <w:rPr>
                      <w:rFonts w:ascii="Cambria Math" w:eastAsia="Times New Roman" w:hAnsi="Cambria Math" w:cs="Arial"/>
                      <w:kern w:val="0"/>
                      <w:sz w:val="13"/>
                      <w:szCs w:val="13"/>
                      <w:lang w:eastAsia="en-GB"/>
                      <w14:ligatures w14:val="none"/>
                    </w:rPr>
                    <m:t>+</m:t>
                  </m:r>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δH</m:t>
                      </m:r>
                      <m:bar>
                        <m:barPr>
                          <m:pos m:val="top"/>
                          <m:ctrlPr>
                            <w:rPr>
                              <w:rFonts w:ascii="Cambria Math" w:eastAsia="Times New Roman" w:hAnsi="Cambria Math" w:cs="Arial"/>
                              <w:kern w:val="0"/>
                              <w:sz w:val="13"/>
                              <w:szCs w:val="13"/>
                              <w:lang w:eastAsia="en-GB"/>
                              <w14:ligatures w14:val="none"/>
                            </w:rPr>
                          </m:ctrlPr>
                        </m:barPr>
                        <m:e>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SW</m:t>
                              </m:r>
                            </m:sub>
                          </m:sSub>
                        </m:e>
                      </m:bar>
                      <m:d>
                        <m:dPr>
                          <m:begChr m:val="["/>
                          <m:endChr m:val="]"/>
                          <m:ctrlPr>
                            <w:rPr>
                              <w:rFonts w:ascii="Cambria Math" w:eastAsia="Times New Roman" w:hAnsi="Cambria Math" w:cs="Arial"/>
                              <w:kern w:val="0"/>
                              <w:sz w:val="13"/>
                              <w:szCs w:val="13"/>
                              <w:lang w:eastAsia="en-GB"/>
                              <w14:ligatures w14:val="none"/>
                            </w:rPr>
                          </m:ctrlPr>
                        </m:dPr>
                        <m:e>
                          <m:r>
                            <w:rPr>
                              <w:rFonts w:ascii="Cambria Math" w:eastAsia="Times New Roman" w:hAnsi="Cambria Math" w:cs="Arial"/>
                              <w:kern w:val="0"/>
                              <w:sz w:val="13"/>
                              <w:szCs w:val="13"/>
                              <w:lang w:eastAsia="en-GB"/>
                              <w14:ligatures w14:val="none"/>
                            </w:rPr>
                            <m:t xml:space="preserve">R </m:t>
                          </m:r>
                          <m:sSup>
                            <m:sSupPr>
                              <m:ctrlPr>
                                <w:rPr>
                                  <w:rFonts w:ascii="Cambria Math" w:eastAsia="Times New Roman" w:hAnsi="Cambria Math" w:cs="Arial"/>
                                  <w:i/>
                                  <w:kern w:val="0"/>
                                  <w:sz w:val="13"/>
                                  <w:szCs w:val="13"/>
                                  <w:lang w:eastAsia="en-GB"/>
                                  <w14:ligatures w14:val="none"/>
                                </w:rPr>
                              </m:ctrlPr>
                            </m:sSupPr>
                            <m:e>
                              <m:r>
                                <w:rPr>
                                  <w:rFonts w:ascii="Cambria Math" w:eastAsia="Times New Roman" w:hAnsi="Cambria Math" w:cs="Arial"/>
                                  <w:kern w:val="0"/>
                                  <w:sz w:val="13"/>
                                  <w:szCs w:val="13"/>
                                  <w:lang w:eastAsia="en-GB"/>
                                  <w14:ligatures w14:val="none"/>
                                </w:rPr>
                                <m:t>e</m:t>
                              </m:r>
                            </m:e>
                            <m:sup>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m:t>
                                  </m:r>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1</m:t>
                                      </m:r>
                                    </m:sub>
                                  </m:sSub>
                                  <m:ctrlPr>
                                    <w:rPr>
                                      <w:rFonts w:ascii="Cambria Math" w:eastAsia="Times New Roman" w:hAnsi="Cambria Math" w:cs="Arial"/>
                                      <w:i/>
                                      <w:kern w:val="0"/>
                                      <w:sz w:val="13"/>
                                      <w:szCs w:val="13"/>
                                      <w:lang w:eastAsia="en-GB"/>
                                      <w14:ligatures w14:val="none"/>
                                    </w:rPr>
                                  </m:ctrlPr>
                                </m:den>
                              </m:f>
                            </m:sup>
                          </m:sSup>
                          <m:r>
                            <w:rPr>
                              <w:rFonts w:ascii="Cambria Math" w:eastAsia="Times New Roman" w:hAnsi="Cambria Math" w:cs="Arial"/>
                              <w:kern w:val="0"/>
                              <w:sz w:val="13"/>
                              <w:szCs w:val="13"/>
                              <w:lang w:eastAsia="en-GB"/>
                              <w14:ligatures w14:val="none"/>
                            </w:rPr>
                            <m:t>+</m:t>
                          </m:r>
                          <m:d>
                            <m:dPr>
                              <m:ctrlPr>
                                <w:rPr>
                                  <w:rFonts w:ascii="Cambria Math" w:eastAsia="Times New Roman" w:hAnsi="Cambria Math" w:cs="Arial"/>
                                  <w:i/>
                                  <w:kern w:val="0"/>
                                  <w:sz w:val="13"/>
                                  <w:szCs w:val="13"/>
                                  <w:lang w:eastAsia="en-GB"/>
                                  <w14:ligatures w14:val="none"/>
                                </w:rPr>
                              </m:ctrlPr>
                            </m:dPr>
                            <m:e>
                              <m:r>
                                <w:rPr>
                                  <w:rFonts w:ascii="Cambria Math" w:eastAsia="Times New Roman" w:hAnsi="Cambria Math" w:cs="Arial"/>
                                  <w:kern w:val="0"/>
                                  <w:sz w:val="13"/>
                                  <w:szCs w:val="13"/>
                                  <w:lang w:eastAsia="en-GB"/>
                                  <w14:ligatures w14:val="none"/>
                                </w:rPr>
                                <m:t>1-R</m:t>
                              </m:r>
                            </m:e>
                          </m:d>
                          <m:sSup>
                            <m:sSupPr>
                              <m:ctrlPr>
                                <w:rPr>
                                  <w:rFonts w:ascii="Cambria Math" w:eastAsia="Times New Roman" w:hAnsi="Cambria Math" w:cs="Arial"/>
                                  <w:i/>
                                  <w:kern w:val="0"/>
                                  <w:sz w:val="13"/>
                                  <w:szCs w:val="13"/>
                                  <w:lang w:eastAsia="en-GB"/>
                                  <w14:ligatures w14:val="none"/>
                                </w:rPr>
                              </m:ctrlPr>
                            </m:sSupPr>
                            <m:e>
                              <m:r>
                                <w:rPr>
                                  <w:rFonts w:ascii="Cambria Math" w:eastAsia="Times New Roman" w:hAnsi="Cambria Math" w:cs="Arial"/>
                                  <w:kern w:val="0"/>
                                  <w:sz w:val="13"/>
                                  <w:szCs w:val="13"/>
                                  <w:lang w:eastAsia="en-GB"/>
                                  <w14:ligatures w14:val="none"/>
                                </w:rPr>
                                <m:t>e</m:t>
                              </m:r>
                            </m:e>
                            <m:sup>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m:t>
                                  </m:r>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2</m:t>
                                      </m:r>
                                    </m:sub>
                                  </m:sSub>
                                  <m:ctrlPr>
                                    <w:rPr>
                                      <w:rFonts w:ascii="Cambria Math" w:eastAsia="Times New Roman" w:hAnsi="Cambria Math" w:cs="Arial"/>
                                      <w:i/>
                                      <w:kern w:val="0"/>
                                      <w:sz w:val="13"/>
                                      <w:szCs w:val="13"/>
                                      <w:lang w:eastAsia="en-GB"/>
                                      <w14:ligatures w14:val="none"/>
                                    </w:rPr>
                                  </m:ctrlPr>
                                </m:den>
                              </m:f>
                            </m:sup>
                          </m:sSup>
                          <m:ctrlPr>
                            <w:rPr>
                              <w:rFonts w:ascii="Cambria Math" w:eastAsia="Times New Roman" w:hAnsi="Cambria Math" w:cs="Arial"/>
                              <w:i/>
                              <w:kern w:val="0"/>
                              <w:sz w:val="13"/>
                              <w:szCs w:val="13"/>
                              <w:lang w:eastAsia="en-GB"/>
                              <w14:ligatures w14:val="none"/>
                            </w:rPr>
                          </m:ctrlPr>
                        </m:e>
                      </m:d>
                      <m:ctrlPr>
                        <w:rPr>
                          <w:rFonts w:ascii="Cambria Math" w:eastAsia="Times New Roman" w:hAnsi="Cambria Math" w:cs="Arial"/>
                          <w:i/>
                          <w:kern w:val="0"/>
                          <w:sz w:val="13"/>
                          <w:szCs w:val="13"/>
                          <w:lang w:eastAsia="en-GB"/>
                          <w14:ligatures w14:val="none"/>
                        </w:rPr>
                      </m:ctrlPr>
                    </m:num>
                    <m:den>
                      <m:r>
                        <w:rPr>
                          <w:rFonts w:ascii="Cambria Math" w:eastAsia="Times New Roman" w:hAnsi="Cambria Math" w:cs="Arial"/>
                          <w:kern w:val="0"/>
                          <w:sz w:val="13"/>
                          <w:szCs w:val="13"/>
                          <w:lang w:eastAsia="en-GB"/>
                          <w14:ligatures w14:val="none"/>
                        </w:rPr>
                        <m:t>ρ</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c</m:t>
                          </m:r>
                        </m:e>
                        <m:sub>
                          <m:r>
                            <w:rPr>
                              <w:rFonts w:ascii="Cambria Math" w:eastAsia="Times New Roman" w:hAnsi="Cambria Math" w:cs="Arial"/>
                              <w:kern w:val="0"/>
                              <w:sz w:val="13"/>
                              <w:szCs w:val="13"/>
                              <w:lang w:eastAsia="en-GB"/>
                              <w14:ligatures w14:val="none"/>
                            </w:rPr>
                            <m:t>p</m:t>
                          </m:r>
                        </m:sub>
                      </m:sSub>
                      <m:sSup>
                        <m:sSupPr>
                          <m:ctrlPr>
                            <w:rPr>
                              <w:rFonts w:ascii="Cambria Math" w:eastAsia="Times New Roman" w:hAnsi="Cambria Math" w:cs="Arial"/>
                              <w:i/>
                              <w:kern w:val="0"/>
                              <w:sz w:val="13"/>
                              <w:szCs w:val="13"/>
                              <w:lang w:eastAsia="en-GB"/>
                              <w14:ligatures w14:val="none"/>
                            </w:rPr>
                          </m:ctrlPr>
                        </m:sSupPr>
                        <m:e>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e>
                        <m:sup>
                          <m:r>
                            <w:rPr>
                              <w:rFonts w:ascii="Cambria Math" w:eastAsia="Times New Roman" w:hAnsi="Cambria Math" w:cs="Arial"/>
                              <w:kern w:val="0"/>
                              <w:sz w:val="13"/>
                              <w:szCs w:val="13"/>
                              <w:lang w:eastAsia="en-GB"/>
                              <w14:ligatures w14:val="none"/>
                            </w:rPr>
                            <m:t>2</m:t>
                          </m:r>
                        </m:sup>
                      </m:sSup>
                      <m:ctrlPr>
                        <w:rPr>
                          <w:rFonts w:ascii="Cambria Math" w:eastAsia="Times New Roman" w:hAnsi="Cambria Math" w:cs="Arial"/>
                          <w:i/>
                          <w:kern w:val="0"/>
                          <w:sz w:val="13"/>
                          <w:szCs w:val="13"/>
                          <w:lang w:eastAsia="en-GB"/>
                          <w14:ligatures w14:val="none"/>
                        </w:rPr>
                      </m:ctrlPr>
                    </m:den>
                  </m:f>
                  <m:r>
                    <w:rPr>
                      <w:rFonts w:ascii="Cambria Math" w:eastAsia="Times New Roman" w:hAnsi="Cambria Math" w:cs="Arial"/>
                      <w:kern w:val="0"/>
                      <w:sz w:val="13"/>
                      <w:szCs w:val="13"/>
                      <w:lang w:eastAsia="en-GB"/>
                      <w14:ligatures w14:val="none"/>
                    </w:rPr>
                    <m:t xml:space="preserve"> +</m:t>
                  </m:r>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δH</m:t>
                      </m:r>
                      <m:bar>
                        <m:barPr>
                          <m:pos m:val="top"/>
                          <m:ctrlPr>
                            <w:rPr>
                              <w:rFonts w:ascii="Cambria Math" w:eastAsia="Times New Roman" w:hAnsi="Cambria Math" w:cs="Arial"/>
                              <w:kern w:val="0"/>
                              <w:sz w:val="13"/>
                              <w:szCs w:val="13"/>
                              <w:lang w:eastAsia="en-GB"/>
                              <w14:ligatures w14:val="none"/>
                            </w:rPr>
                          </m:ctrlPr>
                        </m:barPr>
                        <m:e>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Q</m:t>
                              </m:r>
                            </m:e>
                            <m:sub>
                              <m:r>
                                <w:rPr>
                                  <w:rFonts w:ascii="Cambria Math" w:eastAsia="Times New Roman" w:hAnsi="Cambria Math" w:cs="Arial"/>
                                  <w:kern w:val="0"/>
                                  <w:sz w:val="13"/>
                                  <w:szCs w:val="13"/>
                                  <w:lang w:eastAsia="en-GB"/>
                                  <w14:ligatures w14:val="none"/>
                                </w:rPr>
                                <m:t>SW</m:t>
                              </m:r>
                            </m:sub>
                          </m:sSub>
                        </m:e>
                      </m:bar>
                      <m:d>
                        <m:dPr>
                          <m:begChr m:val="["/>
                          <m:endChr m:val="]"/>
                          <m:ctrlPr>
                            <w:rPr>
                              <w:rFonts w:ascii="Cambria Math" w:eastAsia="Times New Roman" w:hAnsi="Cambria Math" w:cs="Arial"/>
                              <w:kern w:val="0"/>
                              <w:sz w:val="13"/>
                              <w:szCs w:val="13"/>
                              <w:lang w:eastAsia="en-GB"/>
                              <w14:ligatures w14:val="none"/>
                            </w:rPr>
                          </m:ctrlPr>
                        </m:dPr>
                        <m:e>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R</m:t>
                              </m: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m:rPr>
                                      <m:sty m:val="p"/>
                                    </m:rP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1</m:t>
                                  </m:r>
                                </m:sub>
                              </m:sSub>
                              <m:ctrlPr>
                                <w:rPr>
                                  <w:rFonts w:ascii="Cambria Math" w:eastAsia="Times New Roman" w:hAnsi="Cambria Math" w:cs="Arial"/>
                                  <w:i/>
                                  <w:kern w:val="0"/>
                                  <w:sz w:val="13"/>
                                  <w:szCs w:val="13"/>
                                  <w:lang w:eastAsia="en-GB"/>
                                  <w14:ligatures w14:val="none"/>
                                </w:rPr>
                              </m:ctrlPr>
                            </m:den>
                          </m:f>
                          <m:sSup>
                            <m:sSupPr>
                              <m:ctrlPr>
                                <w:rPr>
                                  <w:rFonts w:ascii="Cambria Math" w:eastAsia="Times New Roman" w:hAnsi="Cambria Math" w:cs="Arial"/>
                                  <w:i/>
                                  <w:kern w:val="0"/>
                                  <w:sz w:val="13"/>
                                  <w:szCs w:val="13"/>
                                  <w:lang w:eastAsia="en-GB"/>
                                  <w14:ligatures w14:val="none"/>
                                </w:rPr>
                              </m:ctrlPr>
                            </m:sSupPr>
                            <m:e>
                              <m:r>
                                <w:rPr>
                                  <w:rFonts w:ascii="Cambria Math" w:eastAsia="Times New Roman" w:hAnsi="Cambria Math" w:cs="Arial"/>
                                  <w:kern w:val="0"/>
                                  <w:sz w:val="13"/>
                                  <w:szCs w:val="13"/>
                                  <w:lang w:eastAsia="en-GB"/>
                                  <w14:ligatures w14:val="none"/>
                                </w:rPr>
                                <m:t>e</m:t>
                              </m:r>
                            </m:e>
                            <m:sup>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m:t>
                                  </m:r>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1</m:t>
                                      </m:r>
                                    </m:sub>
                                  </m:sSub>
                                  <m:ctrlPr>
                                    <w:rPr>
                                      <w:rFonts w:ascii="Cambria Math" w:eastAsia="Times New Roman" w:hAnsi="Cambria Math" w:cs="Arial"/>
                                      <w:i/>
                                      <w:kern w:val="0"/>
                                      <w:sz w:val="13"/>
                                      <w:szCs w:val="13"/>
                                      <w:lang w:eastAsia="en-GB"/>
                                      <w14:ligatures w14:val="none"/>
                                    </w:rPr>
                                  </m:ctrlPr>
                                </m:den>
                              </m:f>
                            </m:sup>
                          </m:sSup>
                          <m:r>
                            <w:rPr>
                              <w:rFonts w:ascii="Cambria Math" w:eastAsia="Times New Roman" w:hAnsi="Cambria Math" w:cs="Arial"/>
                              <w:kern w:val="0"/>
                              <w:sz w:val="13"/>
                              <w:szCs w:val="13"/>
                              <w:lang w:eastAsia="en-GB"/>
                              <w14:ligatures w14:val="none"/>
                            </w:rPr>
                            <m:t>+</m:t>
                          </m:r>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1-R</m:t>
                              </m: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m:rPr>
                                      <m:sty m:val="p"/>
                                    </m:rP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2</m:t>
                                  </m:r>
                                </m:sub>
                              </m:sSub>
                              <m:ctrlPr>
                                <w:rPr>
                                  <w:rFonts w:ascii="Cambria Math" w:eastAsia="Times New Roman" w:hAnsi="Cambria Math" w:cs="Arial"/>
                                  <w:i/>
                                  <w:kern w:val="0"/>
                                  <w:sz w:val="13"/>
                                  <w:szCs w:val="13"/>
                                  <w:lang w:eastAsia="en-GB"/>
                                  <w14:ligatures w14:val="none"/>
                                </w:rPr>
                              </m:ctrlPr>
                            </m:den>
                          </m:f>
                          <m:sSup>
                            <m:sSupPr>
                              <m:ctrlPr>
                                <w:rPr>
                                  <w:rFonts w:ascii="Cambria Math" w:eastAsia="Times New Roman" w:hAnsi="Cambria Math" w:cs="Arial"/>
                                  <w:i/>
                                  <w:kern w:val="0"/>
                                  <w:sz w:val="13"/>
                                  <w:szCs w:val="13"/>
                                  <w:lang w:eastAsia="en-GB"/>
                                  <w14:ligatures w14:val="none"/>
                                </w:rPr>
                              </m:ctrlPr>
                            </m:sSupPr>
                            <m:e>
                              <m:r>
                                <w:rPr>
                                  <w:rFonts w:ascii="Cambria Math" w:eastAsia="Times New Roman" w:hAnsi="Cambria Math" w:cs="Arial"/>
                                  <w:kern w:val="0"/>
                                  <w:sz w:val="13"/>
                                  <w:szCs w:val="13"/>
                                  <w:lang w:eastAsia="en-GB"/>
                                  <w14:ligatures w14:val="none"/>
                                </w:rPr>
                                <m:t>e</m:t>
                              </m:r>
                            </m:e>
                            <m:sup>
                              <m:f>
                                <m:fPr>
                                  <m:ctrlPr>
                                    <w:rPr>
                                      <w:rFonts w:ascii="Cambria Math" w:eastAsia="Times New Roman" w:hAnsi="Cambria Math" w:cs="Arial"/>
                                      <w:kern w:val="0"/>
                                      <w:sz w:val="13"/>
                                      <w:szCs w:val="13"/>
                                      <w:lang w:eastAsia="en-GB"/>
                                      <w14:ligatures w14:val="none"/>
                                    </w:rPr>
                                  </m:ctrlPr>
                                </m:fPr>
                                <m:num>
                                  <m:r>
                                    <w:rPr>
                                      <w:rFonts w:ascii="Cambria Math" w:eastAsia="Times New Roman" w:hAnsi="Cambria Math" w:cs="Arial"/>
                                      <w:kern w:val="0"/>
                                      <w:sz w:val="13"/>
                                      <w:szCs w:val="13"/>
                                      <w:lang w:eastAsia="en-GB"/>
                                      <w14:ligatures w14:val="none"/>
                                    </w:rPr>
                                    <m:t>-</m:t>
                                  </m:r>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num>
                                <m:den>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γ</m:t>
                                      </m:r>
                                    </m:e>
                                    <m:sub>
                                      <m:r>
                                        <w:rPr>
                                          <w:rFonts w:ascii="Cambria Math" w:eastAsia="Times New Roman" w:hAnsi="Cambria Math" w:cs="Arial"/>
                                          <w:kern w:val="0"/>
                                          <w:sz w:val="13"/>
                                          <w:szCs w:val="13"/>
                                          <w:lang w:eastAsia="en-GB"/>
                                          <w14:ligatures w14:val="none"/>
                                        </w:rPr>
                                        <m:t>2</m:t>
                                      </m:r>
                                    </m:sub>
                                  </m:sSub>
                                  <m:ctrlPr>
                                    <w:rPr>
                                      <w:rFonts w:ascii="Cambria Math" w:eastAsia="Times New Roman" w:hAnsi="Cambria Math" w:cs="Arial"/>
                                      <w:i/>
                                      <w:kern w:val="0"/>
                                      <w:sz w:val="13"/>
                                      <w:szCs w:val="13"/>
                                      <w:lang w:eastAsia="en-GB"/>
                                      <w14:ligatures w14:val="none"/>
                                    </w:rPr>
                                  </m:ctrlPr>
                                </m:den>
                              </m:f>
                            </m:sup>
                          </m:sSup>
                          <m:ctrlPr>
                            <w:rPr>
                              <w:rFonts w:ascii="Cambria Math" w:eastAsia="Times New Roman" w:hAnsi="Cambria Math" w:cs="Arial"/>
                              <w:i/>
                              <w:kern w:val="0"/>
                              <w:sz w:val="13"/>
                              <w:szCs w:val="13"/>
                              <w:lang w:eastAsia="en-GB"/>
                              <w14:ligatures w14:val="none"/>
                            </w:rPr>
                          </m:ctrlPr>
                        </m:e>
                      </m:d>
                      <m:ctrlPr>
                        <w:rPr>
                          <w:rFonts w:ascii="Cambria Math" w:eastAsia="Times New Roman" w:hAnsi="Cambria Math" w:cs="Arial"/>
                          <w:i/>
                          <w:kern w:val="0"/>
                          <w:sz w:val="13"/>
                          <w:szCs w:val="13"/>
                          <w:lang w:eastAsia="en-GB"/>
                          <w14:ligatures w14:val="none"/>
                        </w:rPr>
                      </m:ctrlPr>
                    </m:num>
                    <m:den>
                      <m:r>
                        <m:rPr>
                          <m:sty m:val="p"/>
                        </m:rPr>
                        <w:rPr>
                          <w:rFonts w:ascii="Cambria Math" w:eastAsia="Times New Roman" w:hAnsi="Cambria Math" w:cs="Arial"/>
                          <w:kern w:val="0"/>
                          <w:sz w:val="13"/>
                          <w:szCs w:val="13"/>
                          <w:lang w:eastAsia="en-GB"/>
                          <w14:ligatures w14:val="none"/>
                        </w:rPr>
                        <m:t>ρ</m:t>
                      </m:r>
                      <m:sSub>
                        <m:sSubPr>
                          <m:ctrlPr>
                            <w:rPr>
                              <w:rFonts w:ascii="Cambria Math" w:eastAsia="Times New Roman" w:hAnsi="Cambria Math" w:cs="Arial"/>
                              <w:i/>
                              <w:kern w:val="0"/>
                              <w:sz w:val="13"/>
                              <w:szCs w:val="13"/>
                              <w:lang w:eastAsia="en-GB"/>
                              <w14:ligatures w14:val="none"/>
                            </w:rPr>
                          </m:ctrlPr>
                        </m:sSubPr>
                        <m:e>
                          <m:r>
                            <w:rPr>
                              <w:rFonts w:ascii="Cambria Math" w:eastAsia="Times New Roman" w:hAnsi="Cambria Math" w:cs="Arial"/>
                              <w:kern w:val="0"/>
                              <w:sz w:val="13"/>
                              <w:szCs w:val="13"/>
                              <w:lang w:eastAsia="en-GB"/>
                              <w14:ligatures w14:val="none"/>
                            </w:rPr>
                            <m:t>c</m:t>
                          </m:r>
                        </m:e>
                        <m:sub>
                          <m:r>
                            <w:rPr>
                              <w:rFonts w:ascii="Cambria Math" w:eastAsia="Times New Roman" w:hAnsi="Cambria Math" w:cs="Arial"/>
                              <w:kern w:val="0"/>
                              <w:sz w:val="13"/>
                              <w:szCs w:val="13"/>
                              <w:lang w:eastAsia="en-GB"/>
                              <w14:ligatures w14:val="none"/>
                            </w:rPr>
                            <m:t>p</m:t>
                          </m:r>
                        </m:sub>
                      </m:sSub>
                      <m:bar>
                        <m:barPr>
                          <m:pos m:val="top"/>
                          <m:ctrlPr>
                            <w:rPr>
                              <w:rFonts w:ascii="Cambria Math" w:eastAsia="Times New Roman" w:hAnsi="Cambria Math" w:cs="Arial"/>
                              <w:kern w:val="0"/>
                              <w:sz w:val="13"/>
                              <w:szCs w:val="13"/>
                              <w:lang w:eastAsia="en-GB"/>
                              <w14:ligatures w14:val="none"/>
                            </w:rPr>
                          </m:ctrlPr>
                        </m:barPr>
                        <m:e>
                          <m:r>
                            <w:rPr>
                              <w:rFonts w:ascii="Cambria Math" w:eastAsia="Times New Roman" w:hAnsi="Cambria Math" w:cs="Arial"/>
                              <w:kern w:val="0"/>
                              <w:sz w:val="13"/>
                              <w:szCs w:val="13"/>
                              <w:lang w:eastAsia="en-GB"/>
                              <w14:ligatures w14:val="none"/>
                            </w:rPr>
                            <m:t>H</m:t>
                          </m:r>
                        </m:e>
                      </m:bar>
                      <m:ctrlPr>
                        <w:rPr>
                          <w:rFonts w:ascii="Cambria Math" w:eastAsia="Times New Roman" w:hAnsi="Cambria Math" w:cs="Arial"/>
                          <w:i/>
                          <w:kern w:val="0"/>
                          <w:sz w:val="13"/>
                          <w:szCs w:val="13"/>
                          <w:lang w:eastAsia="en-GB"/>
                          <w14:ligatures w14:val="none"/>
                        </w:rPr>
                      </m:ctrlPr>
                    </m:den>
                  </m:f>
                  <m:r>
                    <w:rPr>
                      <w:rFonts w:ascii="Cambria Math" w:eastAsia="Times New Roman" w:hAnsi="Cambria Math" w:cs="Arial"/>
                      <w:kern w:val="0"/>
                      <w:sz w:val="13"/>
                      <w:szCs w:val="13"/>
                      <w:lang w:eastAsia="en-GB"/>
                      <w14:ligatures w14:val="none"/>
                    </w:rPr>
                    <m:t xml:space="preserve">  </m:t>
                  </m:r>
                </m:e>
              </m:groupChr>
            </m:e>
            <m:lim>
              <m:r>
                <w:rPr>
                  <w:rFonts w:ascii="Cambria Math" w:eastAsia="Times New Roman" w:hAnsi="Cambria Math" w:cs="Arial"/>
                  <w:kern w:val="0"/>
                  <w:sz w:val="13"/>
                  <w:szCs w:val="13"/>
                  <w:lang w:eastAsia="en-GB"/>
                  <w14:ligatures w14:val="none"/>
                </w:rPr>
                <m:t>Due to MLD anomaly</m:t>
              </m:r>
            </m:lim>
          </m:limLow>
        </m:oMath>
      </m:oMathPara>
    </w:p>
    <w:p w14:paraId="3C63CA72" w14:textId="77777777" w:rsidR="003E2A76" w:rsidRPr="00590236" w:rsidRDefault="003E2A76" w:rsidP="00590236">
      <w:pPr>
        <w:spacing w:line="360" w:lineRule="auto"/>
        <w:jc w:val="both"/>
        <w:rPr>
          <w:rFonts w:ascii="Arial" w:hAnsi="Arial" w:cs="Arial"/>
        </w:rPr>
      </w:pPr>
    </w:p>
    <w:p w14:paraId="2974C6EF" w14:textId="77777777" w:rsidR="001547DA" w:rsidRPr="00590236" w:rsidRDefault="001547DA" w:rsidP="00590236">
      <w:pPr>
        <w:spacing w:line="360" w:lineRule="auto"/>
        <w:jc w:val="both"/>
        <w:rPr>
          <w:rFonts w:ascii="Arial" w:hAnsi="Arial" w:cs="Arial"/>
        </w:rPr>
      </w:pPr>
      <w:r w:rsidRPr="00590236">
        <w:rPr>
          <w:rFonts w:ascii="Arial" w:hAnsi="Arial" w:cs="Arial"/>
        </w:rPr>
        <w:t xml:space="preserve">Higher-order nonlinear terms (e.g., </w:t>
      </w:r>
      <m:oMath>
        <m:r>
          <w:rPr>
            <w:rFonts w:ascii="Cambria Math" w:hAnsi="Cambria Math" w:cs="Arial"/>
          </w:rPr>
          <m:t>δQ</m:t>
        </m:r>
        <m:r>
          <m:rPr>
            <m:nor/>
          </m:rPr>
          <w:rPr>
            <w:rFonts w:ascii="Arial" w:hAnsi="Arial" w:cs="Arial"/>
          </w:rPr>
          <m:t> </m:t>
        </m:r>
        <m:r>
          <w:rPr>
            <w:rFonts w:ascii="Cambria Math" w:hAnsi="Cambria Math" w:cs="Arial"/>
          </w:rPr>
          <m:t>δH</m:t>
        </m:r>
      </m:oMath>
      <w:r w:rsidRPr="00590236">
        <w:rPr>
          <w:rFonts w:ascii="Arial" w:hAnsi="Arial" w:cs="Arial"/>
        </w:rPr>
        <w:t xml:space="preserve">, </w:t>
      </w:r>
      <m:oMath>
        <m:d>
          <m:dPr>
            <m:endChr m:val=""/>
            <m:ctrlPr>
              <w:rPr>
                <w:rFonts w:ascii="Cambria Math" w:hAnsi="Cambria Math" w:cs="Arial"/>
              </w:rPr>
            </m:ctrlPr>
          </m:dPr>
          <m:e>
            <m:r>
              <w:rPr>
                <w:rFonts w:ascii="Cambria Math" w:hAnsi="Cambria Math" w:cs="Arial"/>
              </w:rPr>
              <m:t>δH</m:t>
            </m:r>
            <m:sSup>
              <m:sSupPr>
                <m:ctrlPr>
                  <w:rPr>
                    <w:rFonts w:ascii="Cambria Math" w:hAnsi="Cambria Math" w:cs="Arial"/>
                  </w:rPr>
                </m:ctrlPr>
              </m:sSupPr>
              <m:e>
                <m:r>
                  <w:rPr>
                    <w:rFonts w:ascii="Cambria Math" w:hAnsi="Cambria Math" w:cs="Arial"/>
                  </w:rPr>
                  <m:t>)</m:t>
                </m:r>
              </m:e>
              <m:sup>
                <m:r>
                  <w:rPr>
                    <w:rFonts w:ascii="Cambria Math" w:hAnsi="Cambria Math" w:cs="Arial"/>
                  </w:rPr>
                  <m:t>2</m:t>
                </m:r>
              </m:sup>
            </m:sSup>
          </m:e>
        </m:d>
      </m:oMath>
      <w:r w:rsidRPr="00590236">
        <w:rPr>
          <w:rFonts w:ascii="Arial" w:hAnsi="Arial" w:cs="Arial"/>
        </w:rPr>
        <w:t>) are neglected under the first-order approximation.</w:t>
      </w:r>
    </w:p>
    <w:p w14:paraId="2A9B0FFD" w14:textId="77777777" w:rsidR="001547DA" w:rsidRPr="00590236" w:rsidRDefault="001547DA" w:rsidP="00590236">
      <w:pPr>
        <w:spacing w:line="360" w:lineRule="auto"/>
        <w:jc w:val="both"/>
        <w:rPr>
          <w:rFonts w:ascii="Arial" w:eastAsia="Times New Roman" w:hAnsi="Arial" w:cs="Arial"/>
          <w:b/>
          <w:bCs/>
          <w:kern w:val="0"/>
          <w:lang w:eastAsia="en-GB"/>
          <w14:ligatures w14:val="none"/>
        </w:rPr>
      </w:pPr>
    </w:p>
    <w:p w14:paraId="114A2B8D" w14:textId="77777777" w:rsidR="001969F6" w:rsidRDefault="001969F6" w:rsidP="00590236">
      <w:pPr>
        <w:spacing w:line="360" w:lineRule="auto"/>
        <w:jc w:val="both"/>
        <w:rPr>
          <w:rFonts w:ascii="Arial" w:eastAsia="Times New Roman" w:hAnsi="Arial" w:cs="Arial"/>
          <w:b/>
          <w:bCs/>
          <w:kern w:val="0"/>
          <w:lang w:eastAsia="en-GB"/>
          <w14:ligatures w14:val="none"/>
        </w:rPr>
      </w:pPr>
    </w:p>
    <w:p w14:paraId="647A3BFE" w14:textId="77777777" w:rsidR="001969F6" w:rsidRDefault="001969F6" w:rsidP="00590236">
      <w:pPr>
        <w:spacing w:line="360" w:lineRule="auto"/>
        <w:jc w:val="both"/>
        <w:rPr>
          <w:rFonts w:ascii="Arial" w:eastAsia="Times New Roman" w:hAnsi="Arial" w:cs="Arial"/>
          <w:b/>
          <w:bCs/>
          <w:kern w:val="0"/>
          <w:lang w:eastAsia="en-GB"/>
          <w14:ligatures w14:val="none"/>
        </w:rPr>
      </w:pPr>
    </w:p>
    <w:p w14:paraId="34D5DC8C" w14:textId="77777777" w:rsidR="001969F6" w:rsidRDefault="001969F6" w:rsidP="00590236">
      <w:pPr>
        <w:spacing w:line="360" w:lineRule="auto"/>
        <w:jc w:val="both"/>
        <w:rPr>
          <w:rFonts w:ascii="Arial" w:eastAsia="Times New Roman" w:hAnsi="Arial" w:cs="Arial"/>
          <w:b/>
          <w:bCs/>
          <w:kern w:val="0"/>
          <w:lang w:eastAsia="en-GB"/>
          <w14:ligatures w14:val="none"/>
        </w:rPr>
      </w:pPr>
    </w:p>
    <w:p w14:paraId="5BD9DE16" w14:textId="405C6D32" w:rsidR="00B32323" w:rsidRPr="00590236" w:rsidRDefault="00B32323" w:rsidP="00590236">
      <w:pPr>
        <w:spacing w:line="360" w:lineRule="auto"/>
        <w:jc w:val="both"/>
        <w:rPr>
          <w:rFonts w:ascii="Arial" w:hAnsi="Arial" w:cs="Arial"/>
          <w:b/>
          <w:bCs/>
        </w:rPr>
      </w:pPr>
      <w:r w:rsidRPr="00590236">
        <w:rPr>
          <w:rFonts w:ascii="Arial" w:eastAsia="Times New Roman" w:hAnsi="Arial" w:cs="Arial"/>
          <w:b/>
          <w:bCs/>
          <w:kern w:val="0"/>
          <w:lang w:eastAsia="en-GB"/>
          <w14:ligatures w14:val="none"/>
        </w:rPr>
        <w:t>Supplementary Table 1 |</w:t>
      </w:r>
      <w:r w:rsidRPr="00590236">
        <w:rPr>
          <w:rFonts w:ascii="Arial" w:hAnsi="Arial" w:cs="Arial"/>
          <w:b/>
          <w:bCs/>
        </w:rPr>
        <w:t xml:space="preserve"> Difference in mean SST tendency between </w:t>
      </w:r>
      <w:r w:rsidR="00C73FC6">
        <w:rPr>
          <w:rFonts w:ascii="Arial" w:hAnsi="Arial" w:cs="Arial"/>
          <w:b/>
          <w:bCs/>
        </w:rPr>
        <w:t>extended</w:t>
      </w:r>
      <w:r w:rsidRPr="00590236">
        <w:rPr>
          <w:rFonts w:ascii="Arial" w:hAnsi="Arial" w:cs="Arial"/>
          <w:b/>
          <w:bCs/>
        </w:rPr>
        <w:t xml:space="preserve"> and </w:t>
      </w:r>
      <w:r w:rsidR="00C73FC6">
        <w:rPr>
          <w:rFonts w:ascii="Arial" w:hAnsi="Arial" w:cs="Arial"/>
          <w:b/>
          <w:bCs/>
        </w:rPr>
        <w:t>more recent</w:t>
      </w:r>
      <w:r w:rsidR="00A81CD2">
        <w:rPr>
          <w:rFonts w:ascii="Arial" w:hAnsi="Arial" w:cs="Arial"/>
          <w:b/>
          <w:bCs/>
        </w:rPr>
        <w:t xml:space="preserve"> (data-rich)</w:t>
      </w:r>
      <w:r w:rsidRPr="00590236">
        <w:rPr>
          <w:rFonts w:ascii="Arial" w:hAnsi="Arial" w:cs="Arial"/>
          <w:b/>
          <w:bCs/>
        </w:rPr>
        <w:t xml:space="preserve"> periods in observational datasets.</w:t>
      </w:r>
    </w:p>
    <w:p w14:paraId="5029E7A1" w14:textId="6588E79C" w:rsidR="00B32323" w:rsidRPr="00590236" w:rsidRDefault="00B32323" w:rsidP="00811A43">
      <w:pPr>
        <w:spacing w:line="276" w:lineRule="auto"/>
        <w:jc w:val="both"/>
        <w:rPr>
          <w:rFonts w:ascii="Arial" w:hAnsi="Arial" w:cs="Arial"/>
        </w:rPr>
      </w:pPr>
      <w:r w:rsidRPr="00590236">
        <w:rPr>
          <w:rFonts w:ascii="Arial" w:hAnsi="Arial" w:cs="Arial"/>
        </w:rPr>
        <w:br/>
      </w:r>
      <w:r w:rsidRPr="005B7514">
        <w:rPr>
          <w:rFonts w:ascii="Arial" w:hAnsi="Arial" w:cs="Arial"/>
          <w:sz w:val="22"/>
          <w:szCs w:val="22"/>
        </w:rPr>
        <w:t>Differences in mean SST tendency (</w:t>
      </w:r>
      <w:r w:rsidR="00C73FC6" w:rsidRPr="005B7514">
        <w:rPr>
          <w:rFonts w:ascii="Arial" w:hAnsi="Arial" w:cs="Arial"/>
          <w:sz w:val="22"/>
          <w:szCs w:val="22"/>
        </w:rPr>
        <w:t>ex</w:t>
      </w:r>
      <w:r w:rsidR="00A81CD2" w:rsidRPr="005B7514">
        <w:rPr>
          <w:rFonts w:ascii="Arial" w:hAnsi="Arial" w:cs="Arial"/>
          <w:sz w:val="22"/>
          <w:szCs w:val="22"/>
        </w:rPr>
        <w:t>tended</w:t>
      </w:r>
      <w:r w:rsidRPr="005B7514">
        <w:rPr>
          <w:rFonts w:ascii="Arial" w:hAnsi="Arial" w:cs="Arial"/>
          <w:sz w:val="22"/>
          <w:szCs w:val="22"/>
        </w:rPr>
        <w:t xml:space="preserve"> minus </w:t>
      </w:r>
      <w:r w:rsidR="00A81CD2" w:rsidRPr="005B7514">
        <w:rPr>
          <w:rFonts w:ascii="Arial" w:hAnsi="Arial" w:cs="Arial"/>
          <w:sz w:val="22"/>
          <w:szCs w:val="22"/>
        </w:rPr>
        <w:t>more recent (data-rich)</w:t>
      </w:r>
      <w:r w:rsidRPr="005B7514">
        <w:rPr>
          <w:rFonts w:ascii="Arial" w:hAnsi="Arial" w:cs="Arial"/>
          <w:sz w:val="22"/>
          <w:szCs w:val="22"/>
        </w:rPr>
        <w:t xml:space="preserve"> period) for HadISST, ERSST, and COBE, with p-values estimated using 10,000 bootstrap samples.</w:t>
      </w:r>
    </w:p>
    <w:p w14:paraId="72A7EC11" w14:textId="77777777" w:rsidR="00B32323" w:rsidRPr="00590236" w:rsidRDefault="00B32323" w:rsidP="00590236">
      <w:pPr>
        <w:spacing w:line="360" w:lineRule="auto"/>
        <w:jc w:val="both"/>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3221"/>
        <w:gridCol w:w="936"/>
      </w:tblGrid>
      <w:tr w:rsidR="00B32323" w:rsidRPr="00590236" w14:paraId="51B70B7C" w14:textId="77777777" w:rsidTr="001B3233">
        <w:trPr>
          <w:tblHeader/>
          <w:tblCellSpacing w:w="15" w:type="dxa"/>
        </w:trPr>
        <w:tc>
          <w:tcPr>
            <w:tcW w:w="0" w:type="auto"/>
            <w:vAlign w:val="center"/>
            <w:hideMark/>
          </w:tcPr>
          <w:p w14:paraId="2F184D8D" w14:textId="77777777" w:rsidR="00B32323" w:rsidRPr="00590236" w:rsidRDefault="00B32323" w:rsidP="00590236">
            <w:pPr>
              <w:spacing w:line="360" w:lineRule="auto"/>
              <w:jc w:val="both"/>
              <w:rPr>
                <w:rFonts w:ascii="Arial" w:hAnsi="Arial" w:cs="Arial"/>
                <w:b/>
                <w:bCs/>
              </w:rPr>
            </w:pPr>
            <w:r w:rsidRPr="00590236">
              <w:rPr>
                <w:rFonts w:ascii="Arial" w:hAnsi="Arial" w:cs="Arial"/>
                <w:b/>
                <w:bCs/>
              </w:rPr>
              <w:t>Dataset</w:t>
            </w:r>
          </w:p>
        </w:tc>
        <w:tc>
          <w:tcPr>
            <w:tcW w:w="0" w:type="auto"/>
            <w:vAlign w:val="center"/>
            <w:hideMark/>
          </w:tcPr>
          <w:p w14:paraId="5263D9FC" w14:textId="092BB427" w:rsidR="00B32323" w:rsidRPr="00590236" w:rsidRDefault="00B32323" w:rsidP="00590236">
            <w:pPr>
              <w:spacing w:line="360" w:lineRule="auto"/>
              <w:jc w:val="both"/>
              <w:rPr>
                <w:rFonts w:ascii="Arial" w:hAnsi="Arial" w:cs="Arial"/>
                <w:b/>
                <w:bCs/>
              </w:rPr>
            </w:pPr>
            <w:r w:rsidRPr="00590236">
              <w:rPr>
                <w:rFonts w:ascii="Arial" w:hAnsi="Arial" w:cs="Arial"/>
                <w:b/>
                <w:bCs/>
              </w:rPr>
              <w:t>Δ mean (</w:t>
            </w:r>
            <w:r w:rsidR="00A81CD2">
              <w:rPr>
                <w:rFonts w:ascii="Arial" w:hAnsi="Arial" w:cs="Arial"/>
                <w:b/>
                <w:bCs/>
              </w:rPr>
              <w:t>extended</w:t>
            </w:r>
            <w:r w:rsidRPr="00590236">
              <w:rPr>
                <w:rFonts w:ascii="Arial" w:hAnsi="Arial" w:cs="Arial"/>
                <w:b/>
                <w:bCs/>
              </w:rPr>
              <w:t xml:space="preserve"> − </w:t>
            </w:r>
            <w:r w:rsidR="00A81CD2">
              <w:rPr>
                <w:rFonts w:ascii="Arial" w:hAnsi="Arial" w:cs="Arial"/>
                <w:b/>
                <w:bCs/>
              </w:rPr>
              <w:t>recent</w:t>
            </w:r>
            <w:r w:rsidRPr="00590236">
              <w:rPr>
                <w:rFonts w:ascii="Arial" w:hAnsi="Arial" w:cs="Arial"/>
                <w:b/>
                <w:bCs/>
              </w:rPr>
              <w:t>)</w:t>
            </w:r>
          </w:p>
        </w:tc>
        <w:tc>
          <w:tcPr>
            <w:tcW w:w="0" w:type="auto"/>
            <w:vAlign w:val="center"/>
            <w:hideMark/>
          </w:tcPr>
          <w:p w14:paraId="5BAE887D" w14:textId="77777777" w:rsidR="00B32323" w:rsidRPr="00590236" w:rsidRDefault="00B32323" w:rsidP="00590236">
            <w:pPr>
              <w:spacing w:line="360" w:lineRule="auto"/>
              <w:jc w:val="both"/>
              <w:rPr>
                <w:rFonts w:ascii="Arial" w:hAnsi="Arial" w:cs="Arial"/>
                <w:b/>
                <w:bCs/>
              </w:rPr>
            </w:pPr>
            <w:r w:rsidRPr="00590236">
              <w:rPr>
                <w:rFonts w:ascii="Arial" w:hAnsi="Arial" w:cs="Arial"/>
                <w:b/>
                <w:bCs/>
              </w:rPr>
              <w:t>p-value</w:t>
            </w:r>
          </w:p>
        </w:tc>
      </w:tr>
      <w:tr w:rsidR="00B32323" w:rsidRPr="00590236" w14:paraId="2A0087EE" w14:textId="77777777" w:rsidTr="001B3233">
        <w:trPr>
          <w:tblCellSpacing w:w="15" w:type="dxa"/>
        </w:trPr>
        <w:tc>
          <w:tcPr>
            <w:tcW w:w="0" w:type="auto"/>
            <w:vAlign w:val="center"/>
            <w:hideMark/>
          </w:tcPr>
          <w:p w14:paraId="76407959" w14:textId="77777777" w:rsidR="00B32323" w:rsidRPr="00590236" w:rsidRDefault="00B32323" w:rsidP="00590236">
            <w:pPr>
              <w:spacing w:line="360" w:lineRule="auto"/>
              <w:jc w:val="both"/>
              <w:rPr>
                <w:rFonts w:ascii="Arial" w:hAnsi="Arial" w:cs="Arial"/>
              </w:rPr>
            </w:pPr>
            <w:r w:rsidRPr="00590236">
              <w:rPr>
                <w:rFonts w:ascii="Arial" w:hAnsi="Arial" w:cs="Arial"/>
              </w:rPr>
              <w:t>HadISST</w:t>
            </w:r>
          </w:p>
        </w:tc>
        <w:tc>
          <w:tcPr>
            <w:tcW w:w="0" w:type="auto"/>
            <w:vAlign w:val="center"/>
            <w:hideMark/>
          </w:tcPr>
          <w:p w14:paraId="227C3B5A" w14:textId="77777777" w:rsidR="00B32323" w:rsidRPr="00590236" w:rsidRDefault="00B32323" w:rsidP="00590236">
            <w:pPr>
              <w:spacing w:line="360" w:lineRule="auto"/>
              <w:jc w:val="both"/>
              <w:rPr>
                <w:rFonts w:ascii="Arial" w:hAnsi="Arial" w:cs="Arial"/>
              </w:rPr>
            </w:pPr>
            <w:r w:rsidRPr="00590236">
              <w:rPr>
                <w:rFonts w:ascii="Arial" w:hAnsi="Arial" w:cs="Arial"/>
              </w:rPr>
              <w:t>−1.4418 × 10</w:t>
            </w:r>
            <w:r w:rsidRPr="00590236">
              <w:rPr>
                <w:rFonts w:ascii="Cambria Math" w:hAnsi="Cambria Math" w:cs="Cambria Math"/>
              </w:rPr>
              <w:t>⁻</w:t>
            </w:r>
            <w:r w:rsidRPr="00590236">
              <w:rPr>
                <w:rFonts w:ascii="Arial" w:hAnsi="Arial" w:cs="Arial"/>
              </w:rPr>
              <w:t>³</w:t>
            </w:r>
          </w:p>
        </w:tc>
        <w:tc>
          <w:tcPr>
            <w:tcW w:w="0" w:type="auto"/>
            <w:vAlign w:val="center"/>
            <w:hideMark/>
          </w:tcPr>
          <w:p w14:paraId="12FDB474" w14:textId="77777777" w:rsidR="00B32323" w:rsidRPr="00590236" w:rsidRDefault="00B32323" w:rsidP="00590236">
            <w:pPr>
              <w:spacing w:line="360" w:lineRule="auto"/>
              <w:jc w:val="both"/>
              <w:rPr>
                <w:rFonts w:ascii="Arial" w:hAnsi="Arial" w:cs="Arial"/>
              </w:rPr>
            </w:pPr>
            <w:r w:rsidRPr="00590236">
              <w:rPr>
                <w:rFonts w:ascii="Arial" w:hAnsi="Arial" w:cs="Arial"/>
              </w:rPr>
              <w:t>0.466</w:t>
            </w:r>
          </w:p>
        </w:tc>
      </w:tr>
      <w:tr w:rsidR="00B32323" w:rsidRPr="00590236" w14:paraId="6066DA2B" w14:textId="77777777" w:rsidTr="001B3233">
        <w:trPr>
          <w:tblCellSpacing w:w="15" w:type="dxa"/>
        </w:trPr>
        <w:tc>
          <w:tcPr>
            <w:tcW w:w="0" w:type="auto"/>
            <w:vAlign w:val="center"/>
          </w:tcPr>
          <w:p w14:paraId="716B7B5E" w14:textId="77777777" w:rsidR="00B32323" w:rsidRPr="00590236" w:rsidRDefault="00B32323" w:rsidP="00590236">
            <w:pPr>
              <w:spacing w:line="360" w:lineRule="auto"/>
              <w:jc w:val="both"/>
              <w:rPr>
                <w:rFonts w:ascii="Arial" w:hAnsi="Arial" w:cs="Arial"/>
              </w:rPr>
            </w:pPr>
            <w:r w:rsidRPr="00590236">
              <w:rPr>
                <w:rFonts w:ascii="Arial" w:hAnsi="Arial" w:cs="Arial"/>
              </w:rPr>
              <w:t>ERSST</w:t>
            </w:r>
          </w:p>
        </w:tc>
        <w:tc>
          <w:tcPr>
            <w:tcW w:w="0" w:type="auto"/>
            <w:vAlign w:val="center"/>
          </w:tcPr>
          <w:p w14:paraId="4368B10C" w14:textId="77777777" w:rsidR="00B32323" w:rsidRPr="00590236" w:rsidRDefault="00B32323" w:rsidP="00590236">
            <w:pPr>
              <w:spacing w:line="360" w:lineRule="auto"/>
              <w:jc w:val="both"/>
              <w:rPr>
                <w:rFonts w:ascii="Arial" w:hAnsi="Arial" w:cs="Arial"/>
              </w:rPr>
            </w:pPr>
            <w:r w:rsidRPr="00590236">
              <w:rPr>
                <w:rFonts w:ascii="Arial" w:hAnsi="Arial" w:cs="Arial"/>
              </w:rPr>
              <w:t>−3.7228 × 10</w:t>
            </w:r>
            <w:r w:rsidRPr="00590236">
              <w:rPr>
                <w:rFonts w:ascii="Cambria Math" w:hAnsi="Cambria Math" w:cs="Cambria Math"/>
              </w:rPr>
              <w:t>⁻</w:t>
            </w:r>
            <w:r w:rsidRPr="00590236">
              <w:rPr>
                <w:rFonts w:ascii="Arial" w:hAnsi="Arial" w:cs="Arial"/>
              </w:rPr>
              <w:t>⁴</w:t>
            </w:r>
          </w:p>
        </w:tc>
        <w:tc>
          <w:tcPr>
            <w:tcW w:w="0" w:type="auto"/>
            <w:vAlign w:val="center"/>
          </w:tcPr>
          <w:p w14:paraId="225CE26B" w14:textId="77777777" w:rsidR="00B32323" w:rsidRPr="00590236" w:rsidRDefault="00B32323" w:rsidP="00590236">
            <w:pPr>
              <w:spacing w:line="360" w:lineRule="auto"/>
              <w:jc w:val="both"/>
              <w:rPr>
                <w:rFonts w:ascii="Arial" w:hAnsi="Arial" w:cs="Arial"/>
              </w:rPr>
            </w:pPr>
            <w:r w:rsidRPr="00590236">
              <w:rPr>
                <w:rFonts w:ascii="Arial" w:hAnsi="Arial" w:cs="Arial"/>
              </w:rPr>
              <w:t>0.958</w:t>
            </w:r>
          </w:p>
        </w:tc>
      </w:tr>
      <w:tr w:rsidR="00B32323" w:rsidRPr="00590236" w14:paraId="5632042D" w14:textId="77777777" w:rsidTr="001B3233">
        <w:trPr>
          <w:tblCellSpacing w:w="15" w:type="dxa"/>
        </w:trPr>
        <w:tc>
          <w:tcPr>
            <w:tcW w:w="0" w:type="auto"/>
            <w:vAlign w:val="center"/>
            <w:hideMark/>
          </w:tcPr>
          <w:p w14:paraId="64CC7F68" w14:textId="77777777" w:rsidR="00B32323" w:rsidRPr="00590236" w:rsidRDefault="00B32323" w:rsidP="00590236">
            <w:pPr>
              <w:spacing w:line="360" w:lineRule="auto"/>
              <w:jc w:val="both"/>
              <w:rPr>
                <w:rFonts w:ascii="Arial" w:hAnsi="Arial" w:cs="Arial"/>
              </w:rPr>
            </w:pPr>
            <w:r w:rsidRPr="00590236">
              <w:rPr>
                <w:rFonts w:ascii="Arial" w:hAnsi="Arial" w:cs="Arial"/>
              </w:rPr>
              <w:t>COBE</w:t>
            </w:r>
          </w:p>
        </w:tc>
        <w:tc>
          <w:tcPr>
            <w:tcW w:w="0" w:type="auto"/>
            <w:vAlign w:val="center"/>
            <w:hideMark/>
          </w:tcPr>
          <w:p w14:paraId="1440A62E" w14:textId="77777777" w:rsidR="00B32323" w:rsidRPr="00590236" w:rsidRDefault="00B32323" w:rsidP="00590236">
            <w:pPr>
              <w:spacing w:line="360" w:lineRule="auto"/>
              <w:jc w:val="both"/>
              <w:rPr>
                <w:rFonts w:ascii="Arial" w:hAnsi="Arial" w:cs="Arial"/>
              </w:rPr>
            </w:pPr>
            <w:r w:rsidRPr="00590236">
              <w:rPr>
                <w:rFonts w:ascii="Arial" w:hAnsi="Arial" w:cs="Arial"/>
              </w:rPr>
              <w:t>−2.3954 × 10</w:t>
            </w:r>
            <w:r w:rsidRPr="00590236">
              <w:rPr>
                <w:rFonts w:ascii="Cambria Math" w:hAnsi="Cambria Math" w:cs="Cambria Math"/>
              </w:rPr>
              <w:t>⁻</w:t>
            </w:r>
            <w:r w:rsidRPr="00590236">
              <w:rPr>
                <w:rFonts w:ascii="Arial" w:hAnsi="Arial" w:cs="Arial"/>
              </w:rPr>
              <w:t>³</w:t>
            </w:r>
          </w:p>
        </w:tc>
        <w:tc>
          <w:tcPr>
            <w:tcW w:w="0" w:type="auto"/>
            <w:vAlign w:val="center"/>
            <w:hideMark/>
          </w:tcPr>
          <w:p w14:paraId="0F33EDAF" w14:textId="77777777" w:rsidR="00B32323" w:rsidRPr="00590236" w:rsidRDefault="00B32323" w:rsidP="00590236">
            <w:pPr>
              <w:spacing w:line="360" w:lineRule="auto"/>
              <w:jc w:val="both"/>
              <w:rPr>
                <w:rFonts w:ascii="Arial" w:hAnsi="Arial" w:cs="Arial"/>
              </w:rPr>
            </w:pPr>
            <w:r w:rsidRPr="00590236">
              <w:rPr>
                <w:rFonts w:ascii="Arial" w:hAnsi="Arial" w:cs="Arial"/>
              </w:rPr>
              <w:t>0.554</w:t>
            </w:r>
          </w:p>
        </w:tc>
      </w:tr>
    </w:tbl>
    <w:p w14:paraId="06736008" w14:textId="77777777" w:rsidR="00A17656" w:rsidRPr="00590236" w:rsidRDefault="00A17656" w:rsidP="00590236">
      <w:pPr>
        <w:spacing w:line="360" w:lineRule="auto"/>
        <w:jc w:val="both"/>
        <w:rPr>
          <w:rFonts w:ascii="Arial" w:hAnsi="Arial" w:cs="Arial"/>
        </w:rPr>
      </w:pPr>
    </w:p>
    <w:p w14:paraId="707DF020" w14:textId="77777777" w:rsidR="008D2085" w:rsidRPr="00590236" w:rsidRDefault="008D2085" w:rsidP="00590236">
      <w:pPr>
        <w:spacing w:line="360" w:lineRule="auto"/>
        <w:jc w:val="both"/>
        <w:rPr>
          <w:rFonts w:ascii="Arial" w:hAnsi="Arial" w:cs="Arial"/>
        </w:rPr>
      </w:pPr>
    </w:p>
    <w:p w14:paraId="2E153144" w14:textId="77777777" w:rsidR="001969F6" w:rsidRDefault="001969F6" w:rsidP="00590236">
      <w:pPr>
        <w:spacing w:line="360" w:lineRule="auto"/>
        <w:jc w:val="both"/>
        <w:rPr>
          <w:rFonts w:ascii="Arial" w:hAnsi="Arial" w:cs="Arial"/>
          <w:b/>
          <w:bCs/>
        </w:rPr>
      </w:pPr>
      <w:r>
        <w:rPr>
          <w:rFonts w:ascii="Arial" w:hAnsi="Arial" w:cs="Arial"/>
          <w:b/>
          <w:bCs/>
        </w:rPr>
        <w:br w:type="page"/>
      </w:r>
    </w:p>
    <w:p w14:paraId="48DF0CD7" w14:textId="00649783" w:rsidR="002169D8" w:rsidRPr="00590236" w:rsidRDefault="002169D8" w:rsidP="00590236">
      <w:pPr>
        <w:spacing w:line="360" w:lineRule="auto"/>
        <w:jc w:val="both"/>
        <w:rPr>
          <w:rFonts w:ascii="Arial" w:hAnsi="Arial" w:cs="Arial"/>
          <w:b/>
          <w:bCs/>
        </w:rPr>
      </w:pPr>
      <w:r w:rsidRPr="00590236">
        <w:rPr>
          <w:rFonts w:ascii="Arial" w:hAnsi="Arial" w:cs="Arial"/>
          <w:b/>
          <w:bCs/>
        </w:rPr>
        <w:lastRenderedPageBreak/>
        <w:t>Supplementary Table</w:t>
      </w:r>
      <w:r w:rsidRPr="00590236">
        <w:rPr>
          <w:rFonts w:ascii="Arial" w:hAnsi="Arial" w:cs="Arial"/>
        </w:rPr>
        <w:t xml:space="preserve"> </w:t>
      </w:r>
      <w:r w:rsidR="0043118F" w:rsidRPr="00590236">
        <w:rPr>
          <w:rFonts w:ascii="Arial" w:hAnsi="Arial" w:cs="Arial"/>
          <w:b/>
          <w:bCs/>
        </w:rPr>
        <w:t>2</w:t>
      </w:r>
      <w:r w:rsidRPr="00590236">
        <w:rPr>
          <w:rFonts w:ascii="Arial" w:hAnsi="Arial" w:cs="Arial"/>
          <w:b/>
          <w:bCs/>
        </w:rPr>
        <w:t xml:space="preserve"> | Classification of CMIP6 models by seasonality of tropical AMV </w:t>
      </w:r>
    </w:p>
    <w:p w14:paraId="2FFC61BC" w14:textId="5259087C" w:rsidR="002169D8" w:rsidRPr="005B7514" w:rsidRDefault="002169D8" w:rsidP="005B7514">
      <w:pPr>
        <w:spacing w:line="276" w:lineRule="auto"/>
        <w:jc w:val="both"/>
        <w:rPr>
          <w:rFonts w:ascii="Arial" w:hAnsi="Arial" w:cs="Arial"/>
          <w:sz w:val="22"/>
          <w:szCs w:val="22"/>
        </w:rPr>
      </w:pPr>
      <w:r w:rsidRPr="00590236">
        <w:rPr>
          <w:rFonts w:ascii="Arial" w:hAnsi="Arial" w:cs="Arial"/>
        </w:rPr>
        <w:br/>
      </w:r>
      <w:r w:rsidRPr="005B7514">
        <w:rPr>
          <w:rFonts w:ascii="Arial" w:hAnsi="Arial" w:cs="Arial"/>
          <w:sz w:val="22"/>
          <w:szCs w:val="22"/>
        </w:rPr>
        <w:t>CMIP6 models are classified into high-, low-, and negative-seasonality categories based on the sign and magnitude of the difference between summer and winter SST tendency during tropical AMV development (see Results</w:t>
      </w:r>
      <w:r w:rsidR="00BE2BB1" w:rsidRPr="005B7514">
        <w:rPr>
          <w:rFonts w:ascii="Arial" w:hAnsi="Arial" w:cs="Arial"/>
          <w:sz w:val="22"/>
          <w:szCs w:val="22"/>
        </w:rPr>
        <w:t xml:space="preserve">; three groups: high-seasonality models (upper half of the positive </w:t>
      </w:r>
      <w:r w:rsidR="00FA42A6" w:rsidRPr="005B7514">
        <w:rPr>
          <w:rFonts w:ascii="Arial" w:hAnsi="Arial" w:cs="Arial"/>
          <w:sz w:val="22"/>
          <w:szCs w:val="22"/>
        </w:rPr>
        <w:t>models</w:t>
      </w:r>
      <w:r w:rsidR="00BE2BB1" w:rsidRPr="005B7514">
        <w:rPr>
          <w:rFonts w:ascii="Arial" w:hAnsi="Arial" w:cs="Arial"/>
          <w:sz w:val="22"/>
          <w:szCs w:val="22"/>
        </w:rPr>
        <w:t xml:space="preserve">), low-seasonality models (lower half of the positive </w:t>
      </w:r>
      <w:r w:rsidR="00FA42A6" w:rsidRPr="005B7514">
        <w:rPr>
          <w:rFonts w:ascii="Arial" w:hAnsi="Arial" w:cs="Arial"/>
          <w:sz w:val="22"/>
          <w:szCs w:val="22"/>
        </w:rPr>
        <w:t>models</w:t>
      </w:r>
      <w:r w:rsidR="00BE2BB1" w:rsidRPr="005B7514">
        <w:rPr>
          <w:rFonts w:ascii="Arial" w:hAnsi="Arial" w:cs="Arial"/>
          <w:sz w:val="22"/>
          <w:szCs w:val="22"/>
        </w:rPr>
        <w:t>), and negative-seasonality models (Fig. 1c)</w:t>
      </w:r>
      <w:r w:rsidRPr="005B7514">
        <w:rPr>
          <w:rFonts w:ascii="Arial" w:hAnsi="Arial" w:cs="Arial"/>
          <w:sz w:val="22"/>
          <w:szCs w:val="22"/>
        </w:rPr>
        <w:t>). The table lists all analysed models and the number of models in each category.</w:t>
      </w:r>
    </w:p>
    <w:p w14:paraId="003E23AC" w14:textId="77777777" w:rsidR="002169D8" w:rsidRPr="00590236" w:rsidRDefault="002169D8" w:rsidP="00590236">
      <w:pPr>
        <w:spacing w:line="360" w:lineRule="auto"/>
        <w:jc w:val="both"/>
        <w:rPr>
          <w:rFonts w:ascii="Arial" w:hAnsi="Arial" w:cs="Arial"/>
        </w:rPr>
      </w:pPr>
    </w:p>
    <w:p w14:paraId="6AEB1DB4" w14:textId="77777777" w:rsidR="002169D8" w:rsidRPr="00590236" w:rsidRDefault="002169D8" w:rsidP="00590236">
      <w:pPr>
        <w:spacing w:line="360" w:lineRule="auto"/>
        <w:jc w:val="both"/>
        <w:rPr>
          <w:rFonts w:ascii="Arial" w:hAnsi="Arial" w:cs="Arial"/>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9"/>
        <w:gridCol w:w="5999"/>
        <w:gridCol w:w="1228"/>
      </w:tblGrid>
      <w:tr w:rsidR="002169D8" w:rsidRPr="00590236" w14:paraId="3067E09A" w14:textId="77777777" w:rsidTr="001B3233">
        <w:trPr>
          <w:tblHeader/>
          <w:tblCellSpacing w:w="15" w:type="dxa"/>
        </w:trPr>
        <w:tc>
          <w:tcPr>
            <w:tcW w:w="0" w:type="auto"/>
            <w:vAlign w:val="center"/>
            <w:hideMark/>
          </w:tcPr>
          <w:p w14:paraId="58DF6047" w14:textId="77777777" w:rsidR="002169D8" w:rsidRPr="00590236" w:rsidRDefault="002169D8" w:rsidP="00590236">
            <w:pPr>
              <w:spacing w:line="360" w:lineRule="auto"/>
              <w:jc w:val="both"/>
              <w:rPr>
                <w:rFonts w:ascii="Arial" w:hAnsi="Arial" w:cs="Arial"/>
                <w:b/>
                <w:bCs/>
              </w:rPr>
            </w:pPr>
            <w:r w:rsidRPr="00590236">
              <w:rPr>
                <w:rFonts w:ascii="Arial" w:hAnsi="Arial" w:cs="Arial"/>
                <w:b/>
                <w:bCs/>
              </w:rPr>
              <w:t>Category</w:t>
            </w:r>
          </w:p>
        </w:tc>
        <w:tc>
          <w:tcPr>
            <w:tcW w:w="0" w:type="auto"/>
            <w:vAlign w:val="center"/>
            <w:hideMark/>
          </w:tcPr>
          <w:p w14:paraId="0C7D5C96" w14:textId="77777777" w:rsidR="002169D8" w:rsidRPr="00590236" w:rsidRDefault="002169D8" w:rsidP="00590236">
            <w:pPr>
              <w:spacing w:line="360" w:lineRule="auto"/>
              <w:jc w:val="both"/>
              <w:rPr>
                <w:rFonts w:ascii="Arial" w:hAnsi="Arial" w:cs="Arial"/>
                <w:b/>
                <w:bCs/>
              </w:rPr>
            </w:pPr>
            <w:r w:rsidRPr="00590236">
              <w:rPr>
                <w:rFonts w:ascii="Arial" w:hAnsi="Arial" w:cs="Arial"/>
                <w:b/>
                <w:bCs/>
              </w:rPr>
              <w:t>CMIP6 Models</w:t>
            </w:r>
          </w:p>
        </w:tc>
        <w:tc>
          <w:tcPr>
            <w:tcW w:w="0" w:type="auto"/>
            <w:vAlign w:val="center"/>
            <w:hideMark/>
          </w:tcPr>
          <w:p w14:paraId="4055A356" w14:textId="77777777" w:rsidR="002169D8" w:rsidRPr="00590236" w:rsidRDefault="002169D8" w:rsidP="00590236">
            <w:pPr>
              <w:spacing w:line="360" w:lineRule="auto"/>
              <w:jc w:val="both"/>
              <w:rPr>
                <w:rFonts w:ascii="Arial" w:hAnsi="Arial" w:cs="Arial"/>
                <w:b/>
                <w:bCs/>
              </w:rPr>
            </w:pPr>
            <w:r w:rsidRPr="00590236">
              <w:rPr>
                <w:rFonts w:ascii="Arial" w:hAnsi="Arial" w:cs="Arial"/>
                <w:b/>
                <w:bCs/>
              </w:rPr>
              <w:t>Number of models</w:t>
            </w:r>
          </w:p>
        </w:tc>
      </w:tr>
      <w:tr w:rsidR="002169D8" w:rsidRPr="00590236" w14:paraId="422C4AE7" w14:textId="77777777" w:rsidTr="001B3233">
        <w:trPr>
          <w:tblCellSpacing w:w="15" w:type="dxa"/>
        </w:trPr>
        <w:tc>
          <w:tcPr>
            <w:tcW w:w="0" w:type="auto"/>
            <w:vAlign w:val="center"/>
            <w:hideMark/>
          </w:tcPr>
          <w:p w14:paraId="1C203CEE" w14:textId="77777777" w:rsidR="002169D8" w:rsidRPr="00590236" w:rsidRDefault="002169D8" w:rsidP="00590236">
            <w:pPr>
              <w:spacing w:line="360" w:lineRule="auto"/>
              <w:jc w:val="both"/>
              <w:rPr>
                <w:rFonts w:ascii="Arial" w:hAnsi="Arial" w:cs="Arial"/>
                <w:b/>
                <w:bCs/>
              </w:rPr>
            </w:pPr>
            <w:r w:rsidRPr="00590236">
              <w:rPr>
                <w:rFonts w:ascii="Arial" w:hAnsi="Arial" w:cs="Arial"/>
                <w:b/>
                <w:bCs/>
              </w:rPr>
              <w:t>High-seasonality models</w:t>
            </w:r>
          </w:p>
        </w:tc>
        <w:tc>
          <w:tcPr>
            <w:tcW w:w="0" w:type="auto"/>
            <w:vAlign w:val="center"/>
            <w:hideMark/>
          </w:tcPr>
          <w:p w14:paraId="1BCE26CB" w14:textId="77777777" w:rsidR="002169D8" w:rsidRPr="00590236" w:rsidRDefault="002169D8" w:rsidP="00590236">
            <w:pPr>
              <w:spacing w:line="360" w:lineRule="auto"/>
              <w:jc w:val="both"/>
              <w:rPr>
                <w:rFonts w:ascii="Arial" w:hAnsi="Arial" w:cs="Arial"/>
              </w:rPr>
            </w:pPr>
            <w:r w:rsidRPr="00590236">
              <w:rPr>
                <w:rFonts w:ascii="Arial" w:hAnsi="Arial" w:cs="Arial"/>
              </w:rPr>
              <w:t>ACCESS-ESM1-5; AWI-CM-1-1-MR; IPSL-CM6A-LR; BCC-CSM2-MR; MPI-ESM1-2-HR; MIROC6; HadGEM3-GC31-MM; HadGEM3-GC31-LL; MPI-ESM-1-2-HAM; EC-Earth3-CC; EC-Earth3-Veg-LR; GFDL-CM4; CMCC-CM2-SR5; ICON-ESM-LR</w:t>
            </w:r>
          </w:p>
        </w:tc>
        <w:tc>
          <w:tcPr>
            <w:tcW w:w="0" w:type="auto"/>
            <w:vAlign w:val="center"/>
            <w:hideMark/>
          </w:tcPr>
          <w:p w14:paraId="4EB2F34A" w14:textId="77777777" w:rsidR="002169D8" w:rsidRPr="00590236" w:rsidRDefault="002169D8" w:rsidP="00590236">
            <w:pPr>
              <w:spacing w:line="360" w:lineRule="auto"/>
              <w:jc w:val="both"/>
              <w:rPr>
                <w:rFonts w:ascii="Arial" w:hAnsi="Arial" w:cs="Arial"/>
              </w:rPr>
            </w:pPr>
            <w:r w:rsidRPr="00590236">
              <w:rPr>
                <w:rFonts w:ascii="Arial" w:hAnsi="Arial" w:cs="Arial"/>
              </w:rPr>
              <w:t>14</w:t>
            </w:r>
          </w:p>
        </w:tc>
      </w:tr>
      <w:tr w:rsidR="002169D8" w:rsidRPr="00590236" w14:paraId="3D509A32" w14:textId="77777777" w:rsidTr="001B3233">
        <w:trPr>
          <w:tblCellSpacing w:w="15" w:type="dxa"/>
        </w:trPr>
        <w:tc>
          <w:tcPr>
            <w:tcW w:w="0" w:type="auto"/>
            <w:vAlign w:val="center"/>
            <w:hideMark/>
          </w:tcPr>
          <w:p w14:paraId="384264C6" w14:textId="77777777" w:rsidR="002169D8" w:rsidRPr="00590236" w:rsidRDefault="002169D8" w:rsidP="00590236">
            <w:pPr>
              <w:spacing w:line="360" w:lineRule="auto"/>
              <w:jc w:val="both"/>
              <w:rPr>
                <w:rFonts w:ascii="Arial" w:hAnsi="Arial" w:cs="Arial"/>
              </w:rPr>
            </w:pPr>
            <w:r w:rsidRPr="00590236">
              <w:rPr>
                <w:rFonts w:ascii="Arial" w:hAnsi="Arial" w:cs="Arial"/>
              </w:rPr>
              <w:t>Low-</w:t>
            </w:r>
            <w:r w:rsidRPr="00590236">
              <w:rPr>
                <w:rFonts w:ascii="Arial" w:hAnsi="Arial" w:cs="Arial"/>
                <w:b/>
                <w:bCs/>
              </w:rPr>
              <w:t xml:space="preserve"> seasonality models</w:t>
            </w:r>
          </w:p>
        </w:tc>
        <w:tc>
          <w:tcPr>
            <w:tcW w:w="0" w:type="auto"/>
            <w:vAlign w:val="center"/>
            <w:hideMark/>
          </w:tcPr>
          <w:p w14:paraId="6620C623" w14:textId="77777777" w:rsidR="002169D8" w:rsidRPr="00590236" w:rsidRDefault="002169D8" w:rsidP="00590236">
            <w:pPr>
              <w:spacing w:line="360" w:lineRule="auto"/>
              <w:jc w:val="both"/>
              <w:rPr>
                <w:rFonts w:ascii="Arial" w:hAnsi="Arial" w:cs="Arial"/>
              </w:rPr>
            </w:pPr>
            <w:r w:rsidRPr="00590236">
              <w:rPr>
                <w:rFonts w:ascii="Arial" w:hAnsi="Arial" w:cs="Arial"/>
              </w:rPr>
              <w:t>CanESM5; GFDL-ESM4; NorCPM1; CNRM-CM6-1; CESM2; FGOALS-f3-L; CESM2-FV2; MRI-ESM2-0; NorESM2-LM; MPI-ESM1-2-LR; CNRM-ESM2-1; UKESM1-0-LL; CESM2-WACCM-FV2</w:t>
            </w:r>
          </w:p>
        </w:tc>
        <w:tc>
          <w:tcPr>
            <w:tcW w:w="0" w:type="auto"/>
            <w:vAlign w:val="center"/>
            <w:hideMark/>
          </w:tcPr>
          <w:p w14:paraId="125E0E20" w14:textId="77777777" w:rsidR="002169D8" w:rsidRPr="00590236" w:rsidRDefault="002169D8" w:rsidP="00590236">
            <w:pPr>
              <w:spacing w:line="360" w:lineRule="auto"/>
              <w:jc w:val="both"/>
              <w:rPr>
                <w:rFonts w:ascii="Arial" w:hAnsi="Arial" w:cs="Arial"/>
              </w:rPr>
            </w:pPr>
            <w:r w:rsidRPr="00590236">
              <w:rPr>
                <w:rFonts w:ascii="Arial" w:hAnsi="Arial" w:cs="Arial"/>
              </w:rPr>
              <w:t>13</w:t>
            </w:r>
          </w:p>
        </w:tc>
      </w:tr>
      <w:tr w:rsidR="002169D8" w:rsidRPr="00590236" w14:paraId="7E14B404" w14:textId="77777777" w:rsidTr="001B3233">
        <w:trPr>
          <w:tblCellSpacing w:w="15" w:type="dxa"/>
        </w:trPr>
        <w:tc>
          <w:tcPr>
            <w:tcW w:w="0" w:type="auto"/>
            <w:vAlign w:val="center"/>
            <w:hideMark/>
          </w:tcPr>
          <w:p w14:paraId="58384F52" w14:textId="77777777" w:rsidR="002169D8" w:rsidRPr="00590236" w:rsidRDefault="002169D8" w:rsidP="00590236">
            <w:pPr>
              <w:spacing w:line="360" w:lineRule="auto"/>
              <w:jc w:val="both"/>
              <w:rPr>
                <w:rFonts w:ascii="Arial" w:hAnsi="Arial" w:cs="Arial"/>
              </w:rPr>
            </w:pPr>
            <w:r w:rsidRPr="00590236">
              <w:rPr>
                <w:rFonts w:ascii="Arial" w:hAnsi="Arial" w:cs="Arial"/>
                <w:b/>
                <w:bCs/>
              </w:rPr>
              <w:t>Negative- seasonality models</w:t>
            </w:r>
          </w:p>
        </w:tc>
        <w:tc>
          <w:tcPr>
            <w:tcW w:w="0" w:type="auto"/>
            <w:vAlign w:val="center"/>
            <w:hideMark/>
          </w:tcPr>
          <w:p w14:paraId="0347F0DB" w14:textId="77777777" w:rsidR="002169D8" w:rsidRPr="00590236" w:rsidRDefault="002169D8" w:rsidP="00590236">
            <w:pPr>
              <w:spacing w:line="360" w:lineRule="auto"/>
              <w:jc w:val="both"/>
              <w:rPr>
                <w:rFonts w:ascii="Arial" w:hAnsi="Arial" w:cs="Arial"/>
              </w:rPr>
            </w:pPr>
            <w:r w:rsidRPr="00590236">
              <w:rPr>
                <w:rFonts w:ascii="Arial" w:hAnsi="Arial" w:cs="Arial"/>
              </w:rPr>
              <w:t>ACCESS-CM2; E3SM-1-0; FGOALS-g3</w:t>
            </w:r>
          </w:p>
        </w:tc>
        <w:tc>
          <w:tcPr>
            <w:tcW w:w="0" w:type="auto"/>
            <w:vAlign w:val="center"/>
            <w:hideMark/>
          </w:tcPr>
          <w:p w14:paraId="79EFC2E5" w14:textId="77777777" w:rsidR="002169D8" w:rsidRPr="00590236" w:rsidRDefault="002169D8" w:rsidP="00590236">
            <w:pPr>
              <w:spacing w:line="360" w:lineRule="auto"/>
              <w:jc w:val="both"/>
              <w:rPr>
                <w:rFonts w:ascii="Arial" w:hAnsi="Arial" w:cs="Arial"/>
              </w:rPr>
            </w:pPr>
            <w:r w:rsidRPr="00590236">
              <w:rPr>
                <w:rFonts w:ascii="Arial" w:hAnsi="Arial" w:cs="Arial"/>
              </w:rPr>
              <w:t>3</w:t>
            </w:r>
          </w:p>
        </w:tc>
      </w:tr>
    </w:tbl>
    <w:p w14:paraId="7B4AF2B6" w14:textId="77777777" w:rsidR="002169D8" w:rsidRPr="00590236" w:rsidRDefault="002169D8" w:rsidP="00590236">
      <w:pPr>
        <w:spacing w:line="360" w:lineRule="auto"/>
        <w:jc w:val="both"/>
        <w:rPr>
          <w:rFonts w:ascii="Arial" w:hAnsi="Arial" w:cs="Arial"/>
        </w:rPr>
      </w:pPr>
    </w:p>
    <w:p w14:paraId="054E3AAA" w14:textId="77777777" w:rsidR="002169D8" w:rsidRPr="00590236" w:rsidRDefault="002169D8" w:rsidP="00590236">
      <w:pPr>
        <w:spacing w:line="360" w:lineRule="auto"/>
        <w:jc w:val="both"/>
        <w:rPr>
          <w:rFonts w:ascii="Arial" w:hAnsi="Arial" w:cs="Arial"/>
        </w:rPr>
      </w:pPr>
    </w:p>
    <w:p w14:paraId="252D39B1" w14:textId="77777777" w:rsidR="002169D8" w:rsidRPr="00590236" w:rsidRDefault="002169D8" w:rsidP="00590236">
      <w:pPr>
        <w:spacing w:line="360" w:lineRule="auto"/>
        <w:jc w:val="both"/>
        <w:rPr>
          <w:rFonts w:ascii="Arial" w:eastAsia="Times New Roman" w:hAnsi="Arial" w:cs="Arial"/>
          <w:b/>
          <w:bCs/>
          <w:kern w:val="0"/>
          <w:lang w:eastAsia="en-GB"/>
          <w14:ligatures w14:val="none"/>
        </w:rPr>
      </w:pPr>
    </w:p>
    <w:p w14:paraId="6B145E6B" w14:textId="77777777" w:rsidR="001969F6" w:rsidRDefault="001969F6" w:rsidP="00590236">
      <w:pPr>
        <w:spacing w:line="360" w:lineRule="auto"/>
        <w:jc w:val="both"/>
        <w:rPr>
          <w:rFonts w:ascii="Arial" w:hAnsi="Arial" w:cs="Arial"/>
          <w:b/>
          <w:bCs/>
        </w:rPr>
      </w:pPr>
      <w:r>
        <w:rPr>
          <w:rFonts w:ascii="Arial" w:hAnsi="Arial" w:cs="Arial"/>
          <w:b/>
          <w:bCs/>
        </w:rPr>
        <w:br w:type="page"/>
      </w:r>
    </w:p>
    <w:p w14:paraId="309FF251" w14:textId="3F0983DC" w:rsidR="0098260D" w:rsidRPr="00590236" w:rsidRDefault="0098260D" w:rsidP="00590236">
      <w:pPr>
        <w:spacing w:line="360" w:lineRule="auto"/>
        <w:jc w:val="both"/>
        <w:rPr>
          <w:rFonts w:ascii="Arial" w:hAnsi="Arial" w:cs="Arial"/>
          <w:b/>
          <w:bCs/>
        </w:rPr>
      </w:pPr>
      <w:r w:rsidRPr="00590236">
        <w:rPr>
          <w:rFonts w:ascii="Arial" w:hAnsi="Arial" w:cs="Arial"/>
          <w:b/>
          <w:bCs/>
        </w:rPr>
        <w:lastRenderedPageBreak/>
        <w:t>Supplementary Table 3 | Trade-wind and associated climate variables relationship across models</w:t>
      </w:r>
    </w:p>
    <w:p w14:paraId="031FD968" w14:textId="01F508EA" w:rsidR="0098260D" w:rsidRPr="005B7514" w:rsidRDefault="0098260D" w:rsidP="005B7514">
      <w:pPr>
        <w:spacing w:line="276" w:lineRule="auto"/>
        <w:jc w:val="both"/>
        <w:rPr>
          <w:rFonts w:ascii="Arial" w:hAnsi="Arial" w:cs="Arial"/>
          <w:sz w:val="22"/>
          <w:szCs w:val="22"/>
        </w:rPr>
      </w:pPr>
      <w:r w:rsidRPr="005B7514">
        <w:rPr>
          <w:rFonts w:ascii="Arial" w:hAnsi="Arial" w:cs="Arial"/>
          <w:sz w:val="22"/>
          <w:szCs w:val="22"/>
        </w:rPr>
        <w:t>Correlation coefficient between wind stress anomaly and other variables across models. Bold letters mark values significant at the 90% level.</w:t>
      </w:r>
    </w:p>
    <w:p w14:paraId="77E4254C" w14:textId="77777777" w:rsidR="0098260D" w:rsidRPr="00590236" w:rsidRDefault="0098260D" w:rsidP="00590236">
      <w:pPr>
        <w:spacing w:line="360" w:lineRule="auto"/>
        <w:jc w:val="both"/>
        <w:rPr>
          <w:rFonts w:ascii="Arial" w:hAnsi="Arial" w:cs="Arial"/>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98260D" w:rsidRPr="00590236" w14:paraId="72C704C6" w14:textId="77777777" w:rsidTr="001B3233">
        <w:tc>
          <w:tcPr>
            <w:tcW w:w="1502" w:type="dxa"/>
          </w:tcPr>
          <w:p w14:paraId="0677CF7F" w14:textId="77777777" w:rsidR="0098260D" w:rsidRPr="00590236" w:rsidRDefault="0098260D" w:rsidP="00590236">
            <w:pPr>
              <w:spacing w:line="360" w:lineRule="auto"/>
              <w:jc w:val="both"/>
              <w:rPr>
                <w:rFonts w:ascii="Arial" w:hAnsi="Arial" w:cs="Arial"/>
              </w:rPr>
            </w:pPr>
          </w:p>
        </w:tc>
        <w:tc>
          <w:tcPr>
            <w:tcW w:w="1502" w:type="dxa"/>
          </w:tcPr>
          <w:p w14:paraId="3D60017F" w14:textId="77777777" w:rsidR="0098260D" w:rsidRPr="00590236" w:rsidRDefault="0098260D" w:rsidP="00590236">
            <w:pPr>
              <w:spacing w:line="360" w:lineRule="auto"/>
              <w:jc w:val="both"/>
              <w:rPr>
                <w:rFonts w:ascii="Arial" w:hAnsi="Arial" w:cs="Arial"/>
              </w:rPr>
            </w:pPr>
            <w:r w:rsidRPr="00590236">
              <w:rPr>
                <w:rFonts w:ascii="Arial" w:hAnsi="Arial" w:cs="Arial"/>
              </w:rPr>
              <w:t>Relative MLD change</w:t>
            </w:r>
          </w:p>
        </w:tc>
        <w:tc>
          <w:tcPr>
            <w:tcW w:w="1503" w:type="dxa"/>
          </w:tcPr>
          <w:p w14:paraId="27262E1E" w14:textId="77777777" w:rsidR="0098260D" w:rsidRPr="00590236" w:rsidRDefault="0098260D" w:rsidP="00590236">
            <w:pPr>
              <w:spacing w:line="360" w:lineRule="auto"/>
              <w:jc w:val="both"/>
              <w:rPr>
                <w:rFonts w:ascii="Arial" w:hAnsi="Arial" w:cs="Arial"/>
              </w:rPr>
            </w:pPr>
            <w:r w:rsidRPr="00590236">
              <w:rPr>
                <w:rFonts w:ascii="Arial" w:hAnsi="Arial" w:cs="Arial"/>
              </w:rPr>
              <w:t>Latent heat flux anomaly</w:t>
            </w:r>
          </w:p>
        </w:tc>
        <w:tc>
          <w:tcPr>
            <w:tcW w:w="1503" w:type="dxa"/>
          </w:tcPr>
          <w:p w14:paraId="7EC40B96" w14:textId="77777777" w:rsidR="0098260D" w:rsidRPr="00590236" w:rsidRDefault="0098260D" w:rsidP="00590236">
            <w:pPr>
              <w:spacing w:line="360" w:lineRule="auto"/>
              <w:jc w:val="both"/>
              <w:rPr>
                <w:rFonts w:ascii="Arial" w:hAnsi="Arial" w:cs="Arial"/>
              </w:rPr>
            </w:pPr>
            <w:r w:rsidRPr="00590236">
              <w:rPr>
                <w:rFonts w:ascii="Arial" w:hAnsi="Arial" w:cs="Arial"/>
              </w:rPr>
              <w:t>Shortwave radiation anomaly</w:t>
            </w:r>
          </w:p>
        </w:tc>
        <w:tc>
          <w:tcPr>
            <w:tcW w:w="1503" w:type="dxa"/>
          </w:tcPr>
          <w:p w14:paraId="41FD7FC4" w14:textId="77777777" w:rsidR="0098260D" w:rsidRPr="00590236" w:rsidRDefault="0098260D" w:rsidP="00590236">
            <w:pPr>
              <w:spacing w:line="360" w:lineRule="auto"/>
              <w:jc w:val="both"/>
              <w:rPr>
                <w:rFonts w:ascii="Arial" w:hAnsi="Arial" w:cs="Arial"/>
              </w:rPr>
            </w:pPr>
            <w:r w:rsidRPr="00590236">
              <w:rPr>
                <w:rFonts w:ascii="Arial" w:hAnsi="Arial" w:cs="Arial"/>
              </w:rPr>
              <w:t>Surface net heat-flux anomaly</w:t>
            </w:r>
          </w:p>
        </w:tc>
        <w:tc>
          <w:tcPr>
            <w:tcW w:w="1503" w:type="dxa"/>
          </w:tcPr>
          <w:p w14:paraId="351B48DD" w14:textId="77777777" w:rsidR="0098260D" w:rsidRPr="00590236" w:rsidRDefault="0098260D" w:rsidP="00590236">
            <w:pPr>
              <w:spacing w:line="360" w:lineRule="auto"/>
              <w:jc w:val="both"/>
              <w:rPr>
                <w:rFonts w:ascii="Arial" w:hAnsi="Arial" w:cs="Arial"/>
              </w:rPr>
            </w:pPr>
            <w:r w:rsidRPr="00590236">
              <w:rPr>
                <w:rFonts w:ascii="Arial" w:hAnsi="Arial" w:cs="Arial"/>
              </w:rPr>
              <w:t>Cloud cover anomaly</w:t>
            </w:r>
          </w:p>
        </w:tc>
      </w:tr>
      <w:tr w:rsidR="0098260D" w:rsidRPr="00590236" w14:paraId="1882E6E7" w14:textId="77777777" w:rsidTr="001B3233">
        <w:tc>
          <w:tcPr>
            <w:tcW w:w="1502" w:type="dxa"/>
          </w:tcPr>
          <w:p w14:paraId="580F0C80" w14:textId="77777777" w:rsidR="0098260D" w:rsidRPr="00590236" w:rsidRDefault="0098260D" w:rsidP="00590236">
            <w:pPr>
              <w:spacing w:line="360" w:lineRule="auto"/>
              <w:jc w:val="both"/>
              <w:rPr>
                <w:rFonts w:ascii="Arial" w:hAnsi="Arial" w:cs="Arial"/>
              </w:rPr>
            </w:pPr>
            <w:r w:rsidRPr="00590236">
              <w:rPr>
                <w:rFonts w:ascii="Arial" w:hAnsi="Arial" w:cs="Arial"/>
              </w:rPr>
              <w:t>High-seasonality models</w:t>
            </w:r>
          </w:p>
        </w:tc>
        <w:tc>
          <w:tcPr>
            <w:tcW w:w="1502" w:type="dxa"/>
          </w:tcPr>
          <w:p w14:paraId="545F6BFB"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0.8</w:t>
            </w:r>
          </w:p>
        </w:tc>
        <w:tc>
          <w:tcPr>
            <w:tcW w:w="1503" w:type="dxa"/>
          </w:tcPr>
          <w:p w14:paraId="6BBE6215"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-0.75</w:t>
            </w:r>
          </w:p>
        </w:tc>
        <w:tc>
          <w:tcPr>
            <w:tcW w:w="1503" w:type="dxa"/>
          </w:tcPr>
          <w:p w14:paraId="01C5C109" w14:textId="77777777" w:rsidR="0098260D" w:rsidRPr="00590236" w:rsidRDefault="0098260D" w:rsidP="00590236">
            <w:pPr>
              <w:spacing w:line="360" w:lineRule="auto"/>
              <w:jc w:val="both"/>
              <w:rPr>
                <w:rFonts w:ascii="Arial" w:hAnsi="Arial" w:cs="Arial"/>
              </w:rPr>
            </w:pPr>
            <w:r w:rsidRPr="00590236">
              <w:rPr>
                <w:rFonts w:ascii="Arial" w:hAnsi="Arial" w:cs="Arial"/>
              </w:rPr>
              <w:t>-0.32</w:t>
            </w:r>
          </w:p>
        </w:tc>
        <w:tc>
          <w:tcPr>
            <w:tcW w:w="1503" w:type="dxa"/>
          </w:tcPr>
          <w:p w14:paraId="1A8B1E0F"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-0.64</w:t>
            </w:r>
          </w:p>
        </w:tc>
        <w:tc>
          <w:tcPr>
            <w:tcW w:w="1503" w:type="dxa"/>
          </w:tcPr>
          <w:p w14:paraId="660CEA3C"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0.5</w:t>
            </w:r>
          </w:p>
        </w:tc>
      </w:tr>
      <w:tr w:rsidR="0098260D" w:rsidRPr="00590236" w14:paraId="20B9E31C" w14:textId="77777777" w:rsidTr="001B3233">
        <w:tc>
          <w:tcPr>
            <w:tcW w:w="1502" w:type="dxa"/>
          </w:tcPr>
          <w:p w14:paraId="70E0DCFE" w14:textId="77777777" w:rsidR="0098260D" w:rsidRPr="00590236" w:rsidRDefault="0098260D" w:rsidP="00590236">
            <w:pPr>
              <w:spacing w:line="360" w:lineRule="auto"/>
              <w:jc w:val="both"/>
              <w:rPr>
                <w:rFonts w:ascii="Arial" w:hAnsi="Arial" w:cs="Arial"/>
              </w:rPr>
            </w:pPr>
            <w:r w:rsidRPr="00590236">
              <w:rPr>
                <w:rFonts w:ascii="Arial" w:hAnsi="Arial" w:cs="Arial"/>
              </w:rPr>
              <w:t>Low-seasonality models</w:t>
            </w:r>
          </w:p>
        </w:tc>
        <w:tc>
          <w:tcPr>
            <w:tcW w:w="1502" w:type="dxa"/>
          </w:tcPr>
          <w:p w14:paraId="7D8AFB80" w14:textId="77777777" w:rsidR="0098260D" w:rsidRPr="00590236" w:rsidRDefault="0098260D" w:rsidP="00590236">
            <w:pPr>
              <w:spacing w:line="360" w:lineRule="auto"/>
              <w:jc w:val="both"/>
              <w:rPr>
                <w:rFonts w:ascii="Arial" w:hAnsi="Arial" w:cs="Arial"/>
              </w:rPr>
            </w:pPr>
            <w:r w:rsidRPr="00590236">
              <w:rPr>
                <w:rFonts w:ascii="Arial" w:hAnsi="Arial" w:cs="Arial"/>
              </w:rPr>
              <w:t>0.32</w:t>
            </w:r>
          </w:p>
        </w:tc>
        <w:tc>
          <w:tcPr>
            <w:tcW w:w="1503" w:type="dxa"/>
          </w:tcPr>
          <w:p w14:paraId="57DF47D2"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-0.43</w:t>
            </w:r>
          </w:p>
        </w:tc>
        <w:tc>
          <w:tcPr>
            <w:tcW w:w="1503" w:type="dxa"/>
          </w:tcPr>
          <w:p w14:paraId="2BD339E7" w14:textId="77777777" w:rsidR="0098260D" w:rsidRPr="00590236" w:rsidRDefault="0098260D" w:rsidP="00590236">
            <w:pPr>
              <w:spacing w:line="360" w:lineRule="auto"/>
              <w:jc w:val="both"/>
              <w:rPr>
                <w:rFonts w:ascii="Arial" w:hAnsi="Arial" w:cs="Arial"/>
              </w:rPr>
            </w:pPr>
            <w:r w:rsidRPr="00590236">
              <w:rPr>
                <w:rFonts w:ascii="Arial" w:hAnsi="Arial" w:cs="Arial"/>
              </w:rPr>
              <w:t>0.16</w:t>
            </w:r>
          </w:p>
        </w:tc>
        <w:tc>
          <w:tcPr>
            <w:tcW w:w="1503" w:type="dxa"/>
          </w:tcPr>
          <w:p w14:paraId="61611AFF" w14:textId="77777777" w:rsidR="0098260D" w:rsidRPr="00590236" w:rsidRDefault="0098260D" w:rsidP="00590236">
            <w:pPr>
              <w:spacing w:line="360" w:lineRule="auto"/>
              <w:jc w:val="both"/>
              <w:rPr>
                <w:rFonts w:ascii="Arial" w:hAnsi="Arial" w:cs="Arial"/>
              </w:rPr>
            </w:pPr>
            <w:r w:rsidRPr="00590236">
              <w:rPr>
                <w:rFonts w:ascii="Arial" w:hAnsi="Arial" w:cs="Arial"/>
              </w:rPr>
              <w:t>-0.07</w:t>
            </w:r>
          </w:p>
        </w:tc>
        <w:tc>
          <w:tcPr>
            <w:tcW w:w="1503" w:type="dxa"/>
          </w:tcPr>
          <w:p w14:paraId="65559ECC" w14:textId="77777777" w:rsidR="0098260D" w:rsidRPr="00590236" w:rsidRDefault="0098260D" w:rsidP="00590236">
            <w:pPr>
              <w:spacing w:line="360" w:lineRule="auto"/>
              <w:jc w:val="both"/>
              <w:rPr>
                <w:rFonts w:ascii="Arial" w:hAnsi="Arial" w:cs="Arial"/>
              </w:rPr>
            </w:pPr>
            <w:r w:rsidRPr="00590236">
              <w:rPr>
                <w:rFonts w:ascii="Arial" w:hAnsi="Arial" w:cs="Arial"/>
              </w:rPr>
              <w:t>-0.34</w:t>
            </w:r>
          </w:p>
        </w:tc>
      </w:tr>
      <w:tr w:rsidR="0098260D" w:rsidRPr="00590236" w14:paraId="6A7E12BA" w14:textId="77777777" w:rsidTr="001B3233">
        <w:tc>
          <w:tcPr>
            <w:tcW w:w="1502" w:type="dxa"/>
          </w:tcPr>
          <w:p w14:paraId="164A6B56" w14:textId="77777777" w:rsidR="0098260D" w:rsidRPr="00590236" w:rsidRDefault="0098260D" w:rsidP="00590236">
            <w:pPr>
              <w:spacing w:line="360" w:lineRule="auto"/>
              <w:jc w:val="both"/>
              <w:rPr>
                <w:rFonts w:ascii="Arial" w:hAnsi="Arial" w:cs="Arial"/>
              </w:rPr>
            </w:pPr>
            <w:r w:rsidRPr="00590236">
              <w:rPr>
                <w:rFonts w:ascii="Arial" w:hAnsi="Arial" w:cs="Arial"/>
              </w:rPr>
              <w:t>Negative-seasonality models</w:t>
            </w:r>
          </w:p>
        </w:tc>
        <w:tc>
          <w:tcPr>
            <w:tcW w:w="1502" w:type="dxa"/>
          </w:tcPr>
          <w:p w14:paraId="400484A1"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0.89</w:t>
            </w:r>
          </w:p>
        </w:tc>
        <w:tc>
          <w:tcPr>
            <w:tcW w:w="1503" w:type="dxa"/>
          </w:tcPr>
          <w:p w14:paraId="0860EBC9"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-0.97</w:t>
            </w:r>
          </w:p>
        </w:tc>
        <w:tc>
          <w:tcPr>
            <w:tcW w:w="1503" w:type="dxa"/>
          </w:tcPr>
          <w:p w14:paraId="09422297"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-0.82</w:t>
            </w:r>
          </w:p>
        </w:tc>
        <w:tc>
          <w:tcPr>
            <w:tcW w:w="1503" w:type="dxa"/>
          </w:tcPr>
          <w:p w14:paraId="4935A08B"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-0.96</w:t>
            </w:r>
          </w:p>
        </w:tc>
        <w:tc>
          <w:tcPr>
            <w:tcW w:w="1503" w:type="dxa"/>
          </w:tcPr>
          <w:p w14:paraId="295CDC59" w14:textId="77777777" w:rsidR="0098260D" w:rsidRPr="00590236" w:rsidRDefault="0098260D" w:rsidP="00590236">
            <w:pPr>
              <w:spacing w:line="360" w:lineRule="auto"/>
              <w:jc w:val="both"/>
              <w:rPr>
                <w:rFonts w:ascii="Arial" w:hAnsi="Arial" w:cs="Arial"/>
              </w:rPr>
            </w:pPr>
            <w:r w:rsidRPr="00590236">
              <w:rPr>
                <w:rFonts w:ascii="Arial" w:hAnsi="Arial" w:cs="Arial"/>
              </w:rPr>
              <w:t>-0.13</w:t>
            </w:r>
          </w:p>
        </w:tc>
      </w:tr>
    </w:tbl>
    <w:p w14:paraId="01A165F5" w14:textId="77777777" w:rsidR="0098260D" w:rsidRPr="00590236" w:rsidRDefault="0098260D" w:rsidP="00590236">
      <w:pPr>
        <w:spacing w:line="360" w:lineRule="auto"/>
        <w:jc w:val="both"/>
        <w:rPr>
          <w:rFonts w:ascii="Arial" w:hAnsi="Arial" w:cs="Arial"/>
        </w:rPr>
      </w:pPr>
    </w:p>
    <w:p w14:paraId="27D10933" w14:textId="1437B89A" w:rsidR="0098260D" w:rsidRPr="00590236" w:rsidRDefault="0098260D" w:rsidP="00590236">
      <w:pPr>
        <w:spacing w:line="360" w:lineRule="auto"/>
        <w:jc w:val="both"/>
        <w:rPr>
          <w:rFonts w:ascii="Arial" w:hAnsi="Arial" w:cs="Arial"/>
          <w:b/>
          <w:bCs/>
        </w:rPr>
      </w:pPr>
      <w:r w:rsidRPr="00590236">
        <w:rPr>
          <w:rFonts w:ascii="Arial" w:hAnsi="Arial" w:cs="Arial"/>
          <w:b/>
          <w:bCs/>
        </w:rPr>
        <w:t>Supplementary Table 4 | Cloud–shortwave relationships across models</w:t>
      </w:r>
    </w:p>
    <w:p w14:paraId="195AAEEA" w14:textId="63D51E37" w:rsidR="0098260D" w:rsidRPr="001969F6" w:rsidRDefault="0098260D" w:rsidP="001969F6">
      <w:pPr>
        <w:spacing w:line="276" w:lineRule="auto"/>
        <w:jc w:val="both"/>
        <w:rPr>
          <w:rFonts w:ascii="Arial" w:hAnsi="Arial" w:cs="Arial"/>
          <w:sz w:val="22"/>
          <w:szCs w:val="22"/>
        </w:rPr>
      </w:pPr>
      <w:r w:rsidRPr="001969F6">
        <w:rPr>
          <w:rFonts w:ascii="Arial" w:hAnsi="Arial" w:cs="Arial"/>
          <w:sz w:val="22"/>
          <w:szCs w:val="22"/>
        </w:rPr>
        <w:t>Correlation coefficient between shortwave radiation anomaly and cloud cover anomaly across models. Bold letters mark values significant at the 90% level.</w:t>
      </w:r>
    </w:p>
    <w:p w14:paraId="46F50DA1" w14:textId="77777777" w:rsidR="0098260D" w:rsidRPr="00590236" w:rsidRDefault="0098260D" w:rsidP="00590236">
      <w:pPr>
        <w:spacing w:line="360" w:lineRule="auto"/>
        <w:jc w:val="both"/>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98260D" w:rsidRPr="00590236" w14:paraId="33006FC4" w14:textId="77777777" w:rsidTr="001B3233">
        <w:tc>
          <w:tcPr>
            <w:tcW w:w="3005" w:type="dxa"/>
          </w:tcPr>
          <w:p w14:paraId="4218A7AD" w14:textId="77777777" w:rsidR="0098260D" w:rsidRPr="00590236" w:rsidRDefault="0098260D" w:rsidP="00590236">
            <w:pPr>
              <w:spacing w:line="360" w:lineRule="auto"/>
              <w:jc w:val="both"/>
              <w:rPr>
                <w:rFonts w:ascii="Arial" w:hAnsi="Arial" w:cs="Arial"/>
              </w:rPr>
            </w:pPr>
            <w:r w:rsidRPr="00590236">
              <w:rPr>
                <w:rFonts w:ascii="Arial" w:hAnsi="Arial" w:cs="Arial"/>
              </w:rPr>
              <w:t>High-seasonality models</w:t>
            </w:r>
          </w:p>
        </w:tc>
        <w:tc>
          <w:tcPr>
            <w:tcW w:w="3005" w:type="dxa"/>
          </w:tcPr>
          <w:p w14:paraId="46E57343" w14:textId="77777777" w:rsidR="0098260D" w:rsidRPr="00590236" w:rsidRDefault="0098260D" w:rsidP="00590236">
            <w:pPr>
              <w:spacing w:line="360" w:lineRule="auto"/>
              <w:jc w:val="both"/>
              <w:rPr>
                <w:rFonts w:ascii="Arial" w:hAnsi="Arial" w:cs="Arial"/>
              </w:rPr>
            </w:pPr>
            <w:r w:rsidRPr="00590236">
              <w:rPr>
                <w:rFonts w:ascii="Arial" w:hAnsi="Arial" w:cs="Arial"/>
              </w:rPr>
              <w:t>Low-seasonality models</w:t>
            </w:r>
          </w:p>
        </w:tc>
        <w:tc>
          <w:tcPr>
            <w:tcW w:w="3006" w:type="dxa"/>
          </w:tcPr>
          <w:p w14:paraId="6B839BE4" w14:textId="77777777" w:rsidR="0098260D" w:rsidRPr="00590236" w:rsidRDefault="0098260D" w:rsidP="00590236">
            <w:pPr>
              <w:spacing w:line="360" w:lineRule="auto"/>
              <w:jc w:val="both"/>
              <w:rPr>
                <w:rFonts w:ascii="Arial" w:hAnsi="Arial" w:cs="Arial"/>
              </w:rPr>
            </w:pPr>
            <w:r w:rsidRPr="00590236">
              <w:rPr>
                <w:rFonts w:ascii="Arial" w:hAnsi="Arial" w:cs="Arial"/>
              </w:rPr>
              <w:t>Negative-seasonality models</w:t>
            </w:r>
          </w:p>
        </w:tc>
      </w:tr>
      <w:tr w:rsidR="0098260D" w:rsidRPr="00590236" w14:paraId="74568627" w14:textId="77777777" w:rsidTr="001B3233">
        <w:tc>
          <w:tcPr>
            <w:tcW w:w="3005" w:type="dxa"/>
          </w:tcPr>
          <w:p w14:paraId="32CC8872"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-0.69</w:t>
            </w:r>
          </w:p>
        </w:tc>
        <w:tc>
          <w:tcPr>
            <w:tcW w:w="3005" w:type="dxa"/>
          </w:tcPr>
          <w:p w14:paraId="6B9B59E0"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-0.64</w:t>
            </w:r>
          </w:p>
        </w:tc>
        <w:tc>
          <w:tcPr>
            <w:tcW w:w="3006" w:type="dxa"/>
          </w:tcPr>
          <w:p w14:paraId="41D3C5C2" w14:textId="77777777" w:rsidR="0098260D" w:rsidRPr="00590236" w:rsidRDefault="0098260D" w:rsidP="00590236">
            <w:pPr>
              <w:spacing w:line="360" w:lineRule="auto"/>
              <w:jc w:val="both"/>
              <w:rPr>
                <w:rFonts w:ascii="Arial" w:hAnsi="Arial" w:cs="Arial"/>
                <w:b/>
                <w:bCs/>
              </w:rPr>
            </w:pPr>
            <w:r w:rsidRPr="00590236">
              <w:rPr>
                <w:rFonts w:ascii="Arial" w:hAnsi="Arial" w:cs="Arial"/>
                <w:b/>
                <w:bCs/>
              </w:rPr>
              <w:t>-0.58</w:t>
            </w:r>
          </w:p>
        </w:tc>
      </w:tr>
    </w:tbl>
    <w:p w14:paraId="5DF9B35D" w14:textId="77777777" w:rsidR="00D72F24" w:rsidRPr="00590236" w:rsidRDefault="00D72F24" w:rsidP="00590236">
      <w:pPr>
        <w:spacing w:line="360" w:lineRule="auto"/>
        <w:jc w:val="both"/>
        <w:rPr>
          <w:rFonts w:ascii="Arial" w:hAnsi="Arial" w:cs="Arial"/>
        </w:rPr>
      </w:pPr>
    </w:p>
    <w:p w14:paraId="36552759" w14:textId="77777777" w:rsidR="008F63E6" w:rsidRPr="00590236" w:rsidRDefault="008F63E6" w:rsidP="00590236">
      <w:pPr>
        <w:spacing w:line="360" w:lineRule="auto"/>
        <w:jc w:val="both"/>
        <w:rPr>
          <w:rFonts w:ascii="Arial" w:hAnsi="Arial" w:cs="Arial"/>
        </w:rPr>
      </w:pPr>
    </w:p>
    <w:p w14:paraId="2E6EF1A1" w14:textId="77777777" w:rsidR="001969F6" w:rsidRDefault="001969F6"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br w:type="page"/>
      </w:r>
    </w:p>
    <w:p w14:paraId="7BD35DF1" w14:textId="2BE5EAD7" w:rsidR="008F63E6" w:rsidRPr="00590236" w:rsidRDefault="008F63E6"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sidRPr="00590236">
        <w:rPr>
          <w:rFonts w:ascii="Arial" w:eastAsia="Times New Roman" w:hAnsi="Arial" w:cs="Arial"/>
          <w:b/>
          <w:bCs/>
          <w:kern w:val="0"/>
          <w:lang w:eastAsia="en-GB"/>
          <w14:ligatures w14:val="none"/>
        </w:rPr>
        <w:lastRenderedPageBreak/>
        <w:t xml:space="preserve">Supplementary Table </w:t>
      </w:r>
      <w:r w:rsidR="00235076" w:rsidRPr="00590236">
        <w:rPr>
          <w:rFonts w:ascii="Arial" w:eastAsia="Times New Roman" w:hAnsi="Arial" w:cs="Arial"/>
          <w:b/>
          <w:bCs/>
          <w:kern w:val="0"/>
          <w:lang w:eastAsia="en-GB"/>
          <w14:ligatures w14:val="none"/>
        </w:rPr>
        <w:t>5</w:t>
      </w:r>
      <w:r w:rsidRPr="00590236">
        <w:rPr>
          <w:rFonts w:ascii="Arial" w:eastAsia="Times New Roman" w:hAnsi="Arial" w:cs="Arial"/>
          <w:b/>
          <w:bCs/>
          <w:kern w:val="0"/>
          <w:lang w:eastAsia="en-GB"/>
          <w14:ligatures w14:val="none"/>
        </w:rPr>
        <w:t xml:space="preserve"> | Peak lag of the tropical AMV response to extratropical variability in CMIP6 models</w:t>
      </w:r>
    </w:p>
    <w:p w14:paraId="76C7D3DE" w14:textId="77777777" w:rsidR="008F63E6" w:rsidRPr="001969F6" w:rsidRDefault="008F63E6" w:rsidP="001969F6">
      <w:pPr>
        <w:spacing w:before="100" w:beforeAutospacing="1" w:after="100" w:afterAutospacing="1" w:line="276" w:lineRule="auto"/>
        <w:jc w:val="both"/>
        <w:rPr>
          <w:rFonts w:ascii="Arial" w:eastAsia="Times New Roman" w:hAnsi="Arial" w:cs="Arial"/>
          <w:kern w:val="0"/>
          <w:sz w:val="22"/>
          <w:szCs w:val="22"/>
          <w:lang w:eastAsia="en-GB"/>
          <w14:ligatures w14:val="none"/>
        </w:rPr>
      </w:pPr>
      <w:r w:rsidRPr="001969F6">
        <w:rPr>
          <w:rFonts w:ascii="Arial" w:eastAsia="Times New Roman" w:hAnsi="Arial" w:cs="Arial"/>
          <w:kern w:val="0"/>
          <w:sz w:val="22"/>
          <w:szCs w:val="22"/>
          <w:lang w:eastAsia="en-GB"/>
          <w14:ligatures w14:val="none"/>
        </w:rPr>
        <w:t xml:space="preserve">The table lists the lag (in years) at which the maximum tropical AMV response is identified for each CMIP6 model, based on the lead-lag correlation between the extratropical AMV index and tropical SST anomalies (see Results). </w:t>
      </w:r>
      <w:r w:rsidRPr="001969F6">
        <w:rPr>
          <w:rFonts w:ascii="Arial" w:hAnsi="Arial" w:cs="Arial"/>
          <w:sz w:val="22"/>
          <w:szCs w:val="22"/>
        </w:rPr>
        <w:t>Positive values indicate that the tropical AMV lags the extratropical AMV, while negative values indicate that it leads.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7"/>
        <w:gridCol w:w="1323"/>
        <w:gridCol w:w="1766"/>
        <w:gridCol w:w="1322"/>
        <w:gridCol w:w="1491"/>
        <w:gridCol w:w="1337"/>
      </w:tblGrid>
      <w:tr w:rsidR="00AF0DCC" w:rsidRPr="00AF0DCC" w14:paraId="7D550B30" w14:textId="77777777" w:rsidTr="003874AE">
        <w:trPr>
          <w:tblHeader/>
          <w:tblCellSpacing w:w="15" w:type="dxa"/>
        </w:trPr>
        <w:tc>
          <w:tcPr>
            <w:tcW w:w="0" w:type="auto"/>
            <w:vAlign w:val="center"/>
            <w:hideMark/>
          </w:tcPr>
          <w:p w14:paraId="465C18D9" w14:textId="77777777" w:rsidR="00AF0DCC" w:rsidRPr="00AF0DCC" w:rsidRDefault="00AF0DCC" w:rsidP="00AF0DCC">
            <w:pPr>
              <w:spacing w:line="360" w:lineRule="auto"/>
              <w:jc w:val="both"/>
              <w:rPr>
                <w:rFonts w:ascii="Arial" w:hAnsi="Arial" w:cs="Arial"/>
                <w:b/>
                <w:bCs/>
              </w:rPr>
            </w:pPr>
            <w:r w:rsidRPr="00AF0DCC">
              <w:rPr>
                <w:rFonts w:ascii="Arial" w:hAnsi="Arial" w:cs="Arial"/>
                <w:b/>
                <w:bCs/>
              </w:rPr>
              <w:t>CMIP6 Model</w:t>
            </w:r>
          </w:p>
        </w:tc>
        <w:tc>
          <w:tcPr>
            <w:tcW w:w="0" w:type="auto"/>
            <w:vAlign w:val="center"/>
            <w:hideMark/>
          </w:tcPr>
          <w:p w14:paraId="5632104D" w14:textId="77777777" w:rsidR="00AF0DCC" w:rsidRPr="00AF0DCC" w:rsidRDefault="00AF0DCC" w:rsidP="003874AE">
            <w:pPr>
              <w:spacing w:line="360" w:lineRule="auto"/>
              <w:rPr>
                <w:rFonts w:ascii="Arial" w:hAnsi="Arial" w:cs="Arial"/>
                <w:b/>
                <w:bCs/>
              </w:rPr>
            </w:pPr>
            <w:r w:rsidRPr="00AF0DCC">
              <w:rPr>
                <w:rFonts w:ascii="Arial" w:hAnsi="Arial" w:cs="Arial"/>
                <w:b/>
                <w:bCs/>
              </w:rPr>
              <w:t>Peak lag (years)</w:t>
            </w:r>
          </w:p>
        </w:tc>
        <w:tc>
          <w:tcPr>
            <w:tcW w:w="0" w:type="auto"/>
            <w:vAlign w:val="center"/>
            <w:hideMark/>
          </w:tcPr>
          <w:p w14:paraId="59A84126" w14:textId="77777777" w:rsidR="00AF0DCC" w:rsidRPr="00AF0DCC" w:rsidRDefault="00AF0DCC" w:rsidP="00AF0DCC">
            <w:pPr>
              <w:spacing w:line="360" w:lineRule="auto"/>
              <w:jc w:val="both"/>
              <w:rPr>
                <w:rFonts w:ascii="Arial" w:hAnsi="Arial" w:cs="Arial"/>
                <w:b/>
                <w:bCs/>
              </w:rPr>
            </w:pPr>
            <w:r w:rsidRPr="00AF0DCC">
              <w:rPr>
                <w:rFonts w:ascii="Arial" w:hAnsi="Arial" w:cs="Arial"/>
                <w:b/>
                <w:bCs/>
              </w:rPr>
              <w:t>CMIP6 Model</w:t>
            </w:r>
          </w:p>
        </w:tc>
        <w:tc>
          <w:tcPr>
            <w:tcW w:w="0" w:type="auto"/>
            <w:vAlign w:val="center"/>
            <w:hideMark/>
          </w:tcPr>
          <w:p w14:paraId="26D82D37" w14:textId="77777777" w:rsidR="00AF0DCC" w:rsidRPr="00AF0DCC" w:rsidRDefault="00AF0DCC" w:rsidP="003874AE">
            <w:pPr>
              <w:spacing w:line="360" w:lineRule="auto"/>
              <w:rPr>
                <w:rFonts w:ascii="Arial" w:hAnsi="Arial" w:cs="Arial"/>
                <w:b/>
                <w:bCs/>
              </w:rPr>
            </w:pPr>
            <w:r w:rsidRPr="00AF0DCC">
              <w:rPr>
                <w:rFonts w:ascii="Arial" w:hAnsi="Arial" w:cs="Arial"/>
                <w:b/>
                <w:bCs/>
              </w:rPr>
              <w:t>Peak lag (years)</w:t>
            </w:r>
          </w:p>
        </w:tc>
        <w:tc>
          <w:tcPr>
            <w:tcW w:w="0" w:type="auto"/>
            <w:vAlign w:val="center"/>
            <w:hideMark/>
          </w:tcPr>
          <w:p w14:paraId="4E4B6BB9" w14:textId="77777777" w:rsidR="00AF0DCC" w:rsidRPr="00AF0DCC" w:rsidRDefault="00AF0DCC" w:rsidP="00AF0DCC">
            <w:pPr>
              <w:spacing w:line="360" w:lineRule="auto"/>
              <w:jc w:val="both"/>
              <w:rPr>
                <w:rFonts w:ascii="Arial" w:hAnsi="Arial" w:cs="Arial"/>
                <w:b/>
                <w:bCs/>
              </w:rPr>
            </w:pPr>
            <w:r w:rsidRPr="00AF0DCC">
              <w:rPr>
                <w:rFonts w:ascii="Arial" w:hAnsi="Arial" w:cs="Arial"/>
                <w:b/>
                <w:bCs/>
              </w:rPr>
              <w:t>CMIP6 Model</w:t>
            </w:r>
          </w:p>
        </w:tc>
        <w:tc>
          <w:tcPr>
            <w:tcW w:w="0" w:type="auto"/>
            <w:vAlign w:val="center"/>
            <w:hideMark/>
          </w:tcPr>
          <w:p w14:paraId="3E7082C1" w14:textId="77777777" w:rsidR="00AF0DCC" w:rsidRPr="00AF0DCC" w:rsidRDefault="00AF0DCC" w:rsidP="003874AE">
            <w:pPr>
              <w:spacing w:line="360" w:lineRule="auto"/>
              <w:rPr>
                <w:rFonts w:ascii="Arial" w:hAnsi="Arial" w:cs="Arial"/>
                <w:b/>
                <w:bCs/>
              </w:rPr>
            </w:pPr>
            <w:r w:rsidRPr="00AF0DCC">
              <w:rPr>
                <w:rFonts w:ascii="Arial" w:hAnsi="Arial" w:cs="Arial"/>
                <w:b/>
                <w:bCs/>
              </w:rPr>
              <w:t>Peak lag (years)</w:t>
            </w:r>
          </w:p>
        </w:tc>
      </w:tr>
      <w:tr w:rsidR="00AF0DCC" w:rsidRPr="00AF0DCC" w14:paraId="6614CAE3" w14:textId="77777777" w:rsidTr="003874AE">
        <w:trPr>
          <w:tblCellSpacing w:w="15" w:type="dxa"/>
        </w:trPr>
        <w:tc>
          <w:tcPr>
            <w:tcW w:w="0" w:type="auto"/>
            <w:vAlign w:val="center"/>
            <w:hideMark/>
          </w:tcPr>
          <w:p w14:paraId="429B31EA" w14:textId="77777777" w:rsidR="00AF0DCC" w:rsidRPr="00AF0DCC" w:rsidRDefault="00AF0DCC" w:rsidP="00AF0DCC">
            <w:pPr>
              <w:spacing w:line="360" w:lineRule="auto"/>
              <w:jc w:val="both"/>
              <w:rPr>
                <w:rFonts w:ascii="Arial" w:hAnsi="Arial" w:cs="Arial"/>
              </w:rPr>
            </w:pPr>
            <w:r w:rsidRPr="00AF0DCC">
              <w:rPr>
                <w:rFonts w:ascii="Arial" w:hAnsi="Arial" w:cs="Arial"/>
              </w:rPr>
              <w:t>ACCESS-CM2</w:t>
            </w:r>
          </w:p>
        </w:tc>
        <w:tc>
          <w:tcPr>
            <w:tcW w:w="0" w:type="auto"/>
            <w:vAlign w:val="center"/>
            <w:hideMark/>
          </w:tcPr>
          <w:p w14:paraId="56D6B30D" w14:textId="77777777" w:rsidR="00AF0DCC" w:rsidRPr="00AF0DCC" w:rsidRDefault="00AF0DCC" w:rsidP="003874AE">
            <w:pPr>
              <w:spacing w:line="360" w:lineRule="auto"/>
              <w:rPr>
                <w:rFonts w:ascii="Arial" w:hAnsi="Arial" w:cs="Arial"/>
              </w:rPr>
            </w:pPr>
            <w:r w:rsidRPr="00AF0DCC">
              <w:rPr>
                <w:rFonts w:ascii="Arial" w:hAnsi="Arial" w:cs="Arial"/>
              </w:rPr>
              <w:t>0</w:t>
            </w:r>
          </w:p>
        </w:tc>
        <w:tc>
          <w:tcPr>
            <w:tcW w:w="0" w:type="auto"/>
            <w:vAlign w:val="center"/>
            <w:hideMark/>
          </w:tcPr>
          <w:p w14:paraId="059FD9C9" w14:textId="77777777" w:rsidR="00AF0DCC" w:rsidRPr="00AF0DCC" w:rsidRDefault="00AF0DCC" w:rsidP="00AF0DCC">
            <w:pPr>
              <w:spacing w:line="360" w:lineRule="auto"/>
              <w:jc w:val="both"/>
              <w:rPr>
                <w:rFonts w:ascii="Arial" w:hAnsi="Arial" w:cs="Arial"/>
              </w:rPr>
            </w:pPr>
            <w:r w:rsidRPr="00AF0DCC">
              <w:rPr>
                <w:rFonts w:ascii="Arial" w:hAnsi="Arial" w:cs="Arial"/>
              </w:rPr>
              <w:t>EC-Earth3-CC</w:t>
            </w:r>
          </w:p>
        </w:tc>
        <w:tc>
          <w:tcPr>
            <w:tcW w:w="0" w:type="auto"/>
            <w:vAlign w:val="center"/>
            <w:hideMark/>
          </w:tcPr>
          <w:p w14:paraId="6072A240"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28C74DDD" w14:textId="77777777" w:rsidR="00AF0DCC" w:rsidRPr="00AF0DCC" w:rsidRDefault="00AF0DCC" w:rsidP="00AF0DCC">
            <w:pPr>
              <w:spacing w:line="360" w:lineRule="auto"/>
              <w:jc w:val="both"/>
              <w:rPr>
                <w:rFonts w:ascii="Arial" w:hAnsi="Arial" w:cs="Arial"/>
              </w:rPr>
            </w:pPr>
            <w:r w:rsidRPr="00AF0DCC">
              <w:rPr>
                <w:rFonts w:ascii="Arial" w:hAnsi="Arial" w:cs="Arial"/>
              </w:rPr>
              <w:t>MPI-ESM1-2-HR</w:t>
            </w:r>
          </w:p>
        </w:tc>
        <w:tc>
          <w:tcPr>
            <w:tcW w:w="0" w:type="auto"/>
            <w:vAlign w:val="center"/>
            <w:hideMark/>
          </w:tcPr>
          <w:p w14:paraId="0102DE3F" w14:textId="77777777" w:rsidR="00AF0DCC" w:rsidRPr="00AF0DCC" w:rsidRDefault="00AF0DCC" w:rsidP="00AF0DCC">
            <w:pPr>
              <w:spacing w:line="360" w:lineRule="auto"/>
              <w:jc w:val="both"/>
              <w:rPr>
                <w:rFonts w:ascii="Arial" w:hAnsi="Arial" w:cs="Arial"/>
              </w:rPr>
            </w:pPr>
            <w:r w:rsidRPr="00AF0DCC">
              <w:rPr>
                <w:rFonts w:ascii="Arial" w:hAnsi="Arial" w:cs="Arial"/>
              </w:rPr>
              <w:t>1</w:t>
            </w:r>
          </w:p>
        </w:tc>
      </w:tr>
      <w:tr w:rsidR="00AF0DCC" w:rsidRPr="00AF0DCC" w14:paraId="0A23312F" w14:textId="77777777" w:rsidTr="003874AE">
        <w:trPr>
          <w:tblCellSpacing w:w="15" w:type="dxa"/>
        </w:trPr>
        <w:tc>
          <w:tcPr>
            <w:tcW w:w="0" w:type="auto"/>
            <w:vAlign w:val="center"/>
            <w:hideMark/>
          </w:tcPr>
          <w:p w14:paraId="46B8428E" w14:textId="77777777" w:rsidR="00AF0DCC" w:rsidRPr="00AF0DCC" w:rsidRDefault="00AF0DCC" w:rsidP="00AF0DCC">
            <w:pPr>
              <w:spacing w:line="360" w:lineRule="auto"/>
              <w:jc w:val="both"/>
              <w:rPr>
                <w:rFonts w:ascii="Arial" w:hAnsi="Arial" w:cs="Arial"/>
              </w:rPr>
            </w:pPr>
            <w:r w:rsidRPr="00AF0DCC">
              <w:rPr>
                <w:rFonts w:ascii="Arial" w:hAnsi="Arial" w:cs="Arial"/>
              </w:rPr>
              <w:t>ACCESS-ESM1-5</w:t>
            </w:r>
          </w:p>
        </w:tc>
        <w:tc>
          <w:tcPr>
            <w:tcW w:w="0" w:type="auto"/>
            <w:vAlign w:val="center"/>
            <w:hideMark/>
          </w:tcPr>
          <w:p w14:paraId="25DE0998" w14:textId="77777777" w:rsidR="00AF0DCC" w:rsidRPr="00AF0DCC" w:rsidRDefault="00AF0DCC" w:rsidP="003874AE">
            <w:pPr>
              <w:spacing w:line="360" w:lineRule="auto"/>
              <w:rPr>
                <w:rFonts w:ascii="Arial" w:hAnsi="Arial" w:cs="Arial"/>
              </w:rPr>
            </w:pPr>
            <w:r w:rsidRPr="00AF0DCC">
              <w:rPr>
                <w:rFonts w:ascii="Arial" w:hAnsi="Arial" w:cs="Arial"/>
              </w:rPr>
              <w:t>0</w:t>
            </w:r>
          </w:p>
        </w:tc>
        <w:tc>
          <w:tcPr>
            <w:tcW w:w="0" w:type="auto"/>
            <w:vAlign w:val="center"/>
            <w:hideMark/>
          </w:tcPr>
          <w:p w14:paraId="5222D50C" w14:textId="77777777" w:rsidR="00AF0DCC" w:rsidRPr="00AF0DCC" w:rsidRDefault="00AF0DCC" w:rsidP="00AF0DCC">
            <w:pPr>
              <w:spacing w:line="360" w:lineRule="auto"/>
              <w:jc w:val="both"/>
              <w:rPr>
                <w:rFonts w:ascii="Arial" w:hAnsi="Arial" w:cs="Arial"/>
              </w:rPr>
            </w:pPr>
            <w:r w:rsidRPr="00AF0DCC">
              <w:rPr>
                <w:rFonts w:ascii="Arial" w:hAnsi="Arial" w:cs="Arial"/>
              </w:rPr>
              <w:t>EC-Earth3-Veg-LR</w:t>
            </w:r>
          </w:p>
        </w:tc>
        <w:tc>
          <w:tcPr>
            <w:tcW w:w="0" w:type="auto"/>
            <w:vAlign w:val="center"/>
            <w:hideMark/>
          </w:tcPr>
          <w:p w14:paraId="1D541C7B"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3ED55C79" w14:textId="77777777" w:rsidR="00AF0DCC" w:rsidRPr="00AF0DCC" w:rsidRDefault="00AF0DCC" w:rsidP="00AF0DCC">
            <w:pPr>
              <w:spacing w:line="360" w:lineRule="auto"/>
              <w:jc w:val="both"/>
              <w:rPr>
                <w:rFonts w:ascii="Arial" w:hAnsi="Arial" w:cs="Arial"/>
              </w:rPr>
            </w:pPr>
            <w:r w:rsidRPr="00AF0DCC">
              <w:rPr>
                <w:rFonts w:ascii="Arial" w:hAnsi="Arial" w:cs="Arial"/>
              </w:rPr>
              <w:t>MPI-ESM1-2-LR</w:t>
            </w:r>
          </w:p>
        </w:tc>
        <w:tc>
          <w:tcPr>
            <w:tcW w:w="0" w:type="auto"/>
            <w:vAlign w:val="center"/>
            <w:hideMark/>
          </w:tcPr>
          <w:p w14:paraId="1A4953DE" w14:textId="77777777" w:rsidR="00AF0DCC" w:rsidRPr="00AF0DCC" w:rsidRDefault="00AF0DCC" w:rsidP="00AF0DCC">
            <w:pPr>
              <w:spacing w:line="360" w:lineRule="auto"/>
              <w:jc w:val="both"/>
              <w:rPr>
                <w:rFonts w:ascii="Arial" w:hAnsi="Arial" w:cs="Arial"/>
              </w:rPr>
            </w:pPr>
            <w:r w:rsidRPr="00AF0DCC">
              <w:rPr>
                <w:rFonts w:ascii="Arial" w:hAnsi="Arial" w:cs="Arial"/>
              </w:rPr>
              <w:t>3</w:t>
            </w:r>
          </w:p>
        </w:tc>
      </w:tr>
      <w:tr w:rsidR="00AF0DCC" w:rsidRPr="00AF0DCC" w14:paraId="53B293D2" w14:textId="77777777" w:rsidTr="003874AE">
        <w:trPr>
          <w:tblCellSpacing w:w="15" w:type="dxa"/>
        </w:trPr>
        <w:tc>
          <w:tcPr>
            <w:tcW w:w="0" w:type="auto"/>
            <w:vAlign w:val="center"/>
            <w:hideMark/>
          </w:tcPr>
          <w:p w14:paraId="0322A122" w14:textId="77777777" w:rsidR="00AF0DCC" w:rsidRPr="00AF0DCC" w:rsidRDefault="00AF0DCC" w:rsidP="00AF0DCC">
            <w:pPr>
              <w:spacing w:line="360" w:lineRule="auto"/>
              <w:jc w:val="both"/>
              <w:rPr>
                <w:rFonts w:ascii="Arial" w:hAnsi="Arial" w:cs="Arial"/>
              </w:rPr>
            </w:pPr>
            <w:r w:rsidRPr="00AF0DCC">
              <w:rPr>
                <w:rFonts w:ascii="Arial" w:hAnsi="Arial" w:cs="Arial"/>
              </w:rPr>
              <w:t>AWI-CM-1-1-MR</w:t>
            </w:r>
          </w:p>
        </w:tc>
        <w:tc>
          <w:tcPr>
            <w:tcW w:w="0" w:type="auto"/>
            <w:vAlign w:val="center"/>
            <w:hideMark/>
          </w:tcPr>
          <w:p w14:paraId="628C4CA6" w14:textId="77777777" w:rsidR="00AF0DCC" w:rsidRPr="00AF0DCC" w:rsidRDefault="00AF0DCC" w:rsidP="003874AE">
            <w:pPr>
              <w:spacing w:line="360" w:lineRule="auto"/>
              <w:rPr>
                <w:rFonts w:ascii="Arial" w:hAnsi="Arial" w:cs="Arial"/>
              </w:rPr>
            </w:pPr>
            <w:r w:rsidRPr="00AF0DCC">
              <w:rPr>
                <w:rFonts w:ascii="Arial" w:hAnsi="Arial" w:cs="Arial"/>
              </w:rPr>
              <w:t>2</w:t>
            </w:r>
          </w:p>
        </w:tc>
        <w:tc>
          <w:tcPr>
            <w:tcW w:w="0" w:type="auto"/>
            <w:vAlign w:val="center"/>
            <w:hideMark/>
          </w:tcPr>
          <w:p w14:paraId="3B655818" w14:textId="77777777" w:rsidR="00AF0DCC" w:rsidRPr="00AF0DCC" w:rsidRDefault="00AF0DCC" w:rsidP="00AF0DCC">
            <w:pPr>
              <w:spacing w:line="360" w:lineRule="auto"/>
              <w:jc w:val="both"/>
              <w:rPr>
                <w:rFonts w:ascii="Arial" w:hAnsi="Arial" w:cs="Arial"/>
              </w:rPr>
            </w:pPr>
            <w:r w:rsidRPr="00AF0DCC">
              <w:rPr>
                <w:rFonts w:ascii="Arial" w:hAnsi="Arial" w:cs="Arial"/>
              </w:rPr>
              <w:t>FGOALS-f3-L</w:t>
            </w:r>
          </w:p>
        </w:tc>
        <w:tc>
          <w:tcPr>
            <w:tcW w:w="0" w:type="auto"/>
            <w:vAlign w:val="center"/>
            <w:hideMark/>
          </w:tcPr>
          <w:p w14:paraId="39F16EC1" w14:textId="77777777" w:rsidR="00AF0DCC" w:rsidRPr="00AF0DCC" w:rsidRDefault="00AF0DCC" w:rsidP="00AF0DCC">
            <w:pPr>
              <w:spacing w:line="360" w:lineRule="auto"/>
              <w:jc w:val="both"/>
              <w:rPr>
                <w:rFonts w:ascii="Arial" w:hAnsi="Arial" w:cs="Arial"/>
              </w:rPr>
            </w:pPr>
            <w:r w:rsidRPr="00AF0DCC">
              <w:rPr>
                <w:rFonts w:ascii="Arial" w:hAnsi="Arial" w:cs="Arial"/>
              </w:rPr>
              <w:t>0</w:t>
            </w:r>
          </w:p>
        </w:tc>
        <w:tc>
          <w:tcPr>
            <w:tcW w:w="0" w:type="auto"/>
            <w:vAlign w:val="center"/>
            <w:hideMark/>
          </w:tcPr>
          <w:p w14:paraId="7E32BA60" w14:textId="77777777" w:rsidR="00AF0DCC" w:rsidRPr="00AF0DCC" w:rsidRDefault="00AF0DCC" w:rsidP="00AF0DCC">
            <w:pPr>
              <w:spacing w:line="360" w:lineRule="auto"/>
              <w:jc w:val="both"/>
              <w:rPr>
                <w:rFonts w:ascii="Arial" w:hAnsi="Arial" w:cs="Arial"/>
              </w:rPr>
            </w:pPr>
            <w:r w:rsidRPr="00AF0DCC">
              <w:rPr>
                <w:rFonts w:ascii="Arial" w:hAnsi="Arial" w:cs="Arial"/>
              </w:rPr>
              <w:t>MRI-ESM2-0</w:t>
            </w:r>
          </w:p>
        </w:tc>
        <w:tc>
          <w:tcPr>
            <w:tcW w:w="0" w:type="auto"/>
            <w:vAlign w:val="center"/>
            <w:hideMark/>
          </w:tcPr>
          <w:p w14:paraId="7B24F406" w14:textId="77777777" w:rsidR="00AF0DCC" w:rsidRPr="00AF0DCC" w:rsidRDefault="00AF0DCC" w:rsidP="00AF0DCC">
            <w:pPr>
              <w:spacing w:line="360" w:lineRule="auto"/>
              <w:jc w:val="both"/>
              <w:rPr>
                <w:rFonts w:ascii="Arial" w:hAnsi="Arial" w:cs="Arial"/>
              </w:rPr>
            </w:pPr>
            <w:r w:rsidRPr="00AF0DCC">
              <w:rPr>
                <w:rFonts w:ascii="Arial" w:hAnsi="Arial" w:cs="Arial"/>
              </w:rPr>
              <w:t>4</w:t>
            </w:r>
          </w:p>
        </w:tc>
      </w:tr>
      <w:tr w:rsidR="00AF0DCC" w:rsidRPr="00AF0DCC" w14:paraId="2015A1EA" w14:textId="77777777" w:rsidTr="003874AE">
        <w:trPr>
          <w:tblCellSpacing w:w="15" w:type="dxa"/>
        </w:trPr>
        <w:tc>
          <w:tcPr>
            <w:tcW w:w="0" w:type="auto"/>
            <w:vAlign w:val="center"/>
            <w:hideMark/>
          </w:tcPr>
          <w:p w14:paraId="04DDD30F" w14:textId="77777777" w:rsidR="00AF0DCC" w:rsidRPr="00AF0DCC" w:rsidRDefault="00AF0DCC" w:rsidP="00AF0DCC">
            <w:pPr>
              <w:spacing w:line="360" w:lineRule="auto"/>
              <w:jc w:val="both"/>
              <w:rPr>
                <w:rFonts w:ascii="Arial" w:hAnsi="Arial" w:cs="Arial"/>
              </w:rPr>
            </w:pPr>
            <w:r w:rsidRPr="00AF0DCC">
              <w:rPr>
                <w:rFonts w:ascii="Arial" w:hAnsi="Arial" w:cs="Arial"/>
              </w:rPr>
              <w:t>BCC-CSM2-MR</w:t>
            </w:r>
          </w:p>
        </w:tc>
        <w:tc>
          <w:tcPr>
            <w:tcW w:w="0" w:type="auto"/>
            <w:vAlign w:val="center"/>
            <w:hideMark/>
          </w:tcPr>
          <w:p w14:paraId="4CF68BEA" w14:textId="77777777" w:rsidR="00AF0DCC" w:rsidRPr="00AF0DCC" w:rsidRDefault="00AF0DCC" w:rsidP="003874AE">
            <w:pPr>
              <w:spacing w:line="360" w:lineRule="auto"/>
              <w:rPr>
                <w:rFonts w:ascii="Arial" w:hAnsi="Arial" w:cs="Arial"/>
              </w:rPr>
            </w:pPr>
            <w:r w:rsidRPr="00AF0DCC">
              <w:rPr>
                <w:rFonts w:ascii="Arial" w:hAnsi="Arial" w:cs="Arial"/>
              </w:rPr>
              <w:t>2</w:t>
            </w:r>
          </w:p>
        </w:tc>
        <w:tc>
          <w:tcPr>
            <w:tcW w:w="0" w:type="auto"/>
            <w:vAlign w:val="center"/>
            <w:hideMark/>
          </w:tcPr>
          <w:p w14:paraId="296262F5" w14:textId="77777777" w:rsidR="00AF0DCC" w:rsidRPr="00AF0DCC" w:rsidRDefault="00AF0DCC" w:rsidP="00AF0DCC">
            <w:pPr>
              <w:spacing w:line="360" w:lineRule="auto"/>
              <w:jc w:val="both"/>
              <w:rPr>
                <w:rFonts w:ascii="Arial" w:hAnsi="Arial" w:cs="Arial"/>
              </w:rPr>
            </w:pPr>
            <w:r w:rsidRPr="00AF0DCC">
              <w:rPr>
                <w:rFonts w:ascii="Arial" w:hAnsi="Arial" w:cs="Arial"/>
              </w:rPr>
              <w:t>FGOALS-g3</w:t>
            </w:r>
          </w:p>
        </w:tc>
        <w:tc>
          <w:tcPr>
            <w:tcW w:w="0" w:type="auto"/>
            <w:vAlign w:val="center"/>
            <w:hideMark/>
          </w:tcPr>
          <w:p w14:paraId="3E7B0767" w14:textId="77777777" w:rsidR="00AF0DCC" w:rsidRPr="00AF0DCC" w:rsidRDefault="00AF0DCC" w:rsidP="00AF0DCC">
            <w:pPr>
              <w:spacing w:line="360" w:lineRule="auto"/>
              <w:jc w:val="both"/>
              <w:rPr>
                <w:rFonts w:ascii="Arial" w:hAnsi="Arial" w:cs="Arial"/>
              </w:rPr>
            </w:pPr>
            <w:r w:rsidRPr="00AF0DCC">
              <w:rPr>
                <w:rFonts w:ascii="Arial" w:hAnsi="Arial" w:cs="Arial"/>
              </w:rPr>
              <w:t>1</w:t>
            </w:r>
          </w:p>
        </w:tc>
        <w:tc>
          <w:tcPr>
            <w:tcW w:w="0" w:type="auto"/>
            <w:vAlign w:val="center"/>
            <w:hideMark/>
          </w:tcPr>
          <w:p w14:paraId="10D7CF51" w14:textId="77777777" w:rsidR="00AF0DCC" w:rsidRPr="00AF0DCC" w:rsidRDefault="00AF0DCC" w:rsidP="00AF0DCC">
            <w:pPr>
              <w:spacing w:line="360" w:lineRule="auto"/>
              <w:jc w:val="both"/>
              <w:rPr>
                <w:rFonts w:ascii="Arial" w:hAnsi="Arial" w:cs="Arial"/>
              </w:rPr>
            </w:pPr>
            <w:r w:rsidRPr="00AF0DCC">
              <w:rPr>
                <w:rFonts w:ascii="Arial" w:hAnsi="Arial" w:cs="Arial"/>
              </w:rPr>
              <w:t>NorCPM1</w:t>
            </w:r>
          </w:p>
        </w:tc>
        <w:tc>
          <w:tcPr>
            <w:tcW w:w="0" w:type="auto"/>
            <w:vAlign w:val="center"/>
            <w:hideMark/>
          </w:tcPr>
          <w:p w14:paraId="4239022F"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r>
      <w:tr w:rsidR="00AF0DCC" w:rsidRPr="00AF0DCC" w14:paraId="57D448E5" w14:textId="77777777" w:rsidTr="003874AE">
        <w:trPr>
          <w:tblCellSpacing w:w="15" w:type="dxa"/>
        </w:trPr>
        <w:tc>
          <w:tcPr>
            <w:tcW w:w="0" w:type="auto"/>
            <w:vAlign w:val="center"/>
            <w:hideMark/>
          </w:tcPr>
          <w:p w14:paraId="78F14381" w14:textId="77777777" w:rsidR="00AF0DCC" w:rsidRPr="00AF0DCC" w:rsidRDefault="00AF0DCC" w:rsidP="00AF0DCC">
            <w:pPr>
              <w:spacing w:line="360" w:lineRule="auto"/>
              <w:jc w:val="both"/>
              <w:rPr>
                <w:rFonts w:ascii="Arial" w:hAnsi="Arial" w:cs="Arial"/>
              </w:rPr>
            </w:pPr>
            <w:r w:rsidRPr="00AF0DCC">
              <w:rPr>
                <w:rFonts w:ascii="Arial" w:hAnsi="Arial" w:cs="Arial"/>
              </w:rPr>
              <w:t>CESM2</w:t>
            </w:r>
          </w:p>
        </w:tc>
        <w:tc>
          <w:tcPr>
            <w:tcW w:w="0" w:type="auto"/>
            <w:vAlign w:val="center"/>
            <w:hideMark/>
          </w:tcPr>
          <w:p w14:paraId="5AB7A03A" w14:textId="77777777" w:rsidR="00AF0DCC" w:rsidRPr="00AF0DCC" w:rsidRDefault="00AF0DCC" w:rsidP="003874AE">
            <w:pPr>
              <w:spacing w:line="360" w:lineRule="auto"/>
              <w:rPr>
                <w:rFonts w:ascii="Arial" w:hAnsi="Arial" w:cs="Arial"/>
              </w:rPr>
            </w:pPr>
            <w:r w:rsidRPr="00AF0DCC">
              <w:rPr>
                <w:rFonts w:ascii="Arial" w:hAnsi="Arial" w:cs="Arial"/>
              </w:rPr>
              <w:t>1</w:t>
            </w:r>
          </w:p>
        </w:tc>
        <w:tc>
          <w:tcPr>
            <w:tcW w:w="0" w:type="auto"/>
            <w:vAlign w:val="center"/>
            <w:hideMark/>
          </w:tcPr>
          <w:p w14:paraId="518AAE5B" w14:textId="77777777" w:rsidR="00AF0DCC" w:rsidRPr="00AF0DCC" w:rsidRDefault="00AF0DCC" w:rsidP="00AF0DCC">
            <w:pPr>
              <w:spacing w:line="360" w:lineRule="auto"/>
              <w:jc w:val="both"/>
              <w:rPr>
                <w:rFonts w:ascii="Arial" w:hAnsi="Arial" w:cs="Arial"/>
              </w:rPr>
            </w:pPr>
            <w:r w:rsidRPr="00AF0DCC">
              <w:rPr>
                <w:rFonts w:ascii="Arial" w:hAnsi="Arial" w:cs="Arial"/>
              </w:rPr>
              <w:t>GFDL-CM4</w:t>
            </w:r>
          </w:p>
        </w:tc>
        <w:tc>
          <w:tcPr>
            <w:tcW w:w="0" w:type="auto"/>
            <w:vAlign w:val="center"/>
            <w:hideMark/>
          </w:tcPr>
          <w:p w14:paraId="504FB85E" w14:textId="77777777" w:rsidR="00AF0DCC" w:rsidRPr="00AF0DCC" w:rsidRDefault="00AF0DCC" w:rsidP="00AF0DCC">
            <w:pPr>
              <w:spacing w:line="360" w:lineRule="auto"/>
              <w:jc w:val="both"/>
              <w:rPr>
                <w:rFonts w:ascii="Arial" w:hAnsi="Arial" w:cs="Arial"/>
              </w:rPr>
            </w:pPr>
            <w:r w:rsidRPr="00AF0DCC">
              <w:rPr>
                <w:rFonts w:ascii="Arial" w:hAnsi="Arial" w:cs="Arial"/>
              </w:rPr>
              <w:t>3</w:t>
            </w:r>
          </w:p>
        </w:tc>
        <w:tc>
          <w:tcPr>
            <w:tcW w:w="0" w:type="auto"/>
            <w:vAlign w:val="center"/>
            <w:hideMark/>
          </w:tcPr>
          <w:p w14:paraId="1D60C9CA" w14:textId="77777777" w:rsidR="00AF0DCC" w:rsidRPr="00AF0DCC" w:rsidRDefault="00AF0DCC" w:rsidP="00AF0DCC">
            <w:pPr>
              <w:spacing w:line="360" w:lineRule="auto"/>
              <w:jc w:val="both"/>
              <w:rPr>
                <w:rFonts w:ascii="Arial" w:hAnsi="Arial" w:cs="Arial"/>
              </w:rPr>
            </w:pPr>
            <w:r w:rsidRPr="00AF0DCC">
              <w:rPr>
                <w:rFonts w:ascii="Arial" w:hAnsi="Arial" w:cs="Arial"/>
              </w:rPr>
              <w:t>NorESM2-LM</w:t>
            </w:r>
          </w:p>
        </w:tc>
        <w:tc>
          <w:tcPr>
            <w:tcW w:w="0" w:type="auto"/>
            <w:vAlign w:val="center"/>
            <w:hideMark/>
          </w:tcPr>
          <w:p w14:paraId="252A037B" w14:textId="77777777" w:rsidR="00AF0DCC" w:rsidRPr="00AF0DCC" w:rsidRDefault="00AF0DCC" w:rsidP="00AF0DCC">
            <w:pPr>
              <w:spacing w:line="360" w:lineRule="auto"/>
              <w:jc w:val="both"/>
              <w:rPr>
                <w:rFonts w:ascii="Arial" w:hAnsi="Arial" w:cs="Arial"/>
              </w:rPr>
            </w:pPr>
            <w:r w:rsidRPr="00AF0DCC">
              <w:rPr>
                <w:rFonts w:ascii="Arial" w:hAnsi="Arial" w:cs="Arial"/>
              </w:rPr>
              <w:t>1</w:t>
            </w:r>
          </w:p>
        </w:tc>
      </w:tr>
      <w:tr w:rsidR="00AF0DCC" w:rsidRPr="00AF0DCC" w14:paraId="44585E9F" w14:textId="77777777" w:rsidTr="003874AE">
        <w:trPr>
          <w:tblCellSpacing w:w="15" w:type="dxa"/>
        </w:trPr>
        <w:tc>
          <w:tcPr>
            <w:tcW w:w="0" w:type="auto"/>
            <w:vAlign w:val="center"/>
            <w:hideMark/>
          </w:tcPr>
          <w:p w14:paraId="05FD5069" w14:textId="77777777" w:rsidR="00AF0DCC" w:rsidRPr="00AF0DCC" w:rsidRDefault="00AF0DCC" w:rsidP="00AF0DCC">
            <w:pPr>
              <w:spacing w:line="360" w:lineRule="auto"/>
              <w:jc w:val="both"/>
              <w:rPr>
                <w:rFonts w:ascii="Arial" w:hAnsi="Arial" w:cs="Arial"/>
              </w:rPr>
            </w:pPr>
            <w:r w:rsidRPr="00AF0DCC">
              <w:rPr>
                <w:rFonts w:ascii="Arial" w:hAnsi="Arial" w:cs="Arial"/>
              </w:rPr>
              <w:t>CESM2-FV2</w:t>
            </w:r>
          </w:p>
        </w:tc>
        <w:tc>
          <w:tcPr>
            <w:tcW w:w="0" w:type="auto"/>
            <w:vAlign w:val="center"/>
            <w:hideMark/>
          </w:tcPr>
          <w:p w14:paraId="6202901A" w14:textId="77777777" w:rsidR="00AF0DCC" w:rsidRPr="00AF0DCC" w:rsidRDefault="00AF0DCC" w:rsidP="003874AE">
            <w:pPr>
              <w:spacing w:line="360" w:lineRule="auto"/>
              <w:rPr>
                <w:rFonts w:ascii="Arial" w:hAnsi="Arial" w:cs="Arial"/>
              </w:rPr>
            </w:pPr>
            <w:r w:rsidRPr="00AF0DCC">
              <w:rPr>
                <w:rFonts w:ascii="Arial" w:hAnsi="Arial" w:cs="Arial"/>
              </w:rPr>
              <w:t>5</w:t>
            </w:r>
          </w:p>
        </w:tc>
        <w:tc>
          <w:tcPr>
            <w:tcW w:w="0" w:type="auto"/>
            <w:vAlign w:val="center"/>
            <w:hideMark/>
          </w:tcPr>
          <w:p w14:paraId="175F2BFC" w14:textId="77777777" w:rsidR="00AF0DCC" w:rsidRPr="00AF0DCC" w:rsidRDefault="00AF0DCC" w:rsidP="00AF0DCC">
            <w:pPr>
              <w:spacing w:line="360" w:lineRule="auto"/>
              <w:jc w:val="both"/>
              <w:rPr>
                <w:rFonts w:ascii="Arial" w:hAnsi="Arial" w:cs="Arial"/>
              </w:rPr>
            </w:pPr>
            <w:r w:rsidRPr="00AF0DCC">
              <w:rPr>
                <w:rFonts w:ascii="Arial" w:hAnsi="Arial" w:cs="Arial"/>
              </w:rPr>
              <w:t>GFDL-ESM4</w:t>
            </w:r>
          </w:p>
        </w:tc>
        <w:tc>
          <w:tcPr>
            <w:tcW w:w="0" w:type="auto"/>
            <w:vAlign w:val="center"/>
            <w:hideMark/>
          </w:tcPr>
          <w:p w14:paraId="392723A9"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2D8FDE51" w14:textId="77777777" w:rsidR="00AF0DCC" w:rsidRPr="00AF0DCC" w:rsidRDefault="00AF0DCC" w:rsidP="00AF0DCC">
            <w:pPr>
              <w:spacing w:line="360" w:lineRule="auto"/>
              <w:jc w:val="both"/>
              <w:rPr>
                <w:rFonts w:ascii="Arial" w:hAnsi="Arial" w:cs="Arial"/>
              </w:rPr>
            </w:pPr>
            <w:r w:rsidRPr="00AF0DCC">
              <w:rPr>
                <w:rFonts w:ascii="Arial" w:hAnsi="Arial" w:cs="Arial"/>
              </w:rPr>
              <w:t>UKESM1-0-LL</w:t>
            </w:r>
          </w:p>
        </w:tc>
        <w:tc>
          <w:tcPr>
            <w:tcW w:w="0" w:type="auto"/>
            <w:vAlign w:val="center"/>
            <w:hideMark/>
          </w:tcPr>
          <w:p w14:paraId="03508DB1"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r>
      <w:tr w:rsidR="00AF0DCC" w:rsidRPr="00AF0DCC" w14:paraId="7CDF2919" w14:textId="77777777" w:rsidTr="003874AE">
        <w:trPr>
          <w:tblCellSpacing w:w="15" w:type="dxa"/>
        </w:trPr>
        <w:tc>
          <w:tcPr>
            <w:tcW w:w="0" w:type="auto"/>
            <w:vAlign w:val="center"/>
            <w:hideMark/>
          </w:tcPr>
          <w:p w14:paraId="0D32D0C2" w14:textId="77777777" w:rsidR="00AF0DCC" w:rsidRPr="00AF0DCC" w:rsidRDefault="00AF0DCC" w:rsidP="00AF0DCC">
            <w:pPr>
              <w:spacing w:line="360" w:lineRule="auto"/>
              <w:jc w:val="both"/>
              <w:rPr>
                <w:rFonts w:ascii="Arial" w:hAnsi="Arial" w:cs="Arial"/>
              </w:rPr>
            </w:pPr>
            <w:r w:rsidRPr="00AF0DCC">
              <w:rPr>
                <w:rFonts w:ascii="Arial" w:hAnsi="Arial" w:cs="Arial"/>
              </w:rPr>
              <w:t>CESM2-WACCM-FV2</w:t>
            </w:r>
          </w:p>
        </w:tc>
        <w:tc>
          <w:tcPr>
            <w:tcW w:w="0" w:type="auto"/>
            <w:vAlign w:val="center"/>
            <w:hideMark/>
          </w:tcPr>
          <w:p w14:paraId="717F6888" w14:textId="77777777" w:rsidR="00AF0DCC" w:rsidRPr="00AF0DCC" w:rsidRDefault="00AF0DCC" w:rsidP="003874AE">
            <w:pPr>
              <w:spacing w:line="360" w:lineRule="auto"/>
              <w:rPr>
                <w:rFonts w:ascii="Arial" w:hAnsi="Arial" w:cs="Arial"/>
              </w:rPr>
            </w:pPr>
            <w:r w:rsidRPr="00AF0DCC">
              <w:rPr>
                <w:rFonts w:ascii="Arial" w:hAnsi="Arial" w:cs="Arial"/>
              </w:rPr>
              <w:t>3</w:t>
            </w:r>
          </w:p>
        </w:tc>
        <w:tc>
          <w:tcPr>
            <w:tcW w:w="0" w:type="auto"/>
            <w:vAlign w:val="center"/>
            <w:hideMark/>
          </w:tcPr>
          <w:p w14:paraId="3FDA233D" w14:textId="77777777" w:rsidR="00AF0DCC" w:rsidRPr="00AF0DCC" w:rsidRDefault="00AF0DCC" w:rsidP="00AF0DCC">
            <w:pPr>
              <w:spacing w:line="360" w:lineRule="auto"/>
              <w:jc w:val="both"/>
              <w:rPr>
                <w:rFonts w:ascii="Arial" w:hAnsi="Arial" w:cs="Arial"/>
              </w:rPr>
            </w:pPr>
            <w:r w:rsidRPr="00AF0DCC">
              <w:rPr>
                <w:rFonts w:ascii="Arial" w:hAnsi="Arial" w:cs="Arial"/>
              </w:rPr>
              <w:t>GISS-E2-1-G</w:t>
            </w:r>
          </w:p>
        </w:tc>
        <w:tc>
          <w:tcPr>
            <w:tcW w:w="0" w:type="auto"/>
            <w:vAlign w:val="center"/>
            <w:hideMark/>
          </w:tcPr>
          <w:p w14:paraId="2E86C27D" w14:textId="77777777" w:rsidR="00AF0DCC" w:rsidRPr="00AF0DCC" w:rsidRDefault="00AF0DCC" w:rsidP="00AF0DCC">
            <w:pPr>
              <w:spacing w:line="360" w:lineRule="auto"/>
              <w:jc w:val="both"/>
              <w:rPr>
                <w:rFonts w:ascii="Arial" w:hAnsi="Arial" w:cs="Arial"/>
              </w:rPr>
            </w:pPr>
            <w:r w:rsidRPr="00AF0DCC">
              <w:rPr>
                <w:rFonts w:ascii="Arial" w:hAnsi="Arial" w:cs="Arial"/>
              </w:rPr>
              <w:t>17</w:t>
            </w:r>
          </w:p>
        </w:tc>
        <w:tc>
          <w:tcPr>
            <w:tcW w:w="0" w:type="auto"/>
            <w:vAlign w:val="center"/>
            <w:hideMark/>
          </w:tcPr>
          <w:p w14:paraId="02DFFB66" w14:textId="77777777" w:rsidR="00AF0DCC" w:rsidRPr="00AF0DCC" w:rsidRDefault="00AF0DCC" w:rsidP="00AF0DCC">
            <w:pPr>
              <w:spacing w:line="360" w:lineRule="auto"/>
              <w:jc w:val="both"/>
              <w:rPr>
                <w:rFonts w:ascii="Arial" w:hAnsi="Arial" w:cs="Arial"/>
              </w:rPr>
            </w:pPr>
          </w:p>
        </w:tc>
        <w:tc>
          <w:tcPr>
            <w:tcW w:w="0" w:type="auto"/>
            <w:vAlign w:val="center"/>
            <w:hideMark/>
          </w:tcPr>
          <w:p w14:paraId="65BC1E31" w14:textId="77777777" w:rsidR="00AF0DCC" w:rsidRPr="00AF0DCC" w:rsidRDefault="00AF0DCC" w:rsidP="00AF0DCC">
            <w:pPr>
              <w:spacing w:line="360" w:lineRule="auto"/>
              <w:jc w:val="both"/>
              <w:rPr>
                <w:rFonts w:ascii="Arial" w:hAnsi="Arial" w:cs="Arial"/>
              </w:rPr>
            </w:pPr>
          </w:p>
        </w:tc>
      </w:tr>
      <w:tr w:rsidR="00AF0DCC" w:rsidRPr="00AF0DCC" w14:paraId="70C27C10" w14:textId="77777777" w:rsidTr="003874AE">
        <w:trPr>
          <w:tblCellSpacing w:w="15" w:type="dxa"/>
        </w:trPr>
        <w:tc>
          <w:tcPr>
            <w:tcW w:w="0" w:type="auto"/>
            <w:vAlign w:val="center"/>
            <w:hideMark/>
          </w:tcPr>
          <w:p w14:paraId="1838991F" w14:textId="77777777" w:rsidR="00AF0DCC" w:rsidRPr="00AF0DCC" w:rsidRDefault="00AF0DCC" w:rsidP="00AF0DCC">
            <w:pPr>
              <w:spacing w:line="360" w:lineRule="auto"/>
              <w:jc w:val="both"/>
              <w:rPr>
                <w:rFonts w:ascii="Arial" w:hAnsi="Arial" w:cs="Arial"/>
              </w:rPr>
            </w:pPr>
            <w:r w:rsidRPr="00AF0DCC">
              <w:rPr>
                <w:rFonts w:ascii="Arial" w:hAnsi="Arial" w:cs="Arial"/>
              </w:rPr>
              <w:t>CMCC-CM2-SR5</w:t>
            </w:r>
          </w:p>
        </w:tc>
        <w:tc>
          <w:tcPr>
            <w:tcW w:w="0" w:type="auto"/>
            <w:vAlign w:val="center"/>
            <w:hideMark/>
          </w:tcPr>
          <w:p w14:paraId="4E57099C" w14:textId="77777777" w:rsidR="00AF0DCC" w:rsidRPr="00AF0DCC" w:rsidRDefault="00AF0DCC" w:rsidP="003874AE">
            <w:pPr>
              <w:spacing w:line="360" w:lineRule="auto"/>
              <w:rPr>
                <w:rFonts w:ascii="Arial" w:hAnsi="Arial" w:cs="Arial"/>
              </w:rPr>
            </w:pPr>
            <w:r w:rsidRPr="00AF0DCC">
              <w:rPr>
                <w:rFonts w:ascii="Arial" w:hAnsi="Arial" w:cs="Arial"/>
              </w:rPr>
              <w:t>3</w:t>
            </w:r>
          </w:p>
        </w:tc>
        <w:tc>
          <w:tcPr>
            <w:tcW w:w="0" w:type="auto"/>
            <w:vAlign w:val="center"/>
            <w:hideMark/>
          </w:tcPr>
          <w:p w14:paraId="7C188D38" w14:textId="77777777" w:rsidR="00AF0DCC" w:rsidRPr="00AF0DCC" w:rsidRDefault="00AF0DCC" w:rsidP="00AF0DCC">
            <w:pPr>
              <w:spacing w:line="360" w:lineRule="auto"/>
              <w:jc w:val="both"/>
              <w:rPr>
                <w:rFonts w:ascii="Arial" w:hAnsi="Arial" w:cs="Arial"/>
              </w:rPr>
            </w:pPr>
            <w:r w:rsidRPr="00AF0DCC">
              <w:rPr>
                <w:rFonts w:ascii="Arial" w:hAnsi="Arial" w:cs="Arial"/>
              </w:rPr>
              <w:t>HadGEM3-GC31-LL</w:t>
            </w:r>
          </w:p>
        </w:tc>
        <w:tc>
          <w:tcPr>
            <w:tcW w:w="0" w:type="auto"/>
            <w:vAlign w:val="center"/>
            <w:hideMark/>
          </w:tcPr>
          <w:p w14:paraId="54EE9E98"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614713CB" w14:textId="77777777" w:rsidR="00AF0DCC" w:rsidRPr="00AF0DCC" w:rsidRDefault="00AF0DCC" w:rsidP="00AF0DCC">
            <w:pPr>
              <w:spacing w:line="360" w:lineRule="auto"/>
              <w:jc w:val="both"/>
              <w:rPr>
                <w:rFonts w:ascii="Arial" w:hAnsi="Arial" w:cs="Arial"/>
              </w:rPr>
            </w:pPr>
          </w:p>
        </w:tc>
        <w:tc>
          <w:tcPr>
            <w:tcW w:w="0" w:type="auto"/>
            <w:vAlign w:val="center"/>
            <w:hideMark/>
          </w:tcPr>
          <w:p w14:paraId="7ECF4622" w14:textId="77777777" w:rsidR="00AF0DCC" w:rsidRPr="00AF0DCC" w:rsidRDefault="00AF0DCC" w:rsidP="00AF0DCC">
            <w:pPr>
              <w:spacing w:line="360" w:lineRule="auto"/>
              <w:jc w:val="both"/>
              <w:rPr>
                <w:rFonts w:ascii="Arial" w:hAnsi="Arial" w:cs="Arial"/>
              </w:rPr>
            </w:pPr>
          </w:p>
        </w:tc>
      </w:tr>
      <w:tr w:rsidR="00AF0DCC" w:rsidRPr="00AF0DCC" w14:paraId="63F4523F" w14:textId="77777777" w:rsidTr="003874AE">
        <w:trPr>
          <w:tblCellSpacing w:w="15" w:type="dxa"/>
        </w:trPr>
        <w:tc>
          <w:tcPr>
            <w:tcW w:w="0" w:type="auto"/>
            <w:vAlign w:val="center"/>
            <w:hideMark/>
          </w:tcPr>
          <w:p w14:paraId="701E5970" w14:textId="77777777" w:rsidR="00AF0DCC" w:rsidRPr="00AF0DCC" w:rsidRDefault="00AF0DCC" w:rsidP="00AF0DCC">
            <w:pPr>
              <w:spacing w:line="360" w:lineRule="auto"/>
              <w:jc w:val="both"/>
              <w:rPr>
                <w:rFonts w:ascii="Arial" w:hAnsi="Arial" w:cs="Arial"/>
              </w:rPr>
            </w:pPr>
            <w:r w:rsidRPr="00AF0DCC">
              <w:rPr>
                <w:rFonts w:ascii="Arial" w:hAnsi="Arial" w:cs="Arial"/>
              </w:rPr>
              <w:t>CNRM-CM6-1</w:t>
            </w:r>
          </w:p>
        </w:tc>
        <w:tc>
          <w:tcPr>
            <w:tcW w:w="0" w:type="auto"/>
            <w:vAlign w:val="center"/>
            <w:hideMark/>
          </w:tcPr>
          <w:p w14:paraId="5759FF9E" w14:textId="77777777" w:rsidR="00AF0DCC" w:rsidRPr="00AF0DCC" w:rsidRDefault="00AF0DCC" w:rsidP="003874AE">
            <w:pPr>
              <w:spacing w:line="360" w:lineRule="auto"/>
              <w:rPr>
                <w:rFonts w:ascii="Arial" w:hAnsi="Arial" w:cs="Arial"/>
              </w:rPr>
            </w:pPr>
            <w:r w:rsidRPr="00AF0DCC">
              <w:rPr>
                <w:rFonts w:ascii="Arial" w:hAnsi="Arial" w:cs="Arial"/>
              </w:rPr>
              <w:t>2</w:t>
            </w:r>
          </w:p>
        </w:tc>
        <w:tc>
          <w:tcPr>
            <w:tcW w:w="0" w:type="auto"/>
            <w:vAlign w:val="center"/>
            <w:hideMark/>
          </w:tcPr>
          <w:p w14:paraId="32B039D3" w14:textId="77777777" w:rsidR="00AF0DCC" w:rsidRPr="00AF0DCC" w:rsidRDefault="00AF0DCC" w:rsidP="00AF0DCC">
            <w:pPr>
              <w:spacing w:line="360" w:lineRule="auto"/>
              <w:jc w:val="both"/>
              <w:rPr>
                <w:rFonts w:ascii="Arial" w:hAnsi="Arial" w:cs="Arial"/>
              </w:rPr>
            </w:pPr>
            <w:r w:rsidRPr="00AF0DCC">
              <w:rPr>
                <w:rFonts w:ascii="Arial" w:hAnsi="Arial" w:cs="Arial"/>
              </w:rPr>
              <w:t>HadGEM3-GC31-MM</w:t>
            </w:r>
          </w:p>
        </w:tc>
        <w:tc>
          <w:tcPr>
            <w:tcW w:w="0" w:type="auto"/>
            <w:vAlign w:val="center"/>
            <w:hideMark/>
          </w:tcPr>
          <w:p w14:paraId="2DA71CEF"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7F0DC906" w14:textId="77777777" w:rsidR="00AF0DCC" w:rsidRPr="00AF0DCC" w:rsidRDefault="00AF0DCC" w:rsidP="00AF0DCC">
            <w:pPr>
              <w:spacing w:line="360" w:lineRule="auto"/>
              <w:jc w:val="both"/>
              <w:rPr>
                <w:rFonts w:ascii="Arial" w:hAnsi="Arial" w:cs="Arial"/>
              </w:rPr>
            </w:pPr>
          </w:p>
        </w:tc>
        <w:tc>
          <w:tcPr>
            <w:tcW w:w="0" w:type="auto"/>
            <w:vAlign w:val="center"/>
            <w:hideMark/>
          </w:tcPr>
          <w:p w14:paraId="4EE5E0F7" w14:textId="77777777" w:rsidR="00AF0DCC" w:rsidRPr="00AF0DCC" w:rsidRDefault="00AF0DCC" w:rsidP="00AF0DCC">
            <w:pPr>
              <w:spacing w:line="360" w:lineRule="auto"/>
              <w:jc w:val="both"/>
              <w:rPr>
                <w:rFonts w:ascii="Arial" w:hAnsi="Arial" w:cs="Arial"/>
              </w:rPr>
            </w:pPr>
          </w:p>
        </w:tc>
      </w:tr>
      <w:tr w:rsidR="00AF0DCC" w:rsidRPr="00AF0DCC" w14:paraId="03DFB72A" w14:textId="77777777" w:rsidTr="003874AE">
        <w:trPr>
          <w:tblCellSpacing w:w="15" w:type="dxa"/>
        </w:trPr>
        <w:tc>
          <w:tcPr>
            <w:tcW w:w="0" w:type="auto"/>
            <w:vAlign w:val="center"/>
            <w:hideMark/>
          </w:tcPr>
          <w:p w14:paraId="2F043805" w14:textId="77777777" w:rsidR="00AF0DCC" w:rsidRPr="00AF0DCC" w:rsidRDefault="00AF0DCC" w:rsidP="00AF0DCC">
            <w:pPr>
              <w:spacing w:line="360" w:lineRule="auto"/>
              <w:jc w:val="both"/>
              <w:rPr>
                <w:rFonts w:ascii="Arial" w:hAnsi="Arial" w:cs="Arial"/>
              </w:rPr>
            </w:pPr>
            <w:r w:rsidRPr="00AF0DCC">
              <w:rPr>
                <w:rFonts w:ascii="Arial" w:hAnsi="Arial" w:cs="Arial"/>
              </w:rPr>
              <w:t>CNRM-ESM2-1</w:t>
            </w:r>
          </w:p>
        </w:tc>
        <w:tc>
          <w:tcPr>
            <w:tcW w:w="0" w:type="auto"/>
            <w:vAlign w:val="center"/>
            <w:hideMark/>
          </w:tcPr>
          <w:p w14:paraId="4FE5D854" w14:textId="77777777" w:rsidR="00AF0DCC" w:rsidRPr="00AF0DCC" w:rsidRDefault="00AF0DCC" w:rsidP="003874AE">
            <w:pPr>
              <w:spacing w:line="360" w:lineRule="auto"/>
              <w:rPr>
                <w:rFonts w:ascii="Arial" w:hAnsi="Arial" w:cs="Arial"/>
              </w:rPr>
            </w:pPr>
            <w:r w:rsidRPr="00AF0DCC">
              <w:rPr>
                <w:rFonts w:ascii="Arial" w:hAnsi="Arial" w:cs="Arial"/>
              </w:rPr>
              <w:t>0</w:t>
            </w:r>
          </w:p>
        </w:tc>
        <w:tc>
          <w:tcPr>
            <w:tcW w:w="0" w:type="auto"/>
            <w:vAlign w:val="center"/>
            <w:hideMark/>
          </w:tcPr>
          <w:p w14:paraId="3FA8F76A" w14:textId="77777777" w:rsidR="00AF0DCC" w:rsidRPr="00AF0DCC" w:rsidRDefault="00AF0DCC" w:rsidP="00AF0DCC">
            <w:pPr>
              <w:spacing w:line="360" w:lineRule="auto"/>
              <w:jc w:val="both"/>
              <w:rPr>
                <w:rFonts w:ascii="Arial" w:hAnsi="Arial" w:cs="Arial"/>
              </w:rPr>
            </w:pPr>
            <w:r w:rsidRPr="00AF0DCC">
              <w:rPr>
                <w:rFonts w:ascii="Arial" w:hAnsi="Arial" w:cs="Arial"/>
              </w:rPr>
              <w:t>ICON-ESM-LR</w:t>
            </w:r>
          </w:p>
        </w:tc>
        <w:tc>
          <w:tcPr>
            <w:tcW w:w="0" w:type="auto"/>
            <w:vAlign w:val="center"/>
            <w:hideMark/>
          </w:tcPr>
          <w:p w14:paraId="502882BC"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3D2C4F59" w14:textId="77777777" w:rsidR="00AF0DCC" w:rsidRPr="00AF0DCC" w:rsidRDefault="00AF0DCC" w:rsidP="00AF0DCC">
            <w:pPr>
              <w:spacing w:line="360" w:lineRule="auto"/>
              <w:jc w:val="both"/>
              <w:rPr>
                <w:rFonts w:ascii="Arial" w:hAnsi="Arial" w:cs="Arial"/>
              </w:rPr>
            </w:pPr>
          </w:p>
        </w:tc>
        <w:tc>
          <w:tcPr>
            <w:tcW w:w="0" w:type="auto"/>
            <w:vAlign w:val="center"/>
            <w:hideMark/>
          </w:tcPr>
          <w:p w14:paraId="67ECD622" w14:textId="77777777" w:rsidR="00AF0DCC" w:rsidRPr="00AF0DCC" w:rsidRDefault="00AF0DCC" w:rsidP="00AF0DCC">
            <w:pPr>
              <w:spacing w:line="360" w:lineRule="auto"/>
              <w:jc w:val="both"/>
              <w:rPr>
                <w:rFonts w:ascii="Arial" w:hAnsi="Arial" w:cs="Arial"/>
              </w:rPr>
            </w:pPr>
          </w:p>
        </w:tc>
      </w:tr>
      <w:tr w:rsidR="00AF0DCC" w:rsidRPr="00AF0DCC" w14:paraId="6C26E279" w14:textId="77777777" w:rsidTr="003874AE">
        <w:trPr>
          <w:tblCellSpacing w:w="15" w:type="dxa"/>
        </w:trPr>
        <w:tc>
          <w:tcPr>
            <w:tcW w:w="0" w:type="auto"/>
            <w:vAlign w:val="center"/>
            <w:hideMark/>
          </w:tcPr>
          <w:p w14:paraId="38826D72" w14:textId="77777777" w:rsidR="00AF0DCC" w:rsidRPr="00AF0DCC" w:rsidRDefault="00AF0DCC" w:rsidP="00AF0DCC">
            <w:pPr>
              <w:spacing w:line="360" w:lineRule="auto"/>
              <w:jc w:val="both"/>
              <w:rPr>
                <w:rFonts w:ascii="Arial" w:hAnsi="Arial" w:cs="Arial"/>
              </w:rPr>
            </w:pPr>
            <w:r w:rsidRPr="00AF0DCC">
              <w:rPr>
                <w:rFonts w:ascii="Arial" w:hAnsi="Arial" w:cs="Arial"/>
              </w:rPr>
              <w:t>CanESM5</w:t>
            </w:r>
          </w:p>
        </w:tc>
        <w:tc>
          <w:tcPr>
            <w:tcW w:w="0" w:type="auto"/>
            <w:vAlign w:val="center"/>
            <w:hideMark/>
          </w:tcPr>
          <w:p w14:paraId="7EAD882D" w14:textId="77777777" w:rsidR="00AF0DCC" w:rsidRPr="00AF0DCC" w:rsidRDefault="00AF0DCC" w:rsidP="003874AE">
            <w:pPr>
              <w:spacing w:line="360" w:lineRule="auto"/>
              <w:rPr>
                <w:rFonts w:ascii="Arial" w:hAnsi="Arial" w:cs="Arial"/>
              </w:rPr>
            </w:pPr>
            <w:r w:rsidRPr="00AF0DCC">
              <w:rPr>
                <w:rFonts w:ascii="Arial" w:hAnsi="Arial" w:cs="Arial"/>
              </w:rPr>
              <w:t>0</w:t>
            </w:r>
          </w:p>
        </w:tc>
        <w:tc>
          <w:tcPr>
            <w:tcW w:w="0" w:type="auto"/>
            <w:vAlign w:val="center"/>
            <w:hideMark/>
          </w:tcPr>
          <w:p w14:paraId="624E176A" w14:textId="77777777" w:rsidR="00AF0DCC" w:rsidRPr="00AF0DCC" w:rsidRDefault="00AF0DCC" w:rsidP="00AF0DCC">
            <w:pPr>
              <w:spacing w:line="360" w:lineRule="auto"/>
              <w:jc w:val="both"/>
              <w:rPr>
                <w:rFonts w:ascii="Arial" w:hAnsi="Arial" w:cs="Arial"/>
              </w:rPr>
            </w:pPr>
            <w:r w:rsidRPr="00AF0DCC">
              <w:rPr>
                <w:rFonts w:ascii="Arial" w:hAnsi="Arial" w:cs="Arial"/>
              </w:rPr>
              <w:t>IPSL-CM6A-LR</w:t>
            </w:r>
          </w:p>
        </w:tc>
        <w:tc>
          <w:tcPr>
            <w:tcW w:w="0" w:type="auto"/>
            <w:vAlign w:val="center"/>
            <w:hideMark/>
          </w:tcPr>
          <w:p w14:paraId="68E51B17" w14:textId="77777777" w:rsidR="00AF0DCC" w:rsidRPr="00AF0DCC" w:rsidRDefault="00AF0DCC" w:rsidP="00AF0DCC">
            <w:pPr>
              <w:spacing w:line="360" w:lineRule="auto"/>
              <w:jc w:val="both"/>
              <w:rPr>
                <w:rFonts w:ascii="Arial" w:hAnsi="Arial" w:cs="Arial"/>
              </w:rPr>
            </w:pPr>
            <w:r w:rsidRPr="00AF0DCC">
              <w:rPr>
                <w:rFonts w:ascii="Arial" w:hAnsi="Arial" w:cs="Arial"/>
              </w:rPr>
              <w:t>1</w:t>
            </w:r>
          </w:p>
        </w:tc>
        <w:tc>
          <w:tcPr>
            <w:tcW w:w="0" w:type="auto"/>
            <w:vAlign w:val="center"/>
            <w:hideMark/>
          </w:tcPr>
          <w:p w14:paraId="384D3C8A" w14:textId="77777777" w:rsidR="00AF0DCC" w:rsidRPr="00AF0DCC" w:rsidRDefault="00AF0DCC" w:rsidP="00AF0DCC">
            <w:pPr>
              <w:spacing w:line="360" w:lineRule="auto"/>
              <w:jc w:val="both"/>
              <w:rPr>
                <w:rFonts w:ascii="Arial" w:hAnsi="Arial" w:cs="Arial"/>
              </w:rPr>
            </w:pPr>
          </w:p>
        </w:tc>
        <w:tc>
          <w:tcPr>
            <w:tcW w:w="0" w:type="auto"/>
            <w:vAlign w:val="center"/>
            <w:hideMark/>
          </w:tcPr>
          <w:p w14:paraId="0618454A" w14:textId="77777777" w:rsidR="00AF0DCC" w:rsidRPr="00AF0DCC" w:rsidRDefault="00AF0DCC" w:rsidP="00AF0DCC">
            <w:pPr>
              <w:spacing w:line="360" w:lineRule="auto"/>
              <w:jc w:val="both"/>
              <w:rPr>
                <w:rFonts w:ascii="Arial" w:hAnsi="Arial" w:cs="Arial"/>
              </w:rPr>
            </w:pPr>
          </w:p>
        </w:tc>
      </w:tr>
      <w:tr w:rsidR="00AF0DCC" w:rsidRPr="00AF0DCC" w14:paraId="4408FE8E" w14:textId="77777777" w:rsidTr="003874AE">
        <w:trPr>
          <w:tblCellSpacing w:w="15" w:type="dxa"/>
        </w:trPr>
        <w:tc>
          <w:tcPr>
            <w:tcW w:w="0" w:type="auto"/>
            <w:vAlign w:val="center"/>
            <w:hideMark/>
          </w:tcPr>
          <w:p w14:paraId="2ACB3DCF" w14:textId="77777777" w:rsidR="00AF0DCC" w:rsidRPr="00AF0DCC" w:rsidRDefault="00AF0DCC" w:rsidP="00AF0DCC">
            <w:pPr>
              <w:spacing w:line="360" w:lineRule="auto"/>
              <w:jc w:val="both"/>
              <w:rPr>
                <w:rFonts w:ascii="Arial" w:hAnsi="Arial" w:cs="Arial"/>
              </w:rPr>
            </w:pPr>
            <w:r w:rsidRPr="00AF0DCC">
              <w:rPr>
                <w:rFonts w:ascii="Arial" w:hAnsi="Arial" w:cs="Arial"/>
              </w:rPr>
              <w:t>CanESM5-CanOE</w:t>
            </w:r>
          </w:p>
        </w:tc>
        <w:tc>
          <w:tcPr>
            <w:tcW w:w="0" w:type="auto"/>
            <w:vAlign w:val="center"/>
            <w:hideMark/>
          </w:tcPr>
          <w:p w14:paraId="520EFFCC" w14:textId="77777777" w:rsidR="00AF0DCC" w:rsidRPr="00AF0DCC" w:rsidRDefault="00AF0DCC" w:rsidP="003874AE">
            <w:pPr>
              <w:spacing w:line="360" w:lineRule="auto"/>
              <w:rPr>
                <w:rFonts w:ascii="Arial" w:hAnsi="Arial" w:cs="Arial"/>
              </w:rPr>
            </w:pPr>
            <w:r w:rsidRPr="00AF0DCC">
              <w:rPr>
                <w:rFonts w:ascii="Arial" w:hAnsi="Arial" w:cs="Arial"/>
              </w:rPr>
              <w:t>−13</w:t>
            </w:r>
          </w:p>
        </w:tc>
        <w:tc>
          <w:tcPr>
            <w:tcW w:w="0" w:type="auto"/>
            <w:vAlign w:val="center"/>
            <w:hideMark/>
          </w:tcPr>
          <w:p w14:paraId="24780788" w14:textId="77777777" w:rsidR="00AF0DCC" w:rsidRPr="00AF0DCC" w:rsidRDefault="00AF0DCC" w:rsidP="00AF0DCC">
            <w:pPr>
              <w:spacing w:line="360" w:lineRule="auto"/>
              <w:jc w:val="both"/>
              <w:rPr>
                <w:rFonts w:ascii="Arial" w:hAnsi="Arial" w:cs="Arial"/>
              </w:rPr>
            </w:pPr>
            <w:r w:rsidRPr="00AF0DCC">
              <w:rPr>
                <w:rFonts w:ascii="Arial" w:hAnsi="Arial" w:cs="Arial"/>
              </w:rPr>
              <w:t>MIROC6</w:t>
            </w:r>
          </w:p>
        </w:tc>
        <w:tc>
          <w:tcPr>
            <w:tcW w:w="0" w:type="auto"/>
            <w:vAlign w:val="center"/>
            <w:hideMark/>
          </w:tcPr>
          <w:p w14:paraId="2BC5BEC1" w14:textId="77777777" w:rsidR="00AF0DCC" w:rsidRPr="00AF0DCC" w:rsidRDefault="00AF0DCC" w:rsidP="00AF0DCC">
            <w:pPr>
              <w:spacing w:line="360" w:lineRule="auto"/>
              <w:jc w:val="both"/>
              <w:rPr>
                <w:rFonts w:ascii="Arial" w:hAnsi="Arial" w:cs="Arial"/>
              </w:rPr>
            </w:pPr>
            <w:r w:rsidRPr="00AF0DCC">
              <w:rPr>
                <w:rFonts w:ascii="Arial" w:hAnsi="Arial" w:cs="Arial"/>
              </w:rPr>
              <w:t>1</w:t>
            </w:r>
          </w:p>
        </w:tc>
        <w:tc>
          <w:tcPr>
            <w:tcW w:w="0" w:type="auto"/>
            <w:vAlign w:val="center"/>
            <w:hideMark/>
          </w:tcPr>
          <w:p w14:paraId="5C33BD7D" w14:textId="77777777" w:rsidR="00AF0DCC" w:rsidRPr="00AF0DCC" w:rsidRDefault="00AF0DCC" w:rsidP="00AF0DCC">
            <w:pPr>
              <w:spacing w:line="360" w:lineRule="auto"/>
              <w:jc w:val="both"/>
              <w:rPr>
                <w:rFonts w:ascii="Arial" w:hAnsi="Arial" w:cs="Arial"/>
              </w:rPr>
            </w:pPr>
          </w:p>
        </w:tc>
        <w:tc>
          <w:tcPr>
            <w:tcW w:w="0" w:type="auto"/>
            <w:vAlign w:val="center"/>
            <w:hideMark/>
          </w:tcPr>
          <w:p w14:paraId="47F95A46" w14:textId="77777777" w:rsidR="00AF0DCC" w:rsidRPr="00AF0DCC" w:rsidRDefault="00AF0DCC" w:rsidP="00AF0DCC">
            <w:pPr>
              <w:spacing w:line="360" w:lineRule="auto"/>
              <w:jc w:val="both"/>
              <w:rPr>
                <w:rFonts w:ascii="Arial" w:hAnsi="Arial" w:cs="Arial"/>
              </w:rPr>
            </w:pPr>
          </w:p>
        </w:tc>
      </w:tr>
      <w:tr w:rsidR="00AF0DCC" w:rsidRPr="00AF0DCC" w14:paraId="7A48A30F" w14:textId="77777777" w:rsidTr="003874AE">
        <w:trPr>
          <w:tblCellSpacing w:w="15" w:type="dxa"/>
        </w:trPr>
        <w:tc>
          <w:tcPr>
            <w:tcW w:w="0" w:type="auto"/>
            <w:vAlign w:val="center"/>
            <w:hideMark/>
          </w:tcPr>
          <w:p w14:paraId="281A603C" w14:textId="77777777" w:rsidR="00AF0DCC" w:rsidRPr="00AF0DCC" w:rsidRDefault="00AF0DCC" w:rsidP="00AF0DCC">
            <w:pPr>
              <w:spacing w:line="360" w:lineRule="auto"/>
              <w:jc w:val="both"/>
              <w:rPr>
                <w:rFonts w:ascii="Arial" w:hAnsi="Arial" w:cs="Arial"/>
              </w:rPr>
            </w:pPr>
            <w:r w:rsidRPr="00AF0DCC">
              <w:rPr>
                <w:rFonts w:ascii="Arial" w:hAnsi="Arial" w:cs="Arial"/>
              </w:rPr>
              <w:t>E3SM-1-0</w:t>
            </w:r>
          </w:p>
        </w:tc>
        <w:tc>
          <w:tcPr>
            <w:tcW w:w="0" w:type="auto"/>
            <w:vAlign w:val="center"/>
            <w:hideMark/>
          </w:tcPr>
          <w:p w14:paraId="16EA9EB0" w14:textId="77777777" w:rsidR="00AF0DCC" w:rsidRPr="00AF0DCC" w:rsidRDefault="00AF0DCC" w:rsidP="003874AE">
            <w:pPr>
              <w:spacing w:line="360" w:lineRule="auto"/>
              <w:rPr>
                <w:rFonts w:ascii="Arial" w:hAnsi="Arial" w:cs="Arial"/>
              </w:rPr>
            </w:pPr>
            <w:r w:rsidRPr="00AF0DCC">
              <w:rPr>
                <w:rFonts w:ascii="Arial" w:hAnsi="Arial" w:cs="Arial"/>
              </w:rPr>
              <w:t>4</w:t>
            </w:r>
          </w:p>
        </w:tc>
        <w:tc>
          <w:tcPr>
            <w:tcW w:w="0" w:type="auto"/>
            <w:vAlign w:val="center"/>
            <w:hideMark/>
          </w:tcPr>
          <w:p w14:paraId="41D684F4" w14:textId="77777777" w:rsidR="00AF0DCC" w:rsidRPr="00AF0DCC" w:rsidRDefault="00AF0DCC" w:rsidP="00AF0DCC">
            <w:pPr>
              <w:spacing w:line="360" w:lineRule="auto"/>
              <w:jc w:val="both"/>
              <w:rPr>
                <w:rFonts w:ascii="Arial" w:hAnsi="Arial" w:cs="Arial"/>
              </w:rPr>
            </w:pPr>
            <w:r w:rsidRPr="00AF0DCC">
              <w:rPr>
                <w:rFonts w:ascii="Arial" w:hAnsi="Arial" w:cs="Arial"/>
              </w:rPr>
              <w:t>MPI-ESM-1-2-HAM</w:t>
            </w:r>
          </w:p>
        </w:tc>
        <w:tc>
          <w:tcPr>
            <w:tcW w:w="0" w:type="auto"/>
            <w:vAlign w:val="center"/>
            <w:hideMark/>
          </w:tcPr>
          <w:p w14:paraId="5DB75543" w14:textId="77777777" w:rsidR="00AF0DCC" w:rsidRPr="00AF0DCC" w:rsidRDefault="00AF0DCC" w:rsidP="00AF0DCC">
            <w:pPr>
              <w:spacing w:line="360" w:lineRule="auto"/>
              <w:jc w:val="both"/>
              <w:rPr>
                <w:rFonts w:ascii="Arial" w:hAnsi="Arial" w:cs="Arial"/>
              </w:rPr>
            </w:pPr>
            <w:r w:rsidRPr="00AF0DCC">
              <w:rPr>
                <w:rFonts w:ascii="Arial" w:hAnsi="Arial" w:cs="Arial"/>
              </w:rPr>
              <w:t>2</w:t>
            </w:r>
          </w:p>
        </w:tc>
        <w:tc>
          <w:tcPr>
            <w:tcW w:w="0" w:type="auto"/>
            <w:vAlign w:val="center"/>
            <w:hideMark/>
          </w:tcPr>
          <w:p w14:paraId="5D4ED643" w14:textId="77777777" w:rsidR="00AF0DCC" w:rsidRPr="00AF0DCC" w:rsidRDefault="00AF0DCC" w:rsidP="00AF0DCC">
            <w:pPr>
              <w:spacing w:line="360" w:lineRule="auto"/>
              <w:jc w:val="both"/>
              <w:rPr>
                <w:rFonts w:ascii="Arial" w:hAnsi="Arial" w:cs="Arial"/>
              </w:rPr>
            </w:pPr>
          </w:p>
        </w:tc>
        <w:tc>
          <w:tcPr>
            <w:tcW w:w="0" w:type="auto"/>
            <w:vAlign w:val="center"/>
            <w:hideMark/>
          </w:tcPr>
          <w:p w14:paraId="347EA9E6" w14:textId="77777777" w:rsidR="00AF0DCC" w:rsidRPr="00AF0DCC" w:rsidRDefault="00AF0DCC" w:rsidP="00AF0DCC">
            <w:pPr>
              <w:spacing w:line="360" w:lineRule="auto"/>
              <w:jc w:val="both"/>
              <w:rPr>
                <w:rFonts w:ascii="Arial" w:hAnsi="Arial" w:cs="Arial"/>
              </w:rPr>
            </w:pPr>
          </w:p>
        </w:tc>
      </w:tr>
    </w:tbl>
    <w:p w14:paraId="7284531B" w14:textId="77777777" w:rsidR="00AF0DCC" w:rsidRPr="00590236" w:rsidRDefault="00AF0DCC" w:rsidP="00590236">
      <w:pPr>
        <w:spacing w:line="360" w:lineRule="auto"/>
        <w:jc w:val="both"/>
        <w:rPr>
          <w:rFonts w:ascii="Arial" w:hAnsi="Arial" w:cs="Arial"/>
        </w:rPr>
      </w:pPr>
    </w:p>
    <w:p w14:paraId="4F62DC16" w14:textId="628A2A16" w:rsidR="00D72F24" w:rsidRPr="00590236" w:rsidRDefault="00182511" w:rsidP="00590236">
      <w:pPr>
        <w:spacing w:line="360" w:lineRule="auto"/>
        <w:jc w:val="both"/>
        <w:rPr>
          <w:rFonts w:ascii="Arial" w:hAnsi="Arial" w:cs="Arial"/>
        </w:rPr>
      </w:pPr>
      <w:r w:rsidRPr="00590236">
        <w:rPr>
          <w:rFonts w:ascii="Arial" w:hAnsi="Arial" w:cs="Arial"/>
          <w:noProof/>
        </w:rPr>
        <w:drawing>
          <wp:inline distT="0" distB="0" distL="0" distR="0" wp14:anchorId="42F1C25C" wp14:editId="215A943B">
            <wp:extent cx="2655656" cy="5308270"/>
            <wp:effectExtent l="0" t="0" r="0" b="6985"/>
            <wp:docPr id="94306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6200" cy="5329345"/>
                    </a:xfrm>
                    <a:prstGeom prst="rect">
                      <a:avLst/>
                    </a:prstGeom>
                    <a:noFill/>
                    <a:ln>
                      <a:noFill/>
                    </a:ln>
                  </pic:spPr>
                </pic:pic>
              </a:graphicData>
            </a:graphic>
          </wp:inline>
        </w:drawing>
      </w:r>
    </w:p>
    <w:p w14:paraId="1EA22803" w14:textId="10CFA44F" w:rsidR="00D72F24" w:rsidRPr="00590236" w:rsidRDefault="00D72F24"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sidRPr="00590236">
        <w:rPr>
          <w:rFonts w:ascii="Arial" w:eastAsia="Times New Roman" w:hAnsi="Arial" w:cs="Arial"/>
          <w:b/>
          <w:bCs/>
          <w:kern w:val="0"/>
          <w:lang w:eastAsia="en-GB"/>
          <w14:ligatures w14:val="none"/>
        </w:rPr>
        <w:t xml:space="preserve">Supplementary Figure </w:t>
      </w:r>
      <w:r w:rsidR="0092753E" w:rsidRPr="00590236">
        <w:rPr>
          <w:rFonts w:ascii="Arial" w:eastAsia="Times New Roman" w:hAnsi="Arial" w:cs="Arial"/>
          <w:b/>
          <w:bCs/>
          <w:kern w:val="0"/>
          <w:lang w:eastAsia="en-GB"/>
          <w14:ligatures w14:val="none"/>
        </w:rPr>
        <w:t>1</w:t>
      </w:r>
      <w:r w:rsidRPr="00590236">
        <w:rPr>
          <w:rFonts w:ascii="Arial" w:eastAsia="Times New Roman" w:hAnsi="Arial" w:cs="Arial"/>
          <w:b/>
          <w:bCs/>
          <w:kern w:val="0"/>
          <w:lang w:eastAsia="en-GB"/>
          <w14:ligatures w14:val="none"/>
        </w:rPr>
        <w:t xml:space="preserve"> | SST budget of internal tropical AMV in coupled models</w:t>
      </w:r>
    </w:p>
    <w:p w14:paraId="20A73A14" w14:textId="5494807C" w:rsidR="009739A4" w:rsidRPr="00590236" w:rsidRDefault="00981E45" w:rsidP="001969F6">
      <w:pPr>
        <w:spacing w:before="100" w:beforeAutospacing="1" w:after="100" w:afterAutospacing="1" w:line="360" w:lineRule="auto"/>
        <w:ind w:left="-142"/>
        <w:jc w:val="both"/>
        <w:rPr>
          <w:rFonts w:ascii="Arial" w:eastAsia="Times New Roman" w:hAnsi="Arial" w:cs="Arial"/>
          <w:kern w:val="0"/>
          <w:lang w:eastAsia="en-GB"/>
          <w14:ligatures w14:val="none"/>
        </w:rPr>
      </w:pPr>
      <w:r>
        <w:rPr>
          <w:rFonts w:ascii="Arial" w:eastAsia="Times New Roman" w:hAnsi="Arial" w:cs="Arial"/>
          <w:noProof/>
          <w:kern w:val="0"/>
          <w:lang w:eastAsia="en-GB"/>
        </w:rPr>
        <mc:AlternateContent>
          <mc:Choice Requires="wps">
            <w:drawing>
              <wp:inline distT="0" distB="0" distL="0" distR="0" wp14:anchorId="60120537" wp14:editId="5F0BE314">
                <wp:extent cx="5872348" cy="1330036"/>
                <wp:effectExtent l="0" t="0" r="0" b="3810"/>
                <wp:docPr id="1873960499" name="Text Box 1"/>
                <wp:cNvGraphicFramePr/>
                <a:graphic xmlns:a="http://schemas.openxmlformats.org/drawingml/2006/main">
                  <a:graphicData uri="http://schemas.microsoft.com/office/word/2010/wordprocessingShape">
                    <wps:wsp>
                      <wps:cNvSpPr txBox="1"/>
                      <wps:spPr>
                        <a:xfrm>
                          <a:off x="0" y="0"/>
                          <a:ext cx="5872348" cy="1330036"/>
                        </a:xfrm>
                        <a:prstGeom prst="rect">
                          <a:avLst/>
                        </a:prstGeom>
                        <a:solidFill>
                          <a:schemeClr val="lt1"/>
                        </a:solidFill>
                        <a:ln w="6350">
                          <a:noFill/>
                        </a:ln>
                      </wps:spPr>
                      <wps:txbx>
                        <w:txbxContent>
                          <w:p w14:paraId="60F008F0" w14:textId="77777777" w:rsidR="00981E45" w:rsidRPr="00981E45" w:rsidRDefault="00981E45" w:rsidP="00981E45">
                            <w:pPr>
                              <w:spacing w:before="100" w:beforeAutospacing="1" w:after="100" w:afterAutospacing="1" w:line="276" w:lineRule="auto"/>
                              <w:jc w:val="both"/>
                              <w:rPr>
                                <w:rFonts w:ascii="Arial" w:eastAsia="Times New Roman" w:hAnsi="Arial" w:cs="Arial"/>
                                <w:kern w:val="0"/>
                                <w:sz w:val="20"/>
                                <w:szCs w:val="20"/>
                                <w:lang w:eastAsia="en-GB"/>
                                <w14:ligatures w14:val="none"/>
                              </w:rPr>
                            </w:pPr>
                            <w:r w:rsidRPr="00981E45">
                              <w:rPr>
                                <w:rFonts w:ascii="Arial" w:eastAsia="Times New Roman" w:hAnsi="Arial" w:cs="Arial"/>
                                <w:b/>
                                <w:bCs/>
                                <w:kern w:val="0"/>
                                <w:sz w:val="20"/>
                                <w:szCs w:val="20"/>
                                <w:lang w:eastAsia="en-GB"/>
                                <w14:ligatures w14:val="none"/>
                              </w:rPr>
                              <w:t>a,</w:t>
                            </w:r>
                            <w:r w:rsidRPr="00981E45">
                              <w:rPr>
                                <w:rFonts w:ascii="Arial" w:eastAsia="Times New Roman" w:hAnsi="Arial" w:cs="Arial"/>
                                <w:kern w:val="0"/>
                                <w:sz w:val="20"/>
                                <w:szCs w:val="20"/>
                                <w:lang w:eastAsia="en-GB"/>
                                <w14:ligatures w14:val="none"/>
                              </w:rPr>
                              <w:t xml:space="preserve"> Seasonality of SST budget terms </w:t>
                            </w:r>
                            <w:r w:rsidRPr="00981E45">
                              <w:rPr>
                                <w:rFonts w:ascii="Arial" w:hAnsi="Arial" w:cs="Arial"/>
                                <w:sz w:val="20"/>
                                <w:szCs w:val="20"/>
                              </w:rPr>
                              <w:t>(</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981E45">
                              <w:rPr>
                                <w:rFonts w:ascii="Arial" w:hAnsi="Arial" w:cs="Arial"/>
                                <w:sz w:val="20"/>
                                <w:szCs w:val="20"/>
                              </w:rPr>
                              <w:t xml:space="preserve">) </w:t>
                            </w:r>
                            <w:r w:rsidRPr="00981E45">
                              <w:rPr>
                                <w:rFonts w:ascii="Arial" w:eastAsia="Times New Roman" w:hAnsi="Arial" w:cs="Arial"/>
                                <w:kern w:val="0"/>
                                <w:sz w:val="20"/>
                                <w:szCs w:val="20"/>
                                <w:lang w:eastAsia="en-GB"/>
                                <w14:ligatures w14:val="none"/>
                              </w:rPr>
                              <w:t>derived from Equation (1), showing SST tendency (black), net surface heat-flux term (</w:t>
                            </w:r>
                            <m:oMath>
                              <m:sSub>
                                <m:sSubPr>
                                  <m:ctrlPr>
                                    <w:rPr>
                                      <w:rFonts w:ascii="Cambria Math" w:eastAsia="Times New Roman" w:hAnsi="Cambria Math" w:cs="Arial"/>
                                      <w:i/>
                                      <w:kern w:val="0"/>
                                      <w:sz w:val="20"/>
                                      <w:szCs w:val="20"/>
                                      <w:lang w:eastAsia="en-GB"/>
                                      <w14:ligatures w14:val="none"/>
                                    </w:rPr>
                                  </m:ctrlPr>
                                </m:sSubPr>
                                <m:e>
                                  <m:r>
                                    <w:rPr>
                                      <w:rFonts w:ascii="Cambria Math" w:eastAsia="Times New Roman" w:hAnsi="Cambria Math" w:cs="Arial"/>
                                      <w:kern w:val="0"/>
                                      <w:sz w:val="20"/>
                                      <w:szCs w:val="20"/>
                                      <w:lang w:eastAsia="en-GB"/>
                                      <w14:ligatures w14:val="none"/>
                                    </w:rPr>
                                    <m:t>Q</m:t>
                                  </m:r>
                                </m:e>
                                <m:sub>
                                  <m:r>
                                    <w:rPr>
                                      <w:rFonts w:ascii="Cambria Math" w:eastAsia="Times New Roman" w:hAnsi="Cambria Math" w:cs="Arial"/>
                                      <w:kern w:val="0"/>
                                      <w:sz w:val="20"/>
                                      <w:szCs w:val="20"/>
                                      <w:lang w:eastAsia="en-GB"/>
                                      <w14:ligatures w14:val="none"/>
                                    </w:rPr>
                                    <m:t>net</m:t>
                                  </m:r>
                                </m:sub>
                              </m:sSub>
                            </m:oMath>
                            <w:r w:rsidRPr="00981E45">
                              <w:rPr>
                                <w:rFonts w:ascii="Arial" w:hAnsi="Arial" w:cs="Arial"/>
                                <w:sz w:val="20"/>
                                <w:szCs w:val="20"/>
                              </w:rPr>
                              <w:t xml:space="preserve"> term</w:t>
                            </w:r>
                            <w:r w:rsidRPr="00981E45">
                              <w:rPr>
                                <w:rFonts w:ascii="Arial" w:eastAsia="Times New Roman" w:hAnsi="Arial" w:cs="Arial"/>
                                <w:kern w:val="0"/>
                                <w:sz w:val="20"/>
                                <w:szCs w:val="20"/>
                                <w:lang w:eastAsia="en-GB"/>
                                <w14:ligatures w14:val="none"/>
                              </w:rPr>
                              <w:t xml:space="preserve">; red), horizontal advection (cyan), entrainment (blue), and the residual (green) during tropical AMV development, averaged over the five years preceding the peak. </w:t>
                            </w:r>
                            <w:r w:rsidRPr="00981E45">
                              <w:rPr>
                                <w:rFonts w:ascii="Arial" w:eastAsia="Times New Roman" w:hAnsi="Arial" w:cs="Arial"/>
                                <w:b/>
                                <w:bCs/>
                                <w:kern w:val="0"/>
                                <w:sz w:val="20"/>
                                <w:szCs w:val="20"/>
                                <w:lang w:eastAsia="en-GB"/>
                                <w14:ligatures w14:val="none"/>
                              </w:rPr>
                              <w:t>b, c,</w:t>
                            </w:r>
                            <w:r w:rsidRPr="00981E45">
                              <w:rPr>
                                <w:rFonts w:ascii="Arial" w:eastAsia="Times New Roman" w:hAnsi="Arial" w:cs="Arial"/>
                                <w:kern w:val="0"/>
                                <w:sz w:val="20"/>
                                <w:szCs w:val="20"/>
                                <w:lang w:eastAsia="en-GB"/>
                                <w14:ligatures w14:val="none"/>
                              </w:rPr>
                              <w:t xml:space="preserve"> The middle and lower rows show the same analysis for the low-seasonality and negative-seasonality model groups, respectively. Dark and light grey shading indicate growth (positive SST tendency) and decay (negative SST tendency) phases. Positive flux values indicate ocean warming. Circles mark values significant at the 90% confidence level.</w:t>
                            </w:r>
                          </w:p>
                          <w:p w14:paraId="13305EFC" w14:textId="77777777" w:rsidR="00981E45" w:rsidRPr="00981E45" w:rsidRDefault="00981E45" w:rsidP="00981E45">
                            <w:pPr>
                              <w:spacing w:line="276"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0120537" id="_x0000_t202" coordsize="21600,21600" o:spt="202" path="m,l,21600r21600,l21600,xe">
                <v:stroke joinstyle="miter"/>
                <v:path gradientshapeok="t" o:connecttype="rect"/>
              </v:shapetype>
              <v:shape id="Text Box 1" o:spid="_x0000_s1026" type="#_x0000_t202" style="width:462.4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" fillcolor="white [3201]" stroked="f" strokeweight=".5pt">
                <v:textbox>
                  <w:txbxContent>
                    <w:p w14:paraId="60F008F0" w14:textId="77777777" w:rsidR="00981E45" w:rsidRPr="00981E45" w:rsidRDefault="00981E45" w:rsidP="00981E45">
                      <w:pPr>
                        <w:spacing w:before="100" w:beforeAutospacing="1" w:after="100" w:afterAutospacing="1" w:line="276" w:lineRule="auto"/>
                        <w:jc w:val="both"/>
                        <w:rPr>
                          <w:rFonts w:ascii="Arial" w:eastAsia="Times New Roman" w:hAnsi="Arial" w:cs="Arial"/>
                          <w:kern w:val="0"/>
                          <w:sz w:val="20"/>
                          <w:szCs w:val="20"/>
                          <w:lang w:eastAsia="en-GB"/>
                          <w14:ligatures w14:val="none"/>
                        </w:rPr>
                      </w:pPr>
                      <w:r w:rsidRPr="00981E45">
                        <w:rPr>
                          <w:rFonts w:ascii="Arial" w:eastAsia="Times New Roman" w:hAnsi="Arial" w:cs="Arial"/>
                          <w:b/>
                          <w:bCs/>
                          <w:kern w:val="0"/>
                          <w:sz w:val="20"/>
                          <w:szCs w:val="20"/>
                          <w:lang w:eastAsia="en-GB"/>
                          <w14:ligatures w14:val="none"/>
                        </w:rPr>
                        <w:t>a,</w:t>
                      </w:r>
                      <w:r w:rsidRPr="00981E45">
                        <w:rPr>
                          <w:rFonts w:ascii="Arial" w:eastAsia="Times New Roman" w:hAnsi="Arial" w:cs="Arial"/>
                          <w:kern w:val="0"/>
                          <w:sz w:val="20"/>
                          <w:szCs w:val="20"/>
                          <w:lang w:eastAsia="en-GB"/>
                          <w14:ligatures w14:val="none"/>
                        </w:rPr>
                        <w:t xml:space="preserve"> Seasonality of SST budget terms </w:t>
                      </w:r>
                      <w:r w:rsidRPr="00981E45">
                        <w:rPr>
                          <w:rFonts w:ascii="Arial" w:hAnsi="Arial" w:cs="Arial"/>
                          <w:sz w:val="20"/>
                          <w:szCs w:val="20"/>
                        </w:rPr>
                        <w:t>(</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981E45">
                        <w:rPr>
                          <w:rFonts w:ascii="Arial" w:hAnsi="Arial" w:cs="Arial"/>
                          <w:sz w:val="20"/>
                          <w:szCs w:val="20"/>
                        </w:rPr>
                        <w:t xml:space="preserve">) </w:t>
                      </w:r>
                      <w:r w:rsidRPr="00981E45">
                        <w:rPr>
                          <w:rFonts w:ascii="Arial" w:eastAsia="Times New Roman" w:hAnsi="Arial" w:cs="Arial"/>
                          <w:kern w:val="0"/>
                          <w:sz w:val="20"/>
                          <w:szCs w:val="20"/>
                          <w:lang w:eastAsia="en-GB"/>
                          <w14:ligatures w14:val="none"/>
                        </w:rPr>
                        <w:t>derived from Equation (1), showing SST tendency (black), net surface heat-flux term (</w:t>
                      </w:r>
                      <m:oMath>
                        <m:sSub>
                          <m:sSubPr>
                            <m:ctrlPr>
                              <w:rPr>
                                <w:rFonts w:ascii="Cambria Math" w:eastAsia="Times New Roman" w:hAnsi="Cambria Math" w:cs="Arial"/>
                                <w:i/>
                                <w:kern w:val="0"/>
                                <w:sz w:val="20"/>
                                <w:szCs w:val="20"/>
                                <w:lang w:eastAsia="en-GB"/>
                                <w14:ligatures w14:val="none"/>
                              </w:rPr>
                            </m:ctrlPr>
                          </m:sSubPr>
                          <m:e>
                            <m:r>
                              <w:rPr>
                                <w:rFonts w:ascii="Cambria Math" w:eastAsia="Times New Roman" w:hAnsi="Cambria Math" w:cs="Arial"/>
                                <w:kern w:val="0"/>
                                <w:sz w:val="20"/>
                                <w:szCs w:val="20"/>
                                <w:lang w:eastAsia="en-GB"/>
                                <w14:ligatures w14:val="none"/>
                              </w:rPr>
                              <m:t>Q</m:t>
                            </m:r>
                          </m:e>
                          <m:sub>
                            <m:r>
                              <w:rPr>
                                <w:rFonts w:ascii="Cambria Math" w:eastAsia="Times New Roman" w:hAnsi="Cambria Math" w:cs="Arial"/>
                                <w:kern w:val="0"/>
                                <w:sz w:val="20"/>
                                <w:szCs w:val="20"/>
                                <w:lang w:eastAsia="en-GB"/>
                                <w14:ligatures w14:val="none"/>
                              </w:rPr>
                              <m:t>net</m:t>
                            </m:r>
                          </m:sub>
                        </m:sSub>
                      </m:oMath>
                      <w:r w:rsidRPr="00981E45">
                        <w:rPr>
                          <w:rFonts w:ascii="Arial" w:hAnsi="Arial" w:cs="Arial"/>
                          <w:sz w:val="20"/>
                          <w:szCs w:val="20"/>
                        </w:rPr>
                        <w:t xml:space="preserve"> term</w:t>
                      </w:r>
                      <w:r w:rsidRPr="00981E45">
                        <w:rPr>
                          <w:rFonts w:ascii="Arial" w:eastAsia="Times New Roman" w:hAnsi="Arial" w:cs="Arial"/>
                          <w:kern w:val="0"/>
                          <w:sz w:val="20"/>
                          <w:szCs w:val="20"/>
                          <w:lang w:eastAsia="en-GB"/>
                          <w14:ligatures w14:val="none"/>
                        </w:rPr>
                        <w:t xml:space="preserve">; red), horizontal advection (cyan), entrainment (blue), and the residual (green) during tropical AMV development, averaged over the five years preceding the peak. </w:t>
                      </w:r>
                      <w:r w:rsidRPr="00981E45">
                        <w:rPr>
                          <w:rFonts w:ascii="Arial" w:eastAsia="Times New Roman" w:hAnsi="Arial" w:cs="Arial"/>
                          <w:b/>
                          <w:bCs/>
                          <w:kern w:val="0"/>
                          <w:sz w:val="20"/>
                          <w:szCs w:val="20"/>
                          <w:lang w:eastAsia="en-GB"/>
                          <w14:ligatures w14:val="none"/>
                        </w:rPr>
                        <w:t>b, c,</w:t>
                      </w:r>
                      <w:r w:rsidRPr="00981E45">
                        <w:rPr>
                          <w:rFonts w:ascii="Arial" w:eastAsia="Times New Roman" w:hAnsi="Arial" w:cs="Arial"/>
                          <w:kern w:val="0"/>
                          <w:sz w:val="20"/>
                          <w:szCs w:val="20"/>
                          <w:lang w:eastAsia="en-GB"/>
                          <w14:ligatures w14:val="none"/>
                        </w:rPr>
                        <w:t xml:space="preserve"> The middle and lower rows show the same analysis for the low-seasonality and negative-seasonality model groups, respectively. Dark and light grey shading indicate growth (positive SST tendency) and decay (negative SST tendency) phases. Positive flux values indicate ocean warming. Circles mark values significant at the 90% confidence level.</w:t>
                      </w:r>
                    </w:p>
                    <w:p w14:paraId="13305EFC" w14:textId="77777777" w:rsidR="00981E45" w:rsidRPr="00981E45" w:rsidRDefault="00981E45" w:rsidP="00981E45">
                      <w:pPr>
                        <w:spacing w:line="276" w:lineRule="auto"/>
                        <w:rPr>
                          <w:sz w:val="20"/>
                          <w:szCs w:val="20"/>
                        </w:rPr>
                      </w:pPr>
                    </w:p>
                  </w:txbxContent>
                </v:textbox>
                <w10:anchorlock/>
              </v:shape>
            </w:pict>
          </mc:Fallback>
        </mc:AlternateContent>
      </w:r>
    </w:p>
    <w:p w14:paraId="24C34F0D" w14:textId="77777777" w:rsidR="009739A4" w:rsidRPr="00590236" w:rsidRDefault="009739A4" w:rsidP="00590236">
      <w:pPr>
        <w:spacing w:before="100" w:beforeAutospacing="1" w:after="100" w:afterAutospacing="1" w:line="360" w:lineRule="auto"/>
        <w:jc w:val="both"/>
        <w:rPr>
          <w:rFonts w:ascii="Arial" w:eastAsia="Times New Roman" w:hAnsi="Arial" w:cs="Arial"/>
          <w:kern w:val="0"/>
          <w:lang w:eastAsia="en-GB"/>
          <w14:ligatures w14:val="none"/>
        </w:rPr>
      </w:pPr>
    </w:p>
    <w:p w14:paraId="530AFC0A" w14:textId="03E796F8" w:rsidR="002169D8" w:rsidRPr="00590236" w:rsidRDefault="009739A4" w:rsidP="00590236">
      <w:pPr>
        <w:spacing w:line="360" w:lineRule="auto"/>
        <w:jc w:val="both"/>
        <w:rPr>
          <w:rFonts w:ascii="Arial" w:eastAsia="Times New Roman" w:hAnsi="Arial" w:cs="Arial"/>
          <w:b/>
          <w:bCs/>
          <w:kern w:val="0"/>
          <w:lang w:eastAsia="en-GB"/>
          <w14:ligatures w14:val="none"/>
        </w:rPr>
      </w:pPr>
      <w:r w:rsidRPr="00590236">
        <w:rPr>
          <w:rFonts w:ascii="Arial" w:hAnsi="Arial" w:cs="Arial"/>
          <w:noProof/>
        </w:rPr>
        <w:lastRenderedPageBreak/>
        <w:drawing>
          <wp:inline distT="0" distB="0" distL="0" distR="0" wp14:anchorId="79B5F92D" wp14:editId="273E2B8A">
            <wp:extent cx="5731510" cy="3700780"/>
            <wp:effectExtent l="0" t="0" r="2540" b="0"/>
            <wp:docPr id="1425900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00780"/>
                    </a:xfrm>
                    <a:prstGeom prst="rect">
                      <a:avLst/>
                    </a:prstGeom>
                    <a:noFill/>
                    <a:ln>
                      <a:noFill/>
                    </a:ln>
                  </pic:spPr>
                </pic:pic>
              </a:graphicData>
            </a:graphic>
          </wp:inline>
        </w:drawing>
      </w:r>
    </w:p>
    <w:p w14:paraId="1CC16495" w14:textId="77777777" w:rsidR="009739A4" w:rsidRPr="00590236" w:rsidRDefault="009739A4" w:rsidP="00590236">
      <w:pPr>
        <w:spacing w:line="360" w:lineRule="auto"/>
        <w:jc w:val="both"/>
        <w:rPr>
          <w:rFonts w:ascii="Arial" w:eastAsia="Times New Roman" w:hAnsi="Arial" w:cs="Arial"/>
          <w:b/>
          <w:bCs/>
          <w:kern w:val="0"/>
          <w:lang w:eastAsia="en-GB"/>
          <w14:ligatures w14:val="none"/>
        </w:rPr>
      </w:pPr>
    </w:p>
    <w:p w14:paraId="0D9F1B30" w14:textId="4398904F" w:rsidR="00962BB0" w:rsidRPr="00590236" w:rsidRDefault="00962BB0" w:rsidP="00590236">
      <w:pPr>
        <w:spacing w:line="360" w:lineRule="auto"/>
        <w:jc w:val="both"/>
        <w:rPr>
          <w:rFonts w:ascii="Arial" w:hAnsi="Arial" w:cs="Arial"/>
          <w:b/>
          <w:bCs/>
        </w:rPr>
      </w:pPr>
      <w:r w:rsidRPr="00590236">
        <w:rPr>
          <w:rFonts w:ascii="Arial" w:eastAsia="Times New Roman" w:hAnsi="Arial" w:cs="Arial"/>
          <w:b/>
          <w:bCs/>
          <w:kern w:val="0"/>
          <w:lang w:eastAsia="en-GB"/>
          <w14:ligatures w14:val="none"/>
        </w:rPr>
        <w:t xml:space="preserve">Supplementary </w:t>
      </w:r>
      <w:r w:rsidRPr="00590236">
        <w:rPr>
          <w:rFonts w:ascii="Arial" w:hAnsi="Arial" w:cs="Arial"/>
          <w:b/>
          <w:bCs/>
        </w:rPr>
        <w:t>Figure 2 | Seasonal maps for SST and atmospheric anomalies across model groups</w:t>
      </w:r>
    </w:p>
    <w:p w14:paraId="2BE2BBEF" w14:textId="3C142D4E" w:rsidR="00962BB0" w:rsidRPr="00590236" w:rsidRDefault="00950E57" w:rsidP="00590236">
      <w:pPr>
        <w:spacing w:line="360" w:lineRule="auto"/>
        <w:jc w:val="both"/>
        <w:rPr>
          <w:rFonts w:ascii="Arial" w:hAnsi="Arial" w:cs="Arial"/>
          <w:b/>
          <w:bCs/>
        </w:rPr>
      </w:pPr>
      <w:r>
        <w:rPr>
          <w:rFonts w:ascii="Arial" w:eastAsia="Times New Roman" w:hAnsi="Arial" w:cs="Arial"/>
          <w:noProof/>
          <w:kern w:val="0"/>
          <w:lang w:eastAsia="en-GB"/>
        </w:rPr>
        <mc:AlternateContent>
          <mc:Choice Requires="wps">
            <w:drawing>
              <wp:inline distT="0" distB="0" distL="0" distR="0" wp14:anchorId="6D1AEA4A" wp14:editId="55C620EB">
                <wp:extent cx="5795158" cy="1514104"/>
                <wp:effectExtent l="0" t="0" r="0" b="0"/>
                <wp:docPr id="1952357061" name="Text Box 1"/>
                <wp:cNvGraphicFramePr/>
                <a:graphic xmlns:a="http://schemas.openxmlformats.org/drawingml/2006/main">
                  <a:graphicData uri="http://schemas.microsoft.com/office/word/2010/wordprocessingShape">
                    <wps:wsp>
                      <wps:cNvSpPr txBox="1"/>
                      <wps:spPr>
                        <a:xfrm>
                          <a:off x="0" y="0"/>
                          <a:ext cx="5795158" cy="1514104"/>
                        </a:xfrm>
                        <a:prstGeom prst="rect">
                          <a:avLst/>
                        </a:prstGeom>
                        <a:solidFill>
                          <a:schemeClr val="lt1"/>
                        </a:solidFill>
                        <a:ln w="6350">
                          <a:noFill/>
                        </a:ln>
                      </wps:spPr>
                      <wps:txbx>
                        <w:txbxContent>
                          <w:p w14:paraId="77327085" w14:textId="319B6957" w:rsidR="00950E57" w:rsidRPr="00950E57" w:rsidRDefault="00950E57" w:rsidP="001969F6">
                            <w:pPr>
                              <w:spacing w:line="276" w:lineRule="auto"/>
                              <w:ind w:left="-142"/>
                              <w:jc w:val="both"/>
                              <w:rPr>
                                <w:rFonts w:ascii="Arial" w:hAnsi="Arial" w:cs="Arial"/>
                                <w:sz w:val="20"/>
                                <w:szCs w:val="20"/>
                              </w:rPr>
                            </w:pPr>
                            <w:r w:rsidRPr="00950E57">
                              <w:rPr>
                                <w:rFonts w:ascii="Arial" w:hAnsi="Arial" w:cs="Arial"/>
                                <w:sz w:val="20"/>
                                <w:szCs w:val="20"/>
                              </w:rPr>
                              <w:t xml:space="preserve">Seasonal maps of SST anomalies (shading; </w:t>
                            </w:r>
                            <m:oMath>
                              <m:r>
                                <w:rPr>
                                  <w:rFonts w:ascii="Cambria Math" w:hAnsi="Cambria Math" w:cs="Arial"/>
                                  <w:sz w:val="20"/>
                                  <w:szCs w:val="20"/>
                                </w:rPr>
                                <m:t>°C</m:t>
                              </m:r>
                            </m:oMath>
                            <w:r w:rsidRPr="00950E57">
                              <w:rPr>
                                <w:rFonts w:ascii="Arial" w:hAnsi="Arial" w:cs="Arial"/>
                                <w:sz w:val="20"/>
                                <w:szCs w:val="20"/>
                              </w:rPr>
                              <w:t>), sea level pressure anomalies (contours;</w:t>
                            </w:r>
                            <m:oMath>
                              <m:r>
                                <w:rPr>
                                  <w:rFonts w:ascii="Cambria Math" w:hAnsi="Cambria Math" w:cs="Arial"/>
                                  <w:sz w:val="20"/>
                                  <w:szCs w:val="20"/>
                                </w:rPr>
                                <m:t xml:space="preserve"> Pa</m:t>
                              </m:r>
                            </m:oMath>
                            <w:r w:rsidRPr="00950E57">
                              <w:rPr>
                                <w:rFonts w:ascii="Arial" w:hAnsi="Arial" w:cs="Arial"/>
                                <w:sz w:val="20"/>
                                <w:szCs w:val="20"/>
                              </w:rPr>
                              <w:t>; dashed contours denote negative anomalies), and anomalous 925-hPa winds (vectors;</w:t>
                            </w:r>
                            <w:r w:rsidR="002928EC">
                              <w:rPr>
                                <w:rFonts w:ascii="Arial" w:hAnsi="Arial" w:cs="Arial"/>
                                <w:sz w:val="20"/>
                                <w:szCs w:val="20"/>
                              </w:rPr>
                              <w:t xml:space="preserve"> </w:t>
                            </w:r>
                            <m:oMath>
                              <m:r>
                                <w:rPr>
                                  <w:rFonts w:ascii="Cambria Math" w:hAnsi="Cambria Math" w:cs="Arial"/>
                                  <w:sz w:val="20"/>
                                  <w:szCs w:val="20"/>
                                </w:rPr>
                                <m:t xml:space="preserve">m </m:t>
                              </m:r>
                              <m:sSup>
                                <m:sSupPr>
                                  <m:ctrlPr>
                                    <w:rPr>
                                      <w:rFonts w:ascii="Cambria Math" w:hAnsi="Cambria Math" w:cs="Arial"/>
                                      <w:i/>
                                      <w:sz w:val="20"/>
                                      <w:szCs w:val="20"/>
                                    </w:rPr>
                                  </m:ctrlPr>
                                </m:sSupPr>
                                <m:e>
                                  <m:r>
                                    <w:rPr>
                                      <w:rFonts w:ascii="Cambria Math" w:hAnsi="Cambria Math" w:cs="Arial"/>
                                      <w:sz w:val="20"/>
                                      <w:szCs w:val="20"/>
                                    </w:rPr>
                                    <m:t>s</m:t>
                                  </m:r>
                                </m:e>
                                <m:sup>
                                  <m:r>
                                    <w:rPr>
                                      <w:rFonts w:ascii="Cambria Math" w:hAnsi="Cambria Math" w:cs="Arial"/>
                                      <w:sz w:val="20"/>
                                      <w:szCs w:val="20"/>
                                    </w:rPr>
                                    <m:t>-1</m:t>
                                  </m:r>
                                </m:sup>
                              </m:sSup>
                            </m:oMath>
                            <w:r w:rsidRPr="00950E57">
                              <w:rPr>
                                <w:rFonts w:ascii="Arial" w:hAnsi="Arial" w:cs="Arial"/>
                                <w:sz w:val="20"/>
                                <w:szCs w:val="20"/>
                              </w:rPr>
                              <w:t>) are shown for three groups of climate models (rows) during tropical AMV development,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65139A52" w14:textId="77777777" w:rsidR="00950E57" w:rsidRPr="00950E57" w:rsidRDefault="00950E57" w:rsidP="00950E57">
                            <w:pPr>
                              <w:spacing w:line="276"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1AEA4A" id="_x0000_s1027" type="#_x0000_t202" style="width:456.3pt;height:1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" fillcolor="white [3201]" stroked="f" strokeweight=".5pt">
                <v:textbox>
                  <w:txbxContent>
                    <w:p w14:paraId="77327085" w14:textId="319B6957" w:rsidR="00950E57" w:rsidRPr="00950E57" w:rsidRDefault="00950E57" w:rsidP="001969F6">
                      <w:pPr>
                        <w:spacing w:line="276" w:lineRule="auto"/>
                        <w:ind w:left="-142"/>
                        <w:jc w:val="both"/>
                        <w:rPr>
                          <w:rFonts w:ascii="Arial" w:hAnsi="Arial" w:cs="Arial"/>
                          <w:sz w:val="20"/>
                          <w:szCs w:val="20"/>
                        </w:rPr>
                      </w:pPr>
                      <w:r w:rsidRPr="00950E57">
                        <w:rPr>
                          <w:rFonts w:ascii="Arial" w:hAnsi="Arial" w:cs="Arial"/>
                          <w:sz w:val="20"/>
                          <w:szCs w:val="20"/>
                        </w:rPr>
                        <w:t xml:space="preserve">Seasonal maps of SST anomalies (shading; </w:t>
                      </w:r>
                      <m:oMath>
                        <m:r>
                          <w:rPr>
                            <w:rFonts w:ascii="Cambria Math" w:hAnsi="Cambria Math" w:cs="Arial"/>
                            <w:sz w:val="20"/>
                            <w:szCs w:val="20"/>
                          </w:rPr>
                          <m:t>°C</m:t>
                        </m:r>
                      </m:oMath>
                      <w:r w:rsidRPr="00950E57">
                        <w:rPr>
                          <w:rFonts w:ascii="Arial" w:hAnsi="Arial" w:cs="Arial"/>
                          <w:sz w:val="20"/>
                          <w:szCs w:val="20"/>
                        </w:rPr>
                        <w:t>), sea level pressure anomalies (contours;</w:t>
                      </w:r>
                      <m:oMath>
                        <m:r>
                          <w:rPr>
                            <w:rFonts w:ascii="Cambria Math" w:hAnsi="Cambria Math" w:cs="Arial"/>
                            <w:sz w:val="20"/>
                            <w:szCs w:val="20"/>
                          </w:rPr>
                          <m:t xml:space="preserve"> Pa</m:t>
                        </m:r>
                      </m:oMath>
                      <w:r w:rsidRPr="00950E57">
                        <w:rPr>
                          <w:rFonts w:ascii="Arial" w:hAnsi="Arial" w:cs="Arial"/>
                          <w:sz w:val="20"/>
                          <w:szCs w:val="20"/>
                        </w:rPr>
                        <w:t>; dashed contours denote negative anomalies), and anomalous 925-hPa winds (vectors;</w:t>
                      </w:r>
                      <w:r w:rsidR="002928EC">
                        <w:rPr>
                          <w:rFonts w:ascii="Arial" w:hAnsi="Arial" w:cs="Arial"/>
                          <w:sz w:val="20"/>
                          <w:szCs w:val="20"/>
                        </w:rPr>
                        <w:t xml:space="preserve"> </w:t>
                      </w:r>
                      <m:oMath>
                        <m:r>
                          <w:rPr>
                            <w:rFonts w:ascii="Cambria Math" w:hAnsi="Cambria Math" w:cs="Arial"/>
                            <w:sz w:val="20"/>
                            <w:szCs w:val="20"/>
                          </w:rPr>
                          <m:t xml:space="preserve">m </m:t>
                        </m:r>
                        <m:sSup>
                          <m:sSupPr>
                            <m:ctrlPr>
                              <w:rPr>
                                <w:rFonts w:ascii="Cambria Math" w:hAnsi="Cambria Math" w:cs="Arial"/>
                                <w:i/>
                                <w:sz w:val="20"/>
                                <w:szCs w:val="20"/>
                              </w:rPr>
                            </m:ctrlPr>
                          </m:sSupPr>
                          <m:e>
                            <m:r>
                              <w:rPr>
                                <w:rFonts w:ascii="Cambria Math" w:hAnsi="Cambria Math" w:cs="Arial"/>
                                <w:sz w:val="20"/>
                                <w:szCs w:val="20"/>
                              </w:rPr>
                              <m:t>s</m:t>
                            </m:r>
                          </m:e>
                          <m:sup>
                            <m:r>
                              <w:rPr>
                                <w:rFonts w:ascii="Cambria Math" w:hAnsi="Cambria Math" w:cs="Arial"/>
                                <w:sz w:val="20"/>
                                <w:szCs w:val="20"/>
                              </w:rPr>
                              <m:t>-1</m:t>
                            </m:r>
                          </m:sup>
                        </m:sSup>
                      </m:oMath>
                      <w:r w:rsidRPr="00950E57">
                        <w:rPr>
                          <w:rFonts w:ascii="Arial" w:hAnsi="Arial" w:cs="Arial"/>
                          <w:sz w:val="20"/>
                          <w:szCs w:val="20"/>
                        </w:rPr>
                        <w:t>) are shown for three groups of climate models (rows) during tropical AMV development,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65139A52" w14:textId="77777777" w:rsidR="00950E57" w:rsidRPr="00950E57" w:rsidRDefault="00950E57" w:rsidP="00950E57">
                      <w:pPr>
                        <w:spacing w:line="276" w:lineRule="auto"/>
                        <w:rPr>
                          <w:sz w:val="16"/>
                          <w:szCs w:val="16"/>
                        </w:rPr>
                      </w:pPr>
                    </w:p>
                  </w:txbxContent>
                </v:textbox>
                <w10:anchorlock/>
              </v:shape>
            </w:pict>
          </mc:Fallback>
        </mc:AlternateContent>
      </w:r>
    </w:p>
    <w:p w14:paraId="18CD01A0" w14:textId="31EE2F96" w:rsidR="00950E57" w:rsidRDefault="00950E57" w:rsidP="00590236">
      <w:pPr>
        <w:spacing w:line="360" w:lineRule="auto"/>
        <w:jc w:val="both"/>
        <w:rPr>
          <w:rFonts w:ascii="Arial" w:hAnsi="Arial" w:cs="Arial"/>
        </w:rPr>
      </w:pPr>
    </w:p>
    <w:p w14:paraId="58E4495B" w14:textId="77777777" w:rsidR="002169D8" w:rsidRPr="00590236" w:rsidRDefault="002169D8" w:rsidP="00590236">
      <w:pPr>
        <w:spacing w:line="360" w:lineRule="auto"/>
        <w:jc w:val="both"/>
        <w:rPr>
          <w:rFonts w:ascii="Arial" w:hAnsi="Arial" w:cs="Arial"/>
        </w:rPr>
      </w:pPr>
    </w:p>
    <w:p w14:paraId="004A034D" w14:textId="77777777" w:rsidR="0009017A" w:rsidRPr="00590236" w:rsidRDefault="0009017A" w:rsidP="00590236">
      <w:pPr>
        <w:pStyle w:val="NormalWeb"/>
        <w:spacing w:line="360" w:lineRule="auto"/>
        <w:jc w:val="both"/>
        <w:rPr>
          <w:rFonts w:ascii="Arial" w:hAnsi="Arial" w:cs="Arial"/>
          <w:b/>
          <w:bCs/>
        </w:rPr>
      </w:pPr>
      <w:r w:rsidRPr="00590236">
        <w:rPr>
          <w:rFonts w:ascii="Arial" w:hAnsi="Arial" w:cs="Arial"/>
          <w:noProof/>
        </w:rPr>
        <w:lastRenderedPageBreak/>
        <w:drawing>
          <wp:inline distT="0" distB="0" distL="0" distR="0" wp14:anchorId="48DD4637" wp14:editId="326D3FC5">
            <wp:extent cx="5731510" cy="4765040"/>
            <wp:effectExtent l="0" t="0" r="2540" b="0"/>
            <wp:docPr id="1596417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765040"/>
                    </a:xfrm>
                    <a:prstGeom prst="rect">
                      <a:avLst/>
                    </a:prstGeom>
                    <a:noFill/>
                    <a:ln>
                      <a:noFill/>
                    </a:ln>
                  </pic:spPr>
                </pic:pic>
              </a:graphicData>
            </a:graphic>
          </wp:inline>
        </w:drawing>
      </w:r>
      <w:r w:rsidRPr="00590236">
        <w:rPr>
          <w:rFonts w:ascii="Arial" w:hAnsi="Arial" w:cs="Arial"/>
          <w:b/>
          <w:bCs/>
        </w:rPr>
        <w:t xml:space="preserve"> </w:t>
      </w:r>
    </w:p>
    <w:p w14:paraId="26B80FF8" w14:textId="7BA19124" w:rsidR="001F50D6" w:rsidRPr="00590236" w:rsidRDefault="001F50D6" w:rsidP="00590236">
      <w:pPr>
        <w:pStyle w:val="NormalWeb"/>
        <w:spacing w:line="360" w:lineRule="auto"/>
        <w:jc w:val="both"/>
        <w:rPr>
          <w:rFonts w:ascii="Arial" w:hAnsi="Arial" w:cs="Arial"/>
        </w:rPr>
      </w:pPr>
      <w:r w:rsidRPr="00590236">
        <w:rPr>
          <w:rFonts w:ascii="Arial" w:hAnsi="Arial" w:cs="Arial"/>
          <w:b/>
          <w:bCs/>
        </w:rPr>
        <w:t xml:space="preserve">Supplementary Figure 3 | </w:t>
      </w:r>
      <w:r w:rsidRPr="00590236">
        <w:rPr>
          <w:rStyle w:val="Strong"/>
          <w:rFonts w:ascii="Arial" w:eastAsiaTheme="minorHAnsi" w:hAnsi="Arial" w:cs="Arial"/>
          <w:kern w:val="2"/>
          <w:lang w:eastAsia="en-US"/>
          <w14:ligatures w14:val="standardContextual"/>
        </w:rPr>
        <w:t>Processes driving model diversity of internal tropical AMV during summer</w:t>
      </w:r>
    </w:p>
    <w:p w14:paraId="7F4E2F41" w14:textId="1720698F" w:rsidR="00A27250" w:rsidRDefault="00A27250" w:rsidP="001969F6">
      <w:pPr>
        <w:pStyle w:val="NormalWeb"/>
        <w:spacing w:line="360" w:lineRule="auto"/>
        <w:ind w:left="-142"/>
        <w:jc w:val="both"/>
        <w:rPr>
          <w:rFonts w:ascii="Arial" w:eastAsiaTheme="minorHAnsi" w:hAnsi="Arial" w:cs="Arial"/>
          <w:kern w:val="2"/>
          <w:lang w:eastAsia="en-US"/>
          <w14:ligatures w14:val="standardContextual"/>
        </w:rPr>
      </w:pPr>
      <w:r>
        <w:rPr>
          <w:rFonts w:ascii="Arial" w:hAnsi="Arial" w:cs="Arial"/>
          <w:noProof/>
        </w:rPr>
        <mc:AlternateContent>
          <mc:Choice Requires="wps">
            <w:drawing>
              <wp:inline distT="0" distB="0" distL="0" distR="0" wp14:anchorId="517E412E" wp14:editId="5C13350E">
                <wp:extent cx="5884223" cy="3010395"/>
                <wp:effectExtent l="0" t="0" r="2540" b="0"/>
                <wp:docPr id="1439477835" name="Text Box 1"/>
                <wp:cNvGraphicFramePr/>
                <a:graphic xmlns:a="http://schemas.openxmlformats.org/drawingml/2006/main">
                  <a:graphicData uri="http://schemas.microsoft.com/office/word/2010/wordprocessingShape">
                    <wps:wsp>
                      <wps:cNvSpPr txBox="1"/>
                      <wps:spPr>
                        <a:xfrm>
                          <a:off x="0" y="0"/>
                          <a:ext cx="5884223" cy="3010395"/>
                        </a:xfrm>
                        <a:prstGeom prst="rect">
                          <a:avLst/>
                        </a:prstGeom>
                        <a:solidFill>
                          <a:schemeClr val="lt1"/>
                        </a:solidFill>
                        <a:ln w="6350">
                          <a:noFill/>
                        </a:ln>
                      </wps:spPr>
                      <wps:txbx>
                        <w:txbxContent>
                          <w:p w14:paraId="4C42034D" w14:textId="5CCEB1E0" w:rsidR="00A27250" w:rsidRPr="00A27250" w:rsidRDefault="00A27250" w:rsidP="00A27250">
                            <w:pPr>
                              <w:pStyle w:val="NormalWeb"/>
                              <w:spacing w:line="276" w:lineRule="auto"/>
                              <w:jc w:val="both"/>
                              <w:rPr>
                                <w:rFonts w:ascii="Arial" w:hAnsi="Arial" w:cs="Arial"/>
                                <w:sz w:val="20"/>
                                <w:szCs w:val="20"/>
                              </w:rPr>
                            </w:pPr>
                            <w:r w:rsidRPr="00A27250">
                              <w:rPr>
                                <w:rFonts w:ascii="Arial" w:eastAsiaTheme="minorHAnsi" w:hAnsi="Arial" w:cs="Arial"/>
                                <w:kern w:val="2"/>
                                <w:sz w:val="20"/>
                                <w:szCs w:val="20"/>
                                <w:lang w:eastAsia="en-US"/>
                                <w14:ligatures w14:val="standardContextual"/>
                              </w:rPr>
                              <w:t xml:space="preserve">Scatter plots show inter-model relationships among key variables during the growth phases of tropical AMV, averaged over the five years preceding the peak. </w:t>
                            </w:r>
                            <w:r w:rsidRPr="00A27250">
                              <w:rPr>
                                <w:rFonts w:ascii="Arial" w:eastAsiaTheme="minorHAnsi" w:hAnsi="Arial" w:cs="Arial"/>
                                <w:b/>
                                <w:bCs/>
                                <w:kern w:val="2"/>
                                <w:sz w:val="20"/>
                                <w:szCs w:val="20"/>
                                <w:lang w:eastAsia="en-US"/>
                                <w14:ligatures w14:val="standardContextual"/>
                              </w:rPr>
                              <w:t>a,</w:t>
                            </w:r>
                            <w:r w:rsidRPr="00A27250">
                              <w:rPr>
                                <w:rFonts w:ascii="Arial" w:eastAsiaTheme="minorHAnsi" w:hAnsi="Arial" w:cs="Arial"/>
                                <w:kern w:val="2"/>
                                <w:sz w:val="20"/>
                                <w:szCs w:val="20"/>
                                <w:lang w:eastAsia="en-US"/>
                                <w14:ligatures w14:val="standardContextual"/>
                              </w:rPr>
                              <w:t xml:space="preserve"> Summer extratropical SST anomalies versus tropical wind-stress anomalies. </w:t>
                            </w:r>
                            <w:r w:rsidRPr="00A27250">
                              <w:rPr>
                                <w:rFonts w:ascii="Arial" w:eastAsiaTheme="minorHAnsi" w:hAnsi="Arial" w:cs="Arial"/>
                                <w:b/>
                                <w:bCs/>
                                <w:kern w:val="2"/>
                                <w:sz w:val="20"/>
                                <w:szCs w:val="20"/>
                                <w:lang w:eastAsia="en-US"/>
                                <w14:ligatures w14:val="standardContextual"/>
                              </w:rPr>
                              <w:t>b–f,</w:t>
                            </w:r>
                            <w:r w:rsidRPr="00A27250">
                              <w:rPr>
                                <w:rFonts w:ascii="Arial" w:eastAsiaTheme="minorHAnsi" w:hAnsi="Arial" w:cs="Arial"/>
                                <w:kern w:val="2"/>
                                <w:sz w:val="20"/>
                                <w:szCs w:val="20"/>
                                <w:lang w:eastAsia="en-US"/>
                                <w14:ligatures w14:val="standardContextual"/>
                              </w:rPr>
                              <w:t xml:space="preserve"> Summer (b, late summer; </w:t>
                            </w:r>
                            <w:r w:rsidRPr="00A27250">
                              <w:rPr>
                                <w:rFonts w:ascii="Arial" w:eastAsiaTheme="minorHAnsi" w:hAnsi="Arial" w:cs="Arial"/>
                                <w:b/>
                                <w:bCs/>
                                <w:kern w:val="2"/>
                                <w:sz w:val="20"/>
                                <w:szCs w:val="20"/>
                                <w:lang w:eastAsia="en-US"/>
                                <w14:ligatures w14:val="standardContextual"/>
                              </w:rPr>
                              <w:t>c–f,</w:t>
                            </w:r>
                            <w:r w:rsidRPr="00A27250">
                              <w:rPr>
                                <w:rFonts w:ascii="Arial" w:eastAsiaTheme="minorHAnsi" w:hAnsi="Arial" w:cs="Arial"/>
                                <w:kern w:val="2"/>
                                <w:sz w:val="20"/>
                                <w:szCs w:val="20"/>
                                <w:lang w:eastAsia="en-US"/>
                                <w14:ligatures w14:val="standardContextual"/>
                              </w:rPr>
                              <w:t xml:space="preserve"> summer) wind-stress anomalies versus latent, sensible, turbulent, shortwave, and net surface heat-flux anomalies. </w:t>
                            </w:r>
                            <w:r w:rsidRPr="00A27250">
                              <w:rPr>
                                <w:rFonts w:ascii="Arial" w:eastAsiaTheme="minorHAnsi" w:hAnsi="Arial" w:cs="Arial"/>
                                <w:b/>
                                <w:bCs/>
                                <w:kern w:val="2"/>
                                <w:sz w:val="20"/>
                                <w:szCs w:val="20"/>
                                <w:lang w:eastAsia="en-US"/>
                                <w14:ligatures w14:val="standardContextual"/>
                              </w:rPr>
                              <w:t>g,</w:t>
                            </w:r>
                            <w:r w:rsidRPr="00A27250">
                              <w:rPr>
                                <w:rFonts w:ascii="Arial" w:eastAsiaTheme="minorHAnsi" w:hAnsi="Arial" w:cs="Arial"/>
                                <w:kern w:val="2"/>
                                <w:sz w:val="20"/>
                                <w:szCs w:val="20"/>
                                <w:lang w:eastAsia="en-US"/>
                                <w14:ligatures w14:val="standardContextual"/>
                              </w:rPr>
                              <w:t xml:space="preserve"> Summer wind-stress anomalies versus the flux-driven SST tendency. </w:t>
                            </w:r>
                            <w:r w:rsidRPr="00A27250">
                              <w:rPr>
                                <w:rFonts w:ascii="Arial" w:eastAsiaTheme="minorHAnsi" w:hAnsi="Arial" w:cs="Arial"/>
                                <w:b/>
                                <w:bCs/>
                                <w:kern w:val="2"/>
                                <w:sz w:val="20"/>
                                <w:szCs w:val="20"/>
                                <w:lang w:eastAsia="en-US"/>
                                <w14:ligatures w14:val="standardContextual"/>
                              </w:rPr>
                              <w:t>h,</w:t>
                            </w:r>
                            <w:r w:rsidRPr="00A27250">
                              <w:rPr>
                                <w:rFonts w:ascii="Arial" w:eastAsiaTheme="minorHAnsi" w:hAnsi="Arial" w:cs="Arial"/>
                                <w:kern w:val="2"/>
                                <w:sz w:val="20"/>
                                <w:szCs w:val="20"/>
                                <w:lang w:eastAsia="en-US"/>
                                <w14:ligatures w14:val="standardContextual"/>
                              </w:rPr>
                              <w:t xml:space="preserve"> Early-summer wind-stress anomalies versus relative mixed-layer depth changes. </w:t>
                            </w:r>
                            <w:r w:rsidRPr="00A27250">
                              <w:rPr>
                                <w:rFonts w:ascii="Arial" w:eastAsiaTheme="minorHAnsi" w:hAnsi="Arial" w:cs="Arial"/>
                                <w:b/>
                                <w:bCs/>
                                <w:kern w:val="2"/>
                                <w:sz w:val="20"/>
                                <w:szCs w:val="20"/>
                                <w:lang w:eastAsia="en-US"/>
                                <w14:ligatures w14:val="standardContextual"/>
                              </w:rPr>
                              <w:t>i,</w:t>
                            </w:r>
                            <w:r w:rsidRPr="00A27250">
                              <w:rPr>
                                <w:rFonts w:ascii="Arial" w:eastAsiaTheme="minorHAnsi" w:hAnsi="Arial" w:cs="Arial"/>
                                <w:kern w:val="2"/>
                                <w:sz w:val="20"/>
                                <w:szCs w:val="20"/>
                                <w:lang w:eastAsia="en-US"/>
                                <w14:ligatures w14:val="standardContextual"/>
                              </w:rPr>
                              <w:t xml:space="preserve"> Early-summer wind-stress anomalies versus the mixed-layer</w:t>
                            </w:r>
                            <w:r w:rsidR="00D4776E">
                              <w:rPr>
                                <w:rFonts w:ascii="Arial" w:eastAsiaTheme="minorHAnsi" w:hAnsi="Arial" w:cs="Arial"/>
                                <w:kern w:val="2"/>
                                <w:sz w:val="20"/>
                                <w:szCs w:val="20"/>
                                <w:lang w:eastAsia="en-US"/>
                                <w14:ligatures w14:val="standardContextual"/>
                              </w:rPr>
                              <w:t>-</w:t>
                            </w:r>
                            <w:r w:rsidRPr="00A27250">
                              <w:rPr>
                                <w:rFonts w:ascii="Arial" w:eastAsiaTheme="minorHAnsi" w:hAnsi="Arial" w:cs="Arial"/>
                                <w:kern w:val="2"/>
                                <w:sz w:val="20"/>
                                <w:szCs w:val="20"/>
                                <w:lang w:eastAsia="en-US"/>
                                <w14:ligatures w14:val="standardContextual"/>
                              </w:rPr>
                              <w:t xml:space="preserve">depth contribution to SST tendency. </w:t>
                            </w:r>
                            <w:r w:rsidRPr="00A27250">
                              <w:rPr>
                                <w:rFonts w:ascii="Arial" w:eastAsiaTheme="minorHAnsi" w:hAnsi="Arial" w:cs="Arial"/>
                                <w:b/>
                                <w:bCs/>
                                <w:kern w:val="2"/>
                                <w:sz w:val="20"/>
                                <w:szCs w:val="20"/>
                                <w:lang w:eastAsia="en-US"/>
                                <w14:ligatures w14:val="standardContextual"/>
                              </w:rPr>
                              <w:t>j,</w:t>
                            </w:r>
                            <w:r w:rsidRPr="00A27250">
                              <w:rPr>
                                <w:rFonts w:ascii="Arial" w:eastAsiaTheme="minorHAnsi" w:hAnsi="Arial" w:cs="Arial"/>
                                <w:kern w:val="2"/>
                                <w:sz w:val="20"/>
                                <w:szCs w:val="20"/>
                                <w:lang w:eastAsia="en-US"/>
                                <w14:ligatures w14:val="standardContextual"/>
                              </w:rPr>
                              <w:t xml:space="preserve"> Summer wind-stress anomalies versus the net surface heat-flux driven SST tendency. </w:t>
                            </w:r>
                            <w:r w:rsidRPr="00A27250">
                              <w:rPr>
                                <w:rFonts w:ascii="Arial" w:eastAsiaTheme="minorHAnsi" w:hAnsi="Arial" w:cs="Arial"/>
                                <w:b/>
                                <w:bCs/>
                                <w:kern w:val="2"/>
                                <w:sz w:val="20"/>
                                <w:szCs w:val="20"/>
                                <w:lang w:eastAsia="en-US"/>
                                <w14:ligatures w14:val="standardContextual"/>
                              </w:rPr>
                              <w:t>k,</w:t>
                            </w:r>
                            <w:r w:rsidRPr="00A27250">
                              <w:rPr>
                                <w:rFonts w:ascii="Arial" w:eastAsiaTheme="minorHAnsi" w:hAnsi="Arial" w:cs="Arial"/>
                                <w:kern w:val="2"/>
                                <w:sz w:val="20"/>
                                <w:szCs w:val="20"/>
                                <w:lang w:eastAsia="en-US"/>
                                <w14:ligatures w14:val="standardContextual"/>
                              </w:rPr>
                              <w:t xml:space="preserve"> Summer wind-stress anomalies versus SST tendency. </w:t>
                            </w:r>
                            <w:r w:rsidRPr="00A27250">
                              <w:rPr>
                                <w:rStyle w:val="Strong"/>
                                <w:rFonts w:ascii="Arial" w:eastAsiaTheme="minorHAnsi" w:hAnsi="Arial" w:cs="Arial"/>
                                <w:b w:val="0"/>
                                <w:bCs w:val="0"/>
                                <w:kern w:val="2"/>
                                <w:sz w:val="20"/>
                                <w:szCs w:val="20"/>
                                <w:lang w:eastAsia="en-US"/>
                                <w14:ligatures w14:val="standardContextual"/>
                              </w:rPr>
                              <w:t>Positive heat-flux values indicate ocean warming. Pearson correlation coefficients (r) are shown in each panel, with values in square brackets indicating the 90% confidence interval. Blue, cyan, and red letters indicate high-, low-, and negative-seasonality models.</w:t>
                            </w:r>
                            <w:r w:rsidRPr="00A27250">
                              <w:rPr>
                                <w:rStyle w:val="Strong"/>
                                <w:rFonts w:ascii="Arial" w:eastAsiaTheme="minorHAnsi" w:hAnsi="Arial" w:cs="Arial"/>
                                <w:kern w:val="2"/>
                                <w:sz w:val="20"/>
                                <w:szCs w:val="20"/>
                                <w:lang w:eastAsia="en-US"/>
                                <w14:ligatures w14:val="standardContextual"/>
                              </w:rPr>
                              <w:t xml:space="preserve"> </w:t>
                            </w:r>
                            <w:r w:rsidRPr="00A27250">
                              <w:rPr>
                                <w:rFonts w:ascii="Arial" w:hAnsi="Arial" w:cs="Arial"/>
                                <w:sz w:val="20"/>
                                <w:szCs w:val="20"/>
                              </w:rPr>
                              <w:t xml:space="preserve">The black star marker represents observational estimates using HadISST over the </w:t>
                            </w:r>
                            <w:r w:rsidR="00D4776E">
                              <w:rPr>
                                <w:rFonts w:ascii="Arial" w:hAnsi="Arial" w:cs="Arial"/>
                                <w:sz w:val="20"/>
                                <w:szCs w:val="20"/>
                              </w:rPr>
                              <w:t>extended</w:t>
                            </w:r>
                            <w:r w:rsidRPr="00A27250">
                              <w:rPr>
                                <w:rFonts w:ascii="Arial" w:hAnsi="Arial" w:cs="Arial"/>
                                <w:sz w:val="20"/>
                                <w:szCs w:val="20"/>
                              </w:rPr>
                              <w:t xml:space="preserve"> period (1983–2024) combined with wind stress anomalies from 20CRv3 (1883–2015), while the open star marker represents observational estimates using HadISST over the </w:t>
                            </w:r>
                            <w:r w:rsidR="00D4776E">
                              <w:rPr>
                                <w:rFonts w:ascii="Arial" w:hAnsi="Arial" w:cs="Arial"/>
                                <w:sz w:val="20"/>
                                <w:szCs w:val="20"/>
                              </w:rPr>
                              <w:t>mo</w:t>
                            </w:r>
                            <w:r w:rsidR="00426ECA">
                              <w:rPr>
                                <w:rFonts w:ascii="Arial" w:hAnsi="Arial" w:cs="Arial"/>
                                <w:sz w:val="20"/>
                                <w:szCs w:val="20"/>
                              </w:rPr>
                              <w:t>re</w:t>
                            </w:r>
                            <w:r w:rsidR="00D4776E">
                              <w:rPr>
                                <w:rFonts w:ascii="Arial" w:hAnsi="Arial" w:cs="Arial"/>
                                <w:sz w:val="20"/>
                                <w:szCs w:val="20"/>
                              </w:rPr>
                              <w:t xml:space="preserve"> recent (data-rich)</w:t>
                            </w:r>
                            <w:r w:rsidRPr="00A27250">
                              <w:rPr>
                                <w:rFonts w:ascii="Arial" w:hAnsi="Arial" w:cs="Arial"/>
                                <w:sz w:val="20"/>
                                <w:szCs w:val="20"/>
                              </w:rPr>
                              <w:t xml:space="preserve"> period (1950–2024) combined with wind stress anomalies from ERA5 (1940–2024). The brown star marker presents the multi-model mean value.</w:t>
                            </w:r>
                          </w:p>
                          <w:p w14:paraId="1105AE81" w14:textId="77777777" w:rsidR="00A27250" w:rsidRPr="00A27250" w:rsidRDefault="00A27250" w:rsidP="00A27250">
                            <w:pPr>
                              <w:spacing w:line="276" w:lineRule="auto"/>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7E412E" id="_x0000_s1028" type="#_x0000_t202" style="width:463.3pt;height:2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" fillcolor="white [3201]" stroked="f" strokeweight=".5pt">
                <v:textbox>
                  <w:txbxContent>
                    <w:p w14:paraId="4C42034D" w14:textId="5CCEB1E0" w:rsidR="00A27250" w:rsidRPr="00A27250" w:rsidRDefault="00A27250" w:rsidP="00A27250">
                      <w:pPr>
                        <w:pStyle w:val="NormalWeb"/>
                        <w:spacing w:line="276" w:lineRule="auto"/>
                        <w:jc w:val="both"/>
                        <w:rPr>
                          <w:rFonts w:ascii="Arial" w:hAnsi="Arial" w:cs="Arial"/>
                          <w:sz w:val="20"/>
                          <w:szCs w:val="20"/>
                        </w:rPr>
                      </w:pPr>
                      <w:r w:rsidRPr="00A27250">
                        <w:rPr>
                          <w:rFonts w:ascii="Arial" w:eastAsiaTheme="minorHAnsi" w:hAnsi="Arial" w:cs="Arial"/>
                          <w:kern w:val="2"/>
                          <w:sz w:val="20"/>
                          <w:szCs w:val="20"/>
                          <w:lang w:eastAsia="en-US"/>
                          <w14:ligatures w14:val="standardContextual"/>
                        </w:rPr>
                        <w:t xml:space="preserve">Scatter plots show inter-model relationships among key variables during the growth phases of tropical AMV, averaged over the five years preceding the peak. </w:t>
                      </w:r>
                      <w:r w:rsidRPr="00A27250">
                        <w:rPr>
                          <w:rFonts w:ascii="Arial" w:eastAsiaTheme="minorHAnsi" w:hAnsi="Arial" w:cs="Arial"/>
                          <w:b/>
                          <w:bCs/>
                          <w:kern w:val="2"/>
                          <w:sz w:val="20"/>
                          <w:szCs w:val="20"/>
                          <w:lang w:eastAsia="en-US"/>
                          <w14:ligatures w14:val="standardContextual"/>
                        </w:rPr>
                        <w:t>a,</w:t>
                      </w:r>
                      <w:r w:rsidRPr="00A27250">
                        <w:rPr>
                          <w:rFonts w:ascii="Arial" w:eastAsiaTheme="minorHAnsi" w:hAnsi="Arial" w:cs="Arial"/>
                          <w:kern w:val="2"/>
                          <w:sz w:val="20"/>
                          <w:szCs w:val="20"/>
                          <w:lang w:eastAsia="en-US"/>
                          <w14:ligatures w14:val="standardContextual"/>
                        </w:rPr>
                        <w:t xml:space="preserve"> Summer extratropical SST anomalies versus tropical wind-stress anomalies. </w:t>
                      </w:r>
                      <w:r w:rsidRPr="00A27250">
                        <w:rPr>
                          <w:rFonts w:ascii="Arial" w:eastAsiaTheme="minorHAnsi" w:hAnsi="Arial" w:cs="Arial"/>
                          <w:b/>
                          <w:bCs/>
                          <w:kern w:val="2"/>
                          <w:sz w:val="20"/>
                          <w:szCs w:val="20"/>
                          <w:lang w:eastAsia="en-US"/>
                          <w14:ligatures w14:val="standardContextual"/>
                        </w:rPr>
                        <w:t>b–f,</w:t>
                      </w:r>
                      <w:r w:rsidRPr="00A27250">
                        <w:rPr>
                          <w:rFonts w:ascii="Arial" w:eastAsiaTheme="minorHAnsi" w:hAnsi="Arial" w:cs="Arial"/>
                          <w:kern w:val="2"/>
                          <w:sz w:val="20"/>
                          <w:szCs w:val="20"/>
                          <w:lang w:eastAsia="en-US"/>
                          <w14:ligatures w14:val="standardContextual"/>
                        </w:rPr>
                        <w:t xml:space="preserve"> Summer (b, late summer; </w:t>
                      </w:r>
                      <w:r w:rsidRPr="00A27250">
                        <w:rPr>
                          <w:rFonts w:ascii="Arial" w:eastAsiaTheme="minorHAnsi" w:hAnsi="Arial" w:cs="Arial"/>
                          <w:b/>
                          <w:bCs/>
                          <w:kern w:val="2"/>
                          <w:sz w:val="20"/>
                          <w:szCs w:val="20"/>
                          <w:lang w:eastAsia="en-US"/>
                          <w14:ligatures w14:val="standardContextual"/>
                        </w:rPr>
                        <w:t>c–f,</w:t>
                      </w:r>
                      <w:r w:rsidRPr="00A27250">
                        <w:rPr>
                          <w:rFonts w:ascii="Arial" w:eastAsiaTheme="minorHAnsi" w:hAnsi="Arial" w:cs="Arial"/>
                          <w:kern w:val="2"/>
                          <w:sz w:val="20"/>
                          <w:szCs w:val="20"/>
                          <w:lang w:eastAsia="en-US"/>
                          <w14:ligatures w14:val="standardContextual"/>
                        </w:rPr>
                        <w:t xml:space="preserve"> summer) wind-stress anomalies versus latent, sensible, turbulent, shortwave, and net surface heat-flux anomalies. </w:t>
                      </w:r>
                      <w:r w:rsidRPr="00A27250">
                        <w:rPr>
                          <w:rFonts w:ascii="Arial" w:eastAsiaTheme="minorHAnsi" w:hAnsi="Arial" w:cs="Arial"/>
                          <w:b/>
                          <w:bCs/>
                          <w:kern w:val="2"/>
                          <w:sz w:val="20"/>
                          <w:szCs w:val="20"/>
                          <w:lang w:eastAsia="en-US"/>
                          <w14:ligatures w14:val="standardContextual"/>
                        </w:rPr>
                        <w:t>g,</w:t>
                      </w:r>
                      <w:r w:rsidRPr="00A27250">
                        <w:rPr>
                          <w:rFonts w:ascii="Arial" w:eastAsiaTheme="minorHAnsi" w:hAnsi="Arial" w:cs="Arial"/>
                          <w:kern w:val="2"/>
                          <w:sz w:val="20"/>
                          <w:szCs w:val="20"/>
                          <w:lang w:eastAsia="en-US"/>
                          <w14:ligatures w14:val="standardContextual"/>
                        </w:rPr>
                        <w:t xml:space="preserve"> Summer wind-stress anomalies versus the flux-driven SST tendency. </w:t>
                      </w:r>
                      <w:r w:rsidRPr="00A27250">
                        <w:rPr>
                          <w:rFonts w:ascii="Arial" w:eastAsiaTheme="minorHAnsi" w:hAnsi="Arial" w:cs="Arial"/>
                          <w:b/>
                          <w:bCs/>
                          <w:kern w:val="2"/>
                          <w:sz w:val="20"/>
                          <w:szCs w:val="20"/>
                          <w:lang w:eastAsia="en-US"/>
                          <w14:ligatures w14:val="standardContextual"/>
                        </w:rPr>
                        <w:t>h,</w:t>
                      </w:r>
                      <w:r w:rsidRPr="00A27250">
                        <w:rPr>
                          <w:rFonts w:ascii="Arial" w:eastAsiaTheme="minorHAnsi" w:hAnsi="Arial" w:cs="Arial"/>
                          <w:kern w:val="2"/>
                          <w:sz w:val="20"/>
                          <w:szCs w:val="20"/>
                          <w:lang w:eastAsia="en-US"/>
                          <w14:ligatures w14:val="standardContextual"/>
                        </w:rPr>
                        <w:t xml:space="preserve"> Early-summer wind-stress anomalies versus relative mixed-layer depth changes. </w:t>
                      </w:r>
                      <w:r w:rsidRPr="00A27250">
                        <w:rPr>
                          <w:rFonts w:ascii="Arial" w:eastAsiaTheme="minorHAnsi" w:hAnsi="Arial" w:cs="Arial"/>
                          <w:b/>
                          <w:bCs/>
                          <w:kern w:val="2"/>
                          <w:sz w:val="20"/>
                          <w:szCs w:val="20"/>
                          <w:lang w:eastAsia="en-US"/>
                          <w14:ligatures w14:val="standardContextual"/>
                        </w:rPr>
                        <w:t>i,</w:t>
                      </w:r>
                      <w:r w:rsidRPr="00A27250">
                        <w:rPr>
                          <w:rFonts w:ascii="Arial" w:eastAsiaTheme="minorHAnsi" w:hAnsi="Arial" w:cs="Arial"/>
                          <w:kern w:val="2"/>
                          <w:sz w:val="20"/>
                          <w:szCs w:val="20"/>
                          <w:lang w:eastAsia="en-US"/>
                          <w14:ligatures w14:val="standardContextual"/>
                        </w:rPr>
                        <w:t xml:space="preserve"> Early-summer wind-stress anomalies versus the mixed-layer</w:t>
                      </w:r>
                      <w:r w:rsidR="00D4776E">
                        <w:rPr>
                          <w:rFonts w:ascii="Arial" w:eastAsiaTheme="minorHAnsi" w:hAnsi="Arial" w:cs="Arial"/>
                          <w:kern w:val="2"/>
                          <w:sz w:val="20"/>
                          <w:szCs w:val="20"/>
                          <w:lang w:eastAsia="en-US"/>
                          <w14:ligatures w14:val="standardContextual"/>
                        </w:rPr>
                        <w:t>-</w:t>
                      </w:r>
                      <w:r w:rsidRPr="00A27250">
                        <w:rPr>
                          <w:rFonts w:ascii="Arial" w:eastAsiaTheme="minorHAnsi" w:hAnsi="Arial" w:cs="Arial"/>
                          <w:kern w:val="2"/>
                          <w:sz w:val="20"/>
                          <w:szCs w:val="20"/>
                          <w:lang w:eastAsia="en-US"/>
                          <w14:ligatures w14:val="standardContextual"/>
                        </w:rPr>
                        <w:t xml:space="preserve">depth contribution to SST tendency. </w:t>
                      </w:r>
                      <w:r w:rsidRPr="00A27250">
                        <w:rPr>
                          <w:rFonts w:ascii="Arial" w:eastAsiaTheme="minorHAnsi" w:hAnsi="Arial" w:cs="Arial"/>
                          <w:b/>
                          <w:bCs/>
                          <w:kern w:val="2"/>
                          <w:sz w:val="20"/>
                          <w:szCs w:val="20"/>
                          <w:lang w:eastAsia="en-US"/>
                          <w14:ligatures w14:val="standardContextual"/>
                        </w:rPr>
                        <w:t>j,</w:t>
                      </w:r>
                      <w:r w:rsidRPr="00A27250">
                        <w:rPr>
                          <w:rFonts w:ascii="Arial" w:eastAsiaTheme="minorHAnsi" w:hAnsi="Arial" w:cs="Arial"/>
                          <w:kern w:val="2"/>
                          <w:sz w:val="20"/>
                          <w:szCs w:val="20"/>
                          <w:lang w:eastAsia="en-US"/>
                          <w14:ligatures w14:val="standardContextual"/>
                        </w:rPr>
                        <w:t xml:space="preserve"> Summer wind-stress anomalies versus the net surface heat-flux driven SST tendency. </w:t>
                      </w:r>
                      <w:r w:rsidRPr="00A27250">
                        <w:rPr>
                          <w:rFonts w:ascii="Arial" w:eastAsiaTheme="minorHAnsi" w:hAnsi="Arial" w:cs="Arial"/>
                          <w:b/>
                          <w:bCs/>
                          <w:kern w:val="2"/>
                          <w:sz w:val="20"/>
                          <w:szCs w:val="20"/>
                          <w:lang w:eastAsia="en-US"/>
                          <w14:ligatures w14:val="standardContextual"/>
                        </w:rPr>
                        <w:t>k,</w:t>
                      </w:r>
                      <w:r w:rsidRPr="00A27250">
                        <w:rPr>
                          <w:rFonts w:ascii="Arial" w:eastAsiaTheme="minorHAnsi" w:hAnsi="Arial" w:cs="Arial"/>
                          <w:kern w:val="2"/>
                          <w:sz w:val="20"/>
                          <w:szCs w:val="20"/>
                          <w:lang w:eastAsia="en-US"/>
                          <w14:ligatures w14:val="standardContextual"/>
                        </w:rPr>
                        <w:t xml:space="preserve"> Summer wind-stress anomalies versus SST tendency. </w:t>
                      </w:r>
                      <w:r w:rsidRPr="00A27250">
                        <w:rPr>
                          <w:rStyle w:val="Strong"/>
                          <w:rFonts w:ascii="Arial" w:eastAsiaTheme="minorHAnsi" w:hAnsi="Arial" w:cs="Arial"/>
                          <w:b w:val="0"/>
                          <w:bCs w:val="0"/>
                          <w:kern w:val="2"/>
                          <w:sz w:val="20"/>
                          <w:szCs w:val="20"/>
                          <w:lang w:eastAsia="en-US"/>
                          <w14:ligatures w14:val="standardContextual"/>
                        </w:rPr>
                        <w:t>Positive heat-flux values indicate ocean warming. Pearson correlation coefficients (r) are shown in each panel, with values in square brackets indicating the 90% confidence interval. Blue, cyan, and red letters indicate high-, low-, and negative-seasonality models.</w:t>
                      </w:r>
                      <w:r w:rsidRPr="00A27250">
                        <w:rPr>
                          <w:rStyle w:val="Strong"/>
                          <w:rFonts w:ascii="Arial" w:eastAsiaTheme="minorHAnsi" w:hAnsi="Arial" w:cs="Arial"/>
                          <w:kern w:val="2"/>
                          <w:sz w:val="20"/>
                          <w:szCs w:val="20"/>
                          <w:lang w:eastAsia="en-US"/>
                          <w14:ligatures w14:val="standardContextual"/>
                        </w:rPr>
                        <w:t xml:space="preserve"> </w:t>
                      </w:r>
                      <w:r w:rsidRPr="00A27250">
                        <w:rPr>
                          <w:rFonts w:ascii="Arial" w:hAnsi="Arial" w:cs="Arial"/>
                          <w:sz w:val="20"/>
                          <w:szCs w:val="20"/>
                        </w:rPr>
                        <w:t xml:space="preserve">The black star marker represents observational estimates using HadISST over the </w:t>
                      </w:r>
                      <w:r w:rsidR="00D4776E">
                        <w:rPr>
                          <w:rFonts w:ascii="Arial" w:hAnsi="Arial" w:cs="Arial"/>
                          <w:sz w:val="20"/>
                          <w:szCs w:val="20"/>
                        </w:rPr>
                        <w:t>extended</w:t>
                      </w:r>
                      <w:r w:rsidRPr="00A27250">
                        <w:rPr>
                          <w:rFonts w:ascii="Arial" w:hAnsi="Arial" w:cs="Arial"/>
                          <w:sz w:val="20"/>
                          <w:szCs w:val="20"/>
                        </w:rPr>
                        <w:t xml:space="preserve"> period (1983–2024) combined with wind stress anomalies from 20CRv3 (1883–2015), while the open star marker represents observational estimates using HadISST over the </w:t>
                      </w:r>
                      <w:r w:rsidR="00D4776E">
                        <w:rPr>
                          <w:rFonts w:ascii="Arial" w:hAnsi="Arial" w:cs="Arial"/>
                          <w:sz w:val="20"/>
                          <w:szCs w:val="20"/>
                        </w:rPr>
                        <w:t>mo</w:t>
                      </w:r>
                      <w:r w:rsidR="00426ECA">
                        <w:rPr>
                          <w:rFonts w:ascii="Arial" w:hAnsi="Arial" w:cs="Arial"/>
                          <w:sz w:val="20"/>
                          <w:szCs w:val="20"/>
                        </w:rPr>
                        <w:t>re</w:t>
                      </w:r>
                      <w:r w:rsidR="00D4776E">
                        <w:rPr>
                          <w:rFonts w:ascii="Arial" w:hAnsi="Arial" w:cs="Arial"/>
                          <w:sz w:val="20"/>
                          <w:szCs w:val="20"/>
                        </w:rPr>
                        <w:t xml:space="preserve"> recent (data-rich)</w:t>
                      </w:r>
                      <w:r w:rsidRPr="00A27250">
                        <w:rPr>
                          <w:rFonts w:ascii="Arial" w:hAnsi="Arial" w:cs="Arial"/>
                          <w:sz w:val="20"/>
                          <w:szCs w:val="20"/>
                        </w:rPr>
                        <w:t xml:space="preserve"> period (1950–2024) combined with wind stress anomalies from ERA5 (1940–2024). The brown star marker presents the multi-model mean value.</w:t>
                      </w:r>
                    </w:p>
                    <w:p w14:paraId="1105AE81" w14:textId="77777777" w:rsidR="00A27250" w:rsidRPr="00A27250" w:rsidRDefault="00A27250" w:rsidP="00A27250">
                      <w:pPr>
                        <w:spacing w:line="276" w:lineRule="auto"/>
                        <w:rPr>
                          <w:sz w:val="12"/>
                          <w:szCs w:val="12"/>
                        </w:rPr>
                      </w:pPr>
                    </w:p>
                  </w:txbxContent>
                </v:textbox>
                <w10:anchorlock/>
              </v:shape>
            </w:pict>
          </mc:Fallback>
        </mc:AlternateContent>
      </w:r>
    </w:p>
    <w:p w14:paraId="087B7491" w14:textId="77777777" w:rsidR="00821895" w:rsidRPr="00590236" w:rsidRDefault="00821895" w:rsidP="00821895">
      <w:pPr>
        <w:spacing w:before="100" w:beforeAutospacing="1" w:after="100" w:afterAutospacing="1" w:line="360" w:lineRule="auto"/>
        <w:jc w:val="both"/>
        <w:rPr>
          <w:rFonts w:ascii="Arial" w:eastAsia="Times New Roman" w:hAnsi="Arial" w:cs="Arial"/>
          <w:kern w:val="0"/>
          <w:lang w:eastAsia="en-GB"/>
          <w14:ligatures w14:val="none"/>
        </w:rPr>
      </w:pPr>
    </w:p>
    <w:p w14:paraId="03338292" w14:textId="77777777" w:rsidR="00821895" w:rsidRPr="00590236" w:rsidRDefault="00821895" w:rsidP="00821895">
      <w:pPr>
        <w:spacing w:line="360" w:lineRule="auto"/>
        <w:jc w:val="both"/>
        <w:rPr>
          <w:rFonts w:ascii="Arial" w:hAnsi="Arial" w:cs="Arial"/>
        </w:rPr>
      </w:pPr>
      <w:r w:rsidRPr="00590236">
        <w:rPr>
          <w:rFonts w:ascii="Arial" w:hAnsi="Arial" w:cs="Arial"/>
          <w:noProof/>
        </w:rPr>
        <w:drawing>
          <wp:inline distT="0" distB="0" distL="0" distR="0" wp14:anchorId="4C817B30" wp14:editId="45E7AA25">
            <wp:extent cx="5408930" cy="5688330"/>
            <wp:effectExtent l="0" t="0" r="1270" b="7620"/>
            <wp:docPr id="13772064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8930" cy="5688330"/>
                    </a:xfrm>
                    <a:prstGeom prst="rect">
                      <a:avLst/>
                    </a:prstGeom>
                    <a:noFill/>
                    <a:ln>
                      <a:noFill/>
                    </a:ln>
                  </pic:spPr>
                </pic:pic>
              </a:graphicData>
            </a:graphic>
          </wp:inline>
        </w:drawing>
      </w:r>
    </w:p>
    <w:p w14:paraId="6A24CEBD" w14:textId="4FEAF9E1" w:rsidR="00821895" w:rsidRDefault="00821895" w:rsidP="00821895">
      <w:pPr>
        <w:spacing w:line="360" w:lineRule="auto"/>
        <w:jc w:val="both"/>
        <w:rPr>
          <w:rFonts w:ascii="Arial" w:eastAsia="Times New Roman" w:hAnsi="Arial" w:cs="Arial"/>
          <w:b/>
          <w:bCs/>
          <w:kern w:val="0"/>
          <w:lang w:eastAsia="en-GB"/>
          <w14:ligatures w14:val="none"/>
        </w:rPr>
      </w:pPr>
      <w:r w:rsidRPr="00B50290">
        <w:rPr>
          <w:rFonts w:ascii="Arial" w:eastAsia="Times New Roman" w:hAnsi="Arial" w:cs="Arial"/>
          <w:b/>
          <w:bCs/>
          <w:kern w:val="0"/>
          <w:lang w:eastAsia="en-GB"/>
          <w14:ligatures w14:val="none"/>
        </w:rPr>
        <w:t xml:space="preserve">Supplementary Figure </w:t>
      </w:r>
      <w:r>
        <w:rPr>
          <w:rFonts w:ascii="Arial" w:eastAsia="Times New Roman" w:hAnsi="Arial" w:cs="Arial"/>
          <w:b/>
          <w:bCs/>
          <w:kern w:val="0"/>
          <w:lang w:eastAsia="en-GB"/>
          <w14:ligatures w14:val="none"/>
        </w:rPr>
        <w:t>4</w:t>
      </w:r>
      <w:r w:rsidRPr="00B50290">
        <w:rPr>
          <w:rFonts w:ascii="Arial" w:eastAsia="Times New Roman" w:hAnsi="Arial" w:cs="Arial"/>
          <w:b/>
          <w:bCs/>
          <w:kern w:val="0"/>
          <w:lang w:eastAsia="en-GB"/>
          <w14:ligatures w14:val="none"/>
        </w:rPr>
        <w:t xml:space="preserve"> | Climatological mean-state differences </w:t>
      </w:r>
      <w:r w:rsidRPr="009F4612">
        <w:rPr>
          <w:rFonts w:ascii="Arial" w:eastAsia="Times New Roman" w:hAnsi="Arial" w:cs="Arial"/>
          <w:b/>
          <w:bCs/>
          <w:kern w:val="0"/>
          <w:lang w:eastAsia="en-GB"/>
          <w14:ligatures w14:val="none"/>
        </w:rPr>
        <w:t>do not explain model diversity in internal tropical AMV.</w:t>
      </w:r>
    </w:p>
    <w:p w14:paraId="674ACDB4" w14:textId="3972D3C1" w:rsidR="00D4776E" w:rsidRDefault="00D4776E" w:rsidP="00821895">
      <w:pPr>
        <w:spacing w:line="360" w:lineRule="auto"/>
        <w:jc w:val="both"/>
        <w:rPr>
          <w:rFonts w:ascii="Arial" w:eastAsia="Times New Roman" w:hAnsi="Arial" w:cs="Arial"/>
          <w:kern w:val="0"/>
          <w:lang w:eastAsia="en-GB"/>
          <w14:ligatures w14:val="none"/>
        </w:rPr>
      </w:pPr>
      <w:r>
        <w:rPr>
          <w:rFonts w:ascii="Arial" w:eastAsia="Times New Roman" w:hAnsi="Arial" w:cs="Arial"/>
          <w:noProof/>
          <w:kern w:val="0"/>
          <w:lang w:eastAsia="en-GB"/>
        </w:rPr>
        <mc:AlternateContent>
          <mc:Choice Requires="wps">
            <w:drawing>
              <wp:inline distT="0" distB="0" distL="0" distR="0" wp14:anchorId="51A38D68" wp14:editId="5999B54C">
                <wp:extent cx="5801096" cy="1579418"/>
                <wp:effectExtent l="0" t="0" r="9525" b="1905"/>
                <wp:docPr id="2000606841" name="Text Box 1"/>
                <wp:cNvGraphicFramePr/>
                <a:graphic xmlns:a="http://schemas.openxmlformats.org/drawingml/2006/main">
                  <a:graphicData uri="http://schemas.microsoft.com/office/word/2010/wordprocessingShape">
                    <wps:wsp>
                      <wps:cNvSpPr txBox="1"/>
                      <wps:spPr>
                        <a:xfrm>
                          <a:off x="0" y="0"/>
                          <a:ext cx="5801096" cy="1579418"/>
                        </a:xfrm>
                        <a:prstGeom prst="rect">
                          <a:avLst/>
                        </a:prstGeom>
                        <a:solidFill>
                          <a:schemeClr val="lt1"/>
                        </a:solidFill>
                        <a:ln w="6350">
                          <a:noFill/>
                        </a:ln>
                      </wps:spPr>
                      <wps:txbx>
                        <w:txbxContent>
                          <w:p w14:paraId="3DA36DEF" w14:textId="77777777" w:rsidR="00D4776E" w:rsidRPr="00D4776E" w:rsidRDefault="00D4776E" w:rsidP="001969F6">
                            <w:pPr>
                              <w:spacing w:line="276" w:lineRule="auto"/>
                              <w:ind w:left="-142"/>
                              <w:jc w:val="both"/>
                              <w:rPr>
                                <w:rFonts w:ascii="Arial" w:hAnsi="Arial" w:cs="Arial"/>
                                <w:sz w:val="20"/>
                                <w:szCs w:val="20"/>
                              </w:rPr>
                            </w:pPr>
                            <w:r w:rsidRPr="00D4776E">
                              <w:rPr>
                                <w:rFonts w:ascii="Arial" w:eastAsia="Times New Roman" w:hAnsi="Arial" w:cs="Arial"/>
                                <w:kern w:val="0"/>
                                <w:sz w:val="20"/>
                                <w:szCs w:val="20"/>
                                <w:lang w:eastAsia="en-GB"/>
                                <w14:ligatures w14:val="none"/>
                              </w:rPr>
                              <w:t xml:space="preserve">Scatter plots show inter-model relationships between key climatological variables and tropical AMV growth and decay, averaged over the five years preceding the peak. </w:t>
                            </w:r>
                            <w:r w:rsidRPr="00D4776E">
                              <w:rPr>
                                <w:rFonts w:ascii="Arial" w:eastAsia="Times New Roman" w:hAnsi="Arial" w:cs="Arial"/>
                                <w:b/>
                                <w:bCs/>
                                <w:kern w:val="0"/>
                                <w:sz w:val="20"/>
                                <w:szCs w:val="20"/>
                                <w:lang w:eastAsia="en-GB"/>
                                <w14:ligatures w14:val="none"/>
                              </w:rPr>
                              <w:t>a,</w:t>
                            </w:r>
                            <w:r w:rsidRPr="00D4776E">
                              <w:rPr>
                                <w:rFonts w:ascii="Arial" w:eastAsia="Times New Roman" w:hAnsi="Arial" w:cs="Arial"/>
                                <w:kern w:val="0"/>
                                <w:sz w:val="20"/>
                                <w:szCs w:val="20"/>
                                <w:lang w:eastAsia="en-GB"/>
                                <w14:ligatures w14:val="none"/>
                              </w:rPr>
                              <w:t xml:space="preserve"> Summer net surface heat-flux climatology versus summer SST tendency of tropical AMV. </w:t>
                            </w:r>
                            <w:r w:rsidRPr="00D4776E">
                              <w:rPr>
                                <w:rFonts w:ascii="Arial" w:eastAsia="Times New Roman" w:hAnsi="Arial" w:cs="Arial"/>
                                <w:b/>
                                <w:bCs/>
                                <w:kern w:val="0"/>
                                <w:sz w:val="20"/>
                                <w:szCs w:val="20"/>
                                <w:lang w:eastAsia="en-GB"/>
                                <w14:ligatures w14:val="none"/>
                              </w:rPr>
                              <w:t>b,</w:t>
                            </w:r>
                            <w:r w:rsidRPr="00D4776E">
                              <w:rPr>
                                <w:rFonts w:ascii="Arial" w:eastAsia="Times New Roman" w:hAnsi="Arial" w:cs="Arial"/>
                                <w:kern w:val="0"/>
                                <w:sz w:val="20"/>
                                <w:szCs w:val="20"/>
                                <w:lang w:eastAsia="en-GB"/>
                                <w14:ligatures w14:val="none"/>
                              </w:rPr>
                              <w:t xml:space="preserve"> Summer mixed-layer depth climatology versus summer SST tendency of tropical AMV. </w:t>
                            </w:r>
                            <w:r w:rsidRPr="00D4776E">
                              <w:rPr>
                                <w:rFonts w:ascii="Arial" w:eastAsia="Times New Roman" w:hAnsi="Arial" w:cs="Arial"/>
                                <w:b/>
                                <w:bCs/>
                                <w:kern w:val="0"/>
                                <w:sz w:val="20"/>
                                <w:szCs w:val="20"/>
                                <w:lang w:eastAsia="en-GB"/>
                                <w14:ligatures w14:val="none"/>
                              </w:rPr>
                              <w:t>c-d,</w:t>
                            </w:r>
                            <w:r w:rsidRPr="00D4776E">
                              <w:rPr>
                                <w:rFonts w:ascii="Arial" w:eastAsia="Times New Roman" w:hAnsi="Arial" w:cs="Arial"/>
                                <w:kern w:val="0"/>
                                <w:sz w:val="20"/>
                                <w:szCs w:val="20"/>
                                <w:lang w:eastAsia="en-GB"/>
                                <w14:ligatures w14:val="none"/>
                              </w:rPr>
                              <w:t xml:space="preserve"> as in </w:t>
                            </w:r>
                            <w:r w:rsidRPr="00D4776E">
                              <w:rPr>
                                <w:rFonts w:ascii="Arial" w:eastAsia="Times New Roman" w:hAnsi="Arial" w:cs="Arial"/>
                                <w:b/>
                                <w:bCs/>
                                <w:kern w:val="0"/>
                                <w:sz w:val="20"/>
                                <w:szCs w:val="20"/>
                                <w:lang w:eastAsia="en-GB"/>
                                <w14:ligatures w14:val="none"/>
                              </w:rPr>
                              <w:t>a-b,</w:t>
                            </w:r>
                            <w:r w:rsidRPr="00D4776E">
                              <w:rPr>
                                <w:rFonts w:ascii="Arial" w:eastAsia="Times New Roman" w:hAnsi="Arial" w:cs="Arial"/>
                                <w:kern w:val="0"/>
                                <w:sz w:val="20"/>
                                <w:szCs w:val="20"/>
                                <w:lang w:eastAsia="en-GB"/>
                                <w14:ligatures w14:val="none"/>
                              </w:rPr>
                              <w:t xml:space="preserve"> but for winter. Positive heat-flux values indicate ocean warming. Pearson correlation coefficients (r) are shown in each panel, with values in square brackets indicating the 90% confidence interval. Blue, cyan, and red letters denote high-, low-, and negative-seasonality models, respectively. The brown star marks the multi-model mean.</w:t>
                            </w:r>
                          </w:p>
                          <w:p w14:paraId="294675D9" w14:textId="77777777" w:rsidR="00D4776E" w:rsidRPr="00D4776E" w:rsidRDefault="00D4776E" w:rsidP="00D4776E">
                            <w:pPr>
                              <w:spacing w:line="276" w:lineRule="auto"/>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A38D68" id="_x0000_s1029" type="#_x0000_t202" style="width:456.8pt;height:1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" fillcolor="white [3201]" stroked="f" strokeweight=".5pt">
                <v:textbox>
                  <w:txbxContent>
                    <w:p w14:paraId="3DA36DEF" w14:textId="77777777" w:rsidR="00D4776E" w:rsidRPr="00D4776E" w:rsidRDefault="00D4776E" w:rsidP="001969F6">
                      <w:pPr>
                        <w:spacing w:line="276" w:lineRule="auto"/>
                        <w:ind w:left="-142"/>
                        <w:jc w:val="both"/>
                        <w:rPr>
                          <w:rFonts w:ascii="Arial" w:hAnsi="Arial" w:cs="Arial"/>
                          <w:sz w:val="20"/>
                          <w:szCs w:val="20"/>
                        </w:rPr>
                      </w:pPr>
                      <w:r w:rsidRPr="00D4776E">
                        <w:rPr>
                          <w:rFonts w:ascii="Arial" w:eastAsia="Times New Roman" w:hAnsi="Arial" w:cs="Arial"/>
                          <w:kern w:val="0"/>
                          <w:sz w:val="20"/>
                          <w:szCs w:val="20"/>
                          <w:lang w:eastAsia="en-GB"/>
                          <w14:ligatures w14:val="none"/>
                        </w:rPr>
                        <w:t xml:space="preserve">Scatter plots show inter-model relationships between key climatological variables and tropical AMV growth and decay, averaged over the five years preceding the peak. </w:t>
                      </w:r>
                      <w:r w:rsidRPr="00D4776E">
                        <w:rPr>
                          <w:rFonts w:ascii="Arial" w:eastAsia="Times New Roman" w:hAnsi="Arial" w:cs="Arial"/>
                          <w:b/>
                          <w:bCs/>
                          <w:kern w:val="0"/>
                          <w:sz w:val="20"/>
                          <w:szCs w:val="20"/>
                          <w:lang w:eastAsia="en-GB"/>
                          <w14:ligatures w14:val="none"/>
                        </w:rPr>
                        <w:t>a,</w:t>
                      </w:r>
                      <w:r w:rsidRPr="00D4776E">
                        <w:rPr>
                          <w:rFonts w:ascii="Arial" w:eastAsia="Times New Roman" w:hAnsi="Arial" w:cs="Arial"/>
                          <w:kern w:val="0"/>
                          <w:sz w:val="20"/>
                          <w:szCs w:val="20"/>
                          <w:lang w:eastAsia="en-GB"/>
                          <w14:ligatures w14:val="none"/>
                        </w:rPr>
                        <w:t xml:space="preserve"> Summer net surface heat-flux climatology versus summer SST tendency of tropical AMV. </w:t>
                      </w:r>
                      <w:r w:rsidRPr="00D4776E">
                        <w:rPr>
                          <w:rFonts w:ascii="Arial" w:eastAsia="Times New Roman" w:hAnsi="Arial" w:cs="Arial"/>
                          <w:b/>
                          <w:bCs/>
                          <w:kern w:val="0"/>
                          <w:sz w:val="20"/>
                          <w:szCs w:val="20"/>
                          <w:lang w:eastAsia="en-GB"/>
                          <w14:ligatures w14:val="none"/>
                        </w:rPr>
                        <w:t>b,</w:t>
                      </w:r>
                      <w:r w:rsidRPr="00D4776E">
                        <w:rPr>
                          <w:rFonts w:ascii="Arial" w:eastAsia="Times New Roman" w:hAnsi="Arial" w:cs="Arial"/>
                          <w:kern w:val="0"/>
                          <w:sz w:val="20"/>
                          <w:szCs w:val="20"/>
                          <w:lang w:eastAsia="en-GB"/>
                          <w14:ligatures w14:val="none"/>
                        </w:rPr>
                        <w:t xml:space="preserve"> Summer mixed-layer depth climatology versus summer SST tendency of tropical AMV. </w:t>
                      </w:r>
                      <w:r w:rsidRPr="00D4776E">
                        <w:rPr>
                          <w:rFonts w:ascii="Arial" w:eastAsia="Times New Roman" w:hAnsi="Arial" w:cs="Arial"/>
                          <w:b/>
                          <w:bCs/>
                          <w:kern w:val="0"/>
                          <w:sz w:val="20"/>
                          <w:szCs w:val="20"/>
                          <w:lang w:eastAsia="en-GB"/>
                          <w14:ligatures w14:val="none"/>
                        </w:rPr>
                        <w:t>c-d,</w:t>
                      </w:r>
                      <w:r w:rsidRPr="00D4776E">
                        <w:rPr>
                          <w:rFonts w:ascii="Arial" w:eastAsia="Times New Roman" w:hAnsi="Arial" w:cs="Arial"/>
                          <w:kern w:val="0"/>
                          <w:sz w:val="20"/>
                          <w:szCs w:val="20"/>
                          <w:lang w:eastAsia="en-GB"/>
                          <w14:ligatures w14:val="none"/>
                        </w:rPr>
                        <w:t xml:space="preserve"> as in </w:t>
                      </w:r>
                      <w:r w:rsidRPr="00D4776E">
                        <w:rPr>
                          <w:rFonts w:ascii="Arial" w:eastAsia="Times New Roman" w:hAnsi="Arial" w:cs="Arial"/>
                          <w:b/>
                          <w:bCs/>
                          <w:kern w:val="0"/>
                          <w:sz w:val="20"/>
                          <w:szCs w:val="20"/>
                          <w:lang w:eastAsia="en-GB"/>
                          <w14:ligatures w14:val="none"/>
                        </w:rPr>
                        <w:t>a-b,</w:t>
                      </w:r>
                      <w:r w:rsidRPr="00D4776E">
                        <w:rPr>
                          <w:rFonts w:ascii="Arial" w:eastAsia="Times New Roman" w:hAnsi="Arial" w:cs="Arial"/>
                          <w:kern w:val="0"/>
                          <w:sz w:val="20"/>
                          <w:szCs w:val="20"/>
                          <w:lang w:eastAsia="en-GB"/>
                          <w14:ligatures w14:val="none"/>
                        </w:rPr>
                        <w:t xml:space="preserve"> but for winter. Positive heat-flux values indicate ocean warming. Pearson correlation coefficients (r) are shown in each panel, with values in square brackets indicating the 90% confidence interval. Blue, cyan, and red letters denote high-, low-, and negative-seasonality models, respectively. The brown star marks the multi-model mean.</w:t>
                      </w:r>
                    </w:p>
                    <w:p w14:paraId="294675D9" w14:textId="77777777" w:rsidR="00D4776E" w:rsidRPr="00D4776E" w:rsidRDefault="00D4776E" w:rsidP="00D4776E">
                      <w:pPr>
                        <w:spacing w:line="276" w:lineRule="auto"/>
                        <w:rPr>
                          <w:sz w:val="8"/>
                          <w:szCs w:val="8"/>
                        </w:rPr>
                      </w:pPr>
                    </w:p>
                  </w:txbxContent>
                </v:textbox>
                <w10:anchorlock/>
              </v:shape>
            </w:pict>
          </mc:Fallback>
        </mc:AlternateContent>
      </w:r>
    </w:p>
    <w:p w14:paraId="6568BD6E" w14:textId="77777777" w:rsidR="00821895" w:rsidRDefault="00821895" w:rsidP="00590236">
      <w:pPr>
        <w:pStyle w:val="NormalWeb"/>
        <w:spacing w:line="360" w:lineRule="auto"/>
        <w:jc w:val="both"/>
        <w:rPr>
          <w:rFonts w:ascii="Arial" w:hAnsi="Arial" w:cs="Arial"/>
        </w:rPr>
      </w:pPr>
    </w:p>
    <w:p w14:paraId="4D4CDE24" w14:textId="77777777" w:rsidR="00AA7824" w:rsidRPr="00590236" w:rsidRDefault="00AA7824" w:rsidP="00590236">
      <w:pPr>
        <w:spacing w:line="360" w:lineRule="auto"/>
        <w:jc w:val="both"/>
        <w:rPr>
          <w:rFonts w:ascii="Arial" w:hAnsi="Arial" w:cs="Arial"/>
        </w:rPr>
      </w:pPr>
    </w:p>
    <w:p w14:paraId="18F2EFEF" w14:textId="41B7D793" w:rsidR="00AA7824" w:rsidRPr="00590236" w:rsidRDefault="0066305D" w:rsidP="00590236">
      <w:pPr>
        <w:spacing w:line="360" w:lineRule="auto"/>
        <w:jc w:val="both"/>
        <w:rPr>
          <w:rFonts w:ascii="Arial" w:hAnsi="Arial" w:cs="Arial"/>
        </w:rPr>
      </w:pPr>
      <w:r w:rsidRPr="00590236">
        <w:rPr>
          <w:rFonts w:ascii="Arial" w:hAnsi="Arial" w:cs="Arial"/>
          <w:noProof/>
        </w:rPr>
        <w:drawing>
          <wp:inline distT="0" distB="0" distL="0" distR="0" wp14:anchorId="19473D89" wp14:editId="1D64FA6B">
            <wp:extent cx="5106670" cy="2974975"/>
            <wp:effectExtent l="0" t="0" r="0" b="0"/>
            <wp:docPr id="2019384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6670" cy="2974975"/>
                    </a:xfrm>
                    <a:prstGeom prst="rect">
                      <a:avLst/>
                    </a:prstGeom>
                    <a:noFill/>
                    <a:ln>
                      <a:noFill/>
                    </a:ln>
                  </pic:spPr>
                </pic:pic>
              </a:graphicData>
            </a:graphic>
          </wp:inline>
        </w:drawing>
      </w:r>
    </w:p>
    <w:p w14:paraId="3AEB6A08" w14:textId="77777777" w:rsidR="00AA7824" w:rsidRPr="00590236" w:rsidRDefault="00AA7824" w:rsidP="00590236">
      <w:pPr>
        <w:spacing w:line="360" w:lineRule="auto"/>
        <w:jc w:val="both"/>
        <w:rPr>
          <w:rFonts w:ascii="Arial" w:hAnsi="Arial" w:cs="Arial"/>
        </w:rPr>
      </w:pPr>
    </w:p>
    <w:p w14:paraId="2C465A00" w14:textId="2DA40037" w:rsidR="00AA7824" w:rsidRPr="00590236" w:rsidRDefault="00AA7824" w:rsidP="00590236">
      <w:pPr>
        <w:pStyle w:val="NormalWeb"/>
        <w:spacing w:line="360" w:lineRule="auto"/>
        <w:jc w:val="both"/>
        <w:rPr>
          <w:rStyle w:val="Strong"/>
          <w:rFonts w:ascii="Arial" w:eastAsiaTheme="minorHAnsi" w:hAnsi="Arial" w:cs="Arial"/>
          <w:kern w:val="2"/>
          <w:lang w:eastAsia="en-US"/>
          <w14:ligatures w14:val="standardContextual"/>
        </w:rPr>
      </w:pPr>
      <w:r w:rsidRPr="00590236">
        <w:rPr>
          <w:rFonts w:ascii="Arial" w:hAnsi="Arial" w:cs="Arial"/>
          <w:b/>
          <w:bCs/>
        </w:rPr>
        <w:t xml:space="preserve">Supplementary Figure </w:t>
      </w:r>
      <w:r w:rsidR="00EE647F">
        <w:rPr>
          <w:rFonts w:ascii="Arial" w:hAnsi="Arial" w:cs="Arial"/>
          <w:b/>
          <w:bCs/>
        </w:rPr>
        <w:t>5</w:t>
      </w:r>
      <w:r w:rsidRPr="00590236">
        <w:rPr>
          <w:rStyle w:val="Strong"/>
          <w:rFonts w:ascii="Arial" w:eastAsiaTheme="minorHAnsi" w:hAnsi="Arial" w:cs="Arial"/>
          <w:kern w:val="2"/>
          <w:lang w:eastAsia="en-US"/>
          <w14:ligatures w14:val="standardContextual"/>
        </w:rPr>
        <w:t xml:space="preserve"> | Extratropical-tropical teleconnection driving model diversity in seasonality of internal tropical AMV. </w:t>
      </w:r>
    </w:p>
    <w:p w14:paraId="5C9DC2AF" w14:textId="2169952E" w:rsidR="00D4776E" w:rsidRDefault="00D4776E" w:rsidP="00590236">
      <w:pPr>
        <w:pStyle w:val="NormalWeb"/>
        <w:spacing w:line="360" w:lineRule="auto"/>
        <w:jc w:val="both"/>
        <w:rPr>
          <w:rStyle w:val="Strong"/>
          <w:rFonts w:ascii="Arial" w:eastAsiaTheme="minorHAnsi" w:hAnsi="Arial" w:cs="Arial"/>
          <w:b w:val="0"/>
          <w:kern w:val="2"/>
          <w:lang w:eastAsia="en-US"/>
          <w14:ligatures w14:val="standardContextual"/>
        </w:rPr>
      </w:pPr>
      <w:r>
        <w:rPr>
          <w:rFonts w:ascii="Arial" w:hAnsi="Arial" w:cs="Arial"/>
          <w:noProof/>
        </w:rPr>
        <mc:AlternateContent>
          <mc:Choice Requires="wps">
            <w:drawing>
              <wp:inline distT="0" distB="0" distL="0" distR="0" wp14:anchorId="6A8CCA31" wp14:editId="5039EA5F">
                <wp:extent cx="5836722" cy="1935678"/>
                <wp:effectExtent l="0" t="0" r="0" b="7620"/>
                <wp:docPr id="1845758864" name="Text Box 1"/>
                <wp:cNvGraphicFramePr/>
                <a:graphic xmlns:a="http://schemas.openxmlformats.org/drawingml/2006/main">
                  <a:graphicData uri="http://schemas.microsoft.com/office/word/2010/wordprocessingShape">
                    <wps:wsp>
                      <wps:cNvSpPr txBox="1"/>
                      <wps:spPr>
                        <a:xfrm>
                          <a:off x="0" y="0"/>
                          <a:ext cx="5836722" cy="1935678"/>
                        </a:xfrm>
                        <a:prstGeom prst="rect">
                          <a:avLst/>
                        </a:prstGeom>
                        <a:solidFill>
                          <a:schemeClr val="lt1"/>
                        </a:solidFill>
                        <a:ln w="6350">
                          <a:noFill/>
                        </a:ln>
                      </wps:spPr>
                      <wps:txbx>
                        <w:txbxContent>
                          <w:p w14:paraId="521C3B15" w14:textId="522FE2B3" w:rsidR="00D4776E" w:rsidRPr="00D4776E" w:rsidRDefault="00D4776E" w:rsidP="008F0EAF">
                            <w:pPr>
                              <w:pStyle w:val="NormalWeb"/>
                              <w:spacing w:line="276" w:lineRule="auto"/>
                              <w:ind w:left="-142"/>
                              <w:jc w:val="both"/>
                              <w:rPr>
                                <w:rStyle w:val="Strong"/>
                                <w:rFonts w:ascii="Arial" w:eastAsiaTheme="minorHAnsi" w:hAnsi="Arial" w:cs="Arial"/>
                                <w:b w:val="0"/>
                                <w:kern w:val="2"/>
                                <w:sz w:val="20"/>
                                <w:szCs w:val="20"/>
                                <w:lang w:eastAsia="en-US"/>
                                <w14:ligatures w14:val="standardContextual"/>
                              </w:rPr>
                            </w:pPr>
                            <w:r w:rsidRPr="00D4776E">
                              <w:rPr>
                                <w:rStyle w:val="Strong"/>
                                <w:rFonts w:ascii="Arial" w:eastAsiaTheme="minorHAnsi" w:hAnsi="Arial" w:cs="Arial"/>
                                <w:b w:val="0"/>
                                <w:kern w:val="2"/>
                                <w:sz w:val="20"/>
                                <w:szCs w:val="20"/>
                                <w:lang w:eastAsia="en-US"/>
                                <w14:ligatures w14:val="standardContextual"/>
                              </w:rPr>
                              <w:t xml:space="preserve">Scatter plots illustrating inter-model relationships among key variables during the growth </w:t>
                            </w:r>
                            <w:r w:rsidRPr="00D4776E">
                              <w:rPr>
                                <w:rStyle w:val="Strong"/>
                                <w:rFonts w:ascii="Arial" w:eastAsiaTheme="minorHAnsi" w:hAnsi="Arial" w:cs="Arial"/>
                                <w:b w:val="0"/>
                                <w:bCs w:val="0"/>
                                <w:kern w:val="2"/>
                                <w:sz w:val="20"/>
                                <w:szCs w:val="20"/>
                                <w:lang w:eastAsia="en-US"/>
                                <w14:ligatures w14:val="standardContextual"/>
                              </w:rPr>
                              <w:t xml:space="preserve">phase of </w:t>
                            </w:r>
                            <w:r w:rsidRPr="00D4776E">
                              <w:rPr>
                                <w:rFonts w:ascii="Arial" w:hAnsi="Arial" w:cs="Arial"/>
                                <w:sz w:val="20"/>
                                <w:szCs w:val="20"/>
                              </w:rPr>
                              <w:t>tropical AMV development, averaged over the five years preceding the peak</w:t>
                            </w:r>
                            <w:r w:rsidRPr="00D4776E">
                              <w:rPr>
                                <w:rStyle w:val="Strong"/>
                                <w:rFonts w:ascii="Arial" w:eastAsiaTheme="minorHAnsi" w:hAnsi="Arial" w:cs="Arial"/>
                                <w:b w:val="0"/>
                                <w:bCs w:val="0"/>
                                <w:kern w:val="2"/>
                                <w:sz w:val="20"/>
                                <w:szCs w:val="20"/>
                                <w:lang w:eastAsia="en-US"/>
                                <w14:ligatures w14:val="standardContextual"/>
                              </w:rPr>
                              <w:t>.</w:t>
                            </w:r>
                            <w:r w:rsidRPr="00D4776E">
                              <w:rPr>
                                <w:rStyle w:val="Strong"/>
                                <w:rFonts w:ascii="Arial" w:eastAsiaTheme="minorHAnsi" w:hAnsi="Arial" w:cs="Arial"/>
                                <w:b w:val="0"/>
                                <w:kern w:val="2"/>
                                <w:sz w:val="20"/>
                                <w:szCs w:val="20"/>
                                <w:lang w:eastAsia="en-US"/>
                                <w14:ligatures w14:val="standardContextual"/>
                              </w:rPr>
                              <w:t xml:space="preserve"> </w:t>
                            </w:r>
                            <w:r w:rsidRPr="00D4776E">
                              <w:rPr>
                                <w:rStyle w:val="Strong"/>
                                <w:rFonts w:ascii="Arial" w:eastAsiaTheme="minorHAnsi" w:hAnsi="Arial" w:cs="Arial"/>
                                <w:kern w:val="2"/>
                                <w:sz w:val="20"/>
                                <w:szCs w:val="20"/>
                                <w:lang w:eastAsia="en-US"/>
                                <w14:ligatures w14:val="standardContextual"/>
                              </w:rPr>
                              <w:t>a,</w:t>
                            </w:r>
                            <w:r w:rsidRPr="00D4776E">
                              <w:rPr>
                                <w:rStyle w:val="Strong"/>
                                <w:rFonts w:ascii="Arial" w:eastAsiaTheme="minorHAnsi" w:hAnsi="Arial" w:cs="Arial"/>
                                <w:b w:val="0"/>
                                <w:kern w:val="2"/>
                                <w:sz w:val="20"/>
                                <w:szCs w:val="20"/>
                                <w:lang w:eastAsia="en-US"/>
                                <w14:ligatures w14:val="standardContextual"/>
                              </w:rPr>
                              <w:t xml:space="preserve"> Summer wind-stress anomalies (</w:t>
                            </w:r>
                            <m:oMath>
                              <m:r>
                                <w:rPr>
                                  <w:rStyle w:val="Strong"/>
                                  <w:rFonts w:ascii="Cambria Math" w:eastAsiaTheme="minorHAnsi" w:hAnsi="Cambria Math" w:cs="Arial"/>
                                  <w:kern w:val="2"/>
                                  <w:sz w:val="20"/>
                                  <w:szCs w:val="20"/>
                                  <w:lang w:eastAsia="en-US"/>
                                  <w14:ligatures w14:val="standardContextual"/>
                                </w:rPr>
                                <m:t>Pa</m:t>
                              </m:r>
                            </m:oMath>
                            <w:r w:rsidRPr="00D4776E">
                              <w:rPr>
                                <w:rStyle w:val="Strong"/>
                                <w:rFonts w:ascii="Arial" w:eastAsiaTheme="minorHAnsi" w:hAnsi="Arial" w:cs="Arial"/>
                                <w:b w:val="0"/>
                                <w:kern w:val="2"/>
                                <w:sz w:val="20"/>
                                <w:szCs w:val="20"/>
                                <w:lang w:eastAsia="en-US"/>
                                <w14:ligatures w14:val="standardContextual"/>
                              </w:rPr>
                              <w:t>) versus SST tendency (</w:t>
                            </w:r>
                            <m:oMath>
                              <m:r>
                                <w:rPr>
                                  <w:rStyle w:val="Strong"/>
                                  <w:rFonts w:ascii="Cambria Math" w:eastAsiaTheme="minorHAnsi" w:hAnsi="Cambria Math" w:cs="Arial"/>
                                  <w:kern w:val="2"/>
                                  <w:sz w:val="20"/>
                                  <w:szCs w:val="20"/>
                                  <w:lang w:eastAsia="en-US"/>
                                  <w14:ligatures w14:val="standardContextual"/>
                                </w:rPr>
                                <m:t>°C mont</m:t>
                              </m:r>
                              <m:sSup>
                                <m:sSupPr>
                                  <m:ctrlPr>
                                    <w:rPr>
                                      <w:rStyle w:val="Strong"/>
                                      <w:rFonts w:ascii="Cambria Math" w:eastAsiaTheme="minorHAnsi" w:hAnsi="Cambria Math" w:cs="Arial"/>
                                      <w:b w:val="0"/>
                                      <w:bCs w:val="0"/>
                                      <w:i/>
                                      <w:kern w:val="2"/>
                                      <w:sz w:val="20"/>
                                      <w:szCs w:val="20"/>
                                      <w:lang w:eastAsia="en-US"/>
                                      <w14:ligatures w14:val="standardContextual"/>
                                    </w:rPr>
                                  </m:ctrlPr>
                                </m:sSupPr>
                                <m:e>
                                  <m:r>
                                    <w:rPr>
                                      <w:rStyle w:val="Strong"/>
                                      <w:rFonts w:ascii="Cambria Math" w:eastAsiaTheme="minorHAnsi" w:hAnsi="Cambria Math" w:cs="Arial"/>
                                      <w:kern w:val="2"/>
                                      <w:sz w:val="20"/>
                                      <w:szCs w:val="20"/>
                                      <w:lang w:eastAsia="en-US"/>
                                      <w14:ligatures w14:val="standardContextual"/>
                                    </w:rPr>
                                    <m:t>h</m:t>
                                  </m:r>
                                </m:e>
                                <m:sup>
                                  <m:r>
                                    <w:rPr>
                                      <w:rStyle w:val="Strong"/>
                                      <w:rFonts w:ascii="Cambria Math" w:eastAsiaTheme="minorHAnsi" w:hAnsi="Cambria Math" w:cs="Arial"/>
                                      <w:kern w:val="2"/>
                                      <w:sz w:val="20"/>
                                      <w:szCs w:val="20"/>
                                      <w:lang w:eastAsia="en-US"/>
                                      <w14:ligatures w14:val="standardContextual"/>
                                    </w:rPr>
                                    <m:t>-1</m:t>
                                  </m:r>
                                </m:sup>
                              </m:sSup>
                            </m:oMath>
                            <w:r w:rsidRPr="00D4776E">
                              <w:rPr>
                                <w:rStyle w:val="Strong"/>
                                <w:rFonts w:ascii="Arial" w:eastAsiaTheme="minorHAnsi" w:hAnsi="Arial" w:cs="Arial"/>
                                <w:b w:val="0"/>
                                <w:kern w:val="2"/>
                                <w:sz w:val="20"/>
                                <w:szCs w:val="20"/>
                                <w:lang w:eastAsia="en-US"/>
                                <w14:ligatures w14:val="standardContextual"/>
                              </w:rPr>
                              <w:t xml:space="preserve">). </w:t>
                            </w:r>
                            <w:r w:rsidRPr="00D4776E">
                              <w:rPr>
                                <w:rStyle w:val="Strong"/>
                                <w:rFonts w:ascii="Arial" w:eastAsiaTheme="minorHAnsi" w:hAnsi="Arial" w:cs="Arial"/>
                                <w:kern w:val="2"/>
                                <w:sz w:val="20"/>
                                <w:szCs w:val="20"/>
                                <w:lang w:eastAsia="en-US"/>
                                <w14:ligatures w14:val="standardContextual"/>
                              </w:rPr>
                              <w:t>b,</w:t>
                            </w:r>
                            <w:r w:rsidRPr="00D4776E">
                              <w:rPr>
                                <w:rStyle w:val="Strong"/>
                                <w:rFonts w:ascii="Arial" w:eastAsiaTheme="minorHAnsi" w:hAnsi="Arial" w:cs="Arial"/>
                                <w:b w:val="0"/>
                                <w:kern w:val="2"/>
                                <w:sz w:val="20"/>
                                <w:szCs w:val="20"/>
                                <w:lang w:eastAsia="en-US"/>
                                <w14:ligatures w14:val="standardContextual"/>
                              </w:rPr>
                              <w:t xml:space="preserve"> Summer tropical wind-stress anomalies (</w:t>
                            </w:r>
                            <m:oMath>
                              <m:r>
                                <w:rPr>
                                  <w:rStyle w:val="Strong"/>
                                  <w:rFonts w:ascii="Cambria Math" w:eastAsiaTheme="minorHAnsi" w:hAnsi="Cambria Math" w:cs="Arial"/>
                                  <w:kern w:val="2"/>
                                  <w:sz w:val="20"/>
                                  <w:szCs w:val="20"/>
                                  <w:lang w:eastAsia="en-US"/>
                                  <w14:ligatures w14:val="standardContextual"/>
                                </w:rPr>
                                <m:t>Pa</m:t>
                              </m:r>
                            </m:oMath>
                            <w:r w:rsidRPr="00D4776E">
                              <w:rPr>
                                <w:rStyle w:val="Strong"/>
                                <w:rFonts w:ascii="Arial" w:eastAsiaTheme="minorHAnsi" w:hAnsi="Arial" w:cs="Arial"/>
                                <w:b w:val="0"/>
                                <w:kern w:val="2"/>
                                <w:sz w:val="20"/>
                                <w:szCs w:val="20"/>
                                <w:lang w:eastAsia="en-US"/>
                                <w14:ligatures w14:val="standardContextual"/>
                              </w:rPr>
                              <w:t>) versus summer extratropical SST anomalies (</w:t>
                            </w:r>
                            <m:oMath>
                              <m:r>
                                <w:rPr>
                                  <w:rStyle w:val="Strong"/>
                                  <w:rFonts w:ascii="Cambria Math" w:eastAsiaTheme="minorHAnsi" w:hAnsi="Cambria Math" w:cs="Arial"/>
                                  <w:kern w:val="2"/>
                                  <w:sz w:val="20"/>
                                  <w:szCs w:val="20"/>
                                  <w:lang w:eastAsia="en-US"/>
                                  <w14:ligatures w14:val="standardContextual"/>
                                </w:rPr>
                                <m:t>°C</m:t>
                              </m:r>
                            </m:oMath>
                            <w:r w:rsidRPr="00D4776E">
                              <w:rPr>
                                <w:rStyle w:val="Strong"/>
                                <w:rFonts w:ascii="Arial" w:eastAsiaTheme="minorHAnsi" w:hAnsi="Arial" w:cs="Arial"/>
                                <w:b w:val="0"/>
                                <w:kern w:val="2"/>
                                <w:sz w:val="20"/>
                                <w:szCs w:val="20"/>
                                <w:lang w:eastAsia="en-US"/>
                                <w14:ligatures w14:val="standardContextual"/>
                              </w:rPr>
                              <w:t xml:space="preserve">). </w:t>
                            </w:r>
                            <w:r w:rsidRPr="00D4776E">
                              <w:rPr>
                                <w:rFonts w:ascii="Arial" w:hAnsi="Arial" w:cs="Arial"/>
                                <w:sz w:val="20"/>
                                <w:szCs w:val="20"/>
                              </w:rPr>
                              <w:t xml:space="preserve">The solid star marker represents combination of observational estimates using HadISST, ERSST, and COBE2 over the </w:t>
                            </w:r>
                            <w:r w:rsidR="00D27BE8">
                              <w:rPr>
                                <w:rFonts w:ascii="Arial" w:hAnsi="Arial" w:cs="Arial"/>
                                <w:sz w:val="20"/>
                                <w:szCs w:val="20"/>
                              </w:rPr>
                              <w:t>extended</w:t>
                            </w:r>
                            <w:r w:rsidRPr="00D4776E">
                              <w:rPr>
                                <w:rFonts w:ascii="Arial" w:hAnsi="Arial" w:cs="Arial"/>
                                <w:sz w:val="20"/>
                                <w:szCs w:val="20"/>
                              </w:rPr>
                              <w:t xml:space="preserve"> period (1983–2024) and </w:t>
                            </w:r>
                            <w:r w:rsidR="00D27BE8">
                              <w:rPr>
                                <w:rFonts w:ascii="Arial" w:hAnsi="Arial" w:cs="Arial"/>
                                <w:sz w:val="20"/>
                                <w:szCs w:val="20"/>
                              </w:rPr>
                              <w:t>mo</w:t>
                            </w:r>
                            <w:r w:rsidR="00426ECA">
                              <w:rPr>
                                <w:rFonts w:ascii="Arial" w:hAnsi="Arial" w:cs="Arial"/>
                                <w:sz w:val="20"/>
                                <w:szCs w:val="20"/>
                              </w:rPr>
                              <w:t>re</w:t>
                            </w:r>
                            <w:r w:rsidR="00D27BE8">
                              <w:rPr>
                                <w:rFonts w:ascii="Arial" w:hAnsi="Arial" w:cs="Arial"/>
                                <w:sz w:val="20"/>
                                <w:szCs w:val="20"/>
                              </w:rPr>
                              <w:t xml:space="preserve"> recent (data-rich)</w:t>
                            </w:r>
                            <w:r w:rsidRPr="00D4776E">
                              <w:rPr>
                                <w:rFonts w:ascii="Arial" w:hAnsi="Arial" w:cs="Arial"/>
                                <w:sz w:val="20"/>
                                <w:szCs w:val="20"/>
                              </w:rPr>
                              <w:t xml:space="preserve"> period (1950-2024) combined with wind stress anomalies from 20CRv3 (1901–2024), and from ERA5 (1940–2024). The brown star marks the multi-model mean value, with diamonds mark the multi-model mean of each group. </w:t>
                            </w:r>
                            <w:r w:rsidRPr="00D4776E">
                              <w:rPr>
                                <w:rStyle w:val="Strong"/>
                                <w:rFonts w:ascii="Arial" w:eastAsiaTheme="minorHAnsi" w:hAnsi="Arial" w:cs="Arial"/>
                                <w:b w:val="0"/>
                                <w:kern w:val="2"/>
                                <w:sz w:val="20"/>
                                <w:szCs w:val="20"/>
                                <w:lang w:eastAsia="en-US"/>
                                <w14:ligatures w14:val="standardContextual"/>
                              </w:rPr>
                              <w:t xml:space="preserve">Pearson correlation coefficients (r) are shown in each panel, with values in square brackets indicating the 90% confidence </w:t>
                            </w:r>
                            <w:r w:rsidRPr="00D4776E">
                              <w:rPr>
                                <w:rStyle w:val="Strong"/>
                                <w:rFonts w:ascii="Arial" w:eastAsiaTheme="minorHAnsi" w:hAnsi="Arial" w:cs="Arial"/>
                                <w:b w:val="0"/>
                                <w:bCs w:val="0"/>
                                <w:kern w:val="2"/>
                                <w:sz w:val="20"/>
                                <w:szCs w:val="20"/>
                                <w:lang w:eastAsia="en-US"/>
                                <w14:ligatures w14:val="standardContextual"/>
                              </w:rPr>
                              <w:t>interval</w:t>
                            </w:r>
                            <w:r w:rsidRPr="00D4776E">
                              <w:rPr>
                                <w:rStyle w:val="Strong"/>
                                <w:rFonts w:ascii="Arial" w:eastAsiaTheme="minorHAnsi" w:hAnsi="Arial" w:cs="Arial"/>
                                <w:b w:val="0"/>
                                <w:kern w:val="2"/>
                                <w:sz w:val="20"/>
                                <w:szCs w:val="20"/>
                                <w:lang w:eastAsia="en-US"/>
                                <w14:ligatures w14:val="standardContextual"/>
                              </w:rPr>
                              <w:t>.</w:t>
                            </w:r>
                            <w:r w:rsidRPr="00D4776E">
                              <w:rPr>
                                <w:rStyle w:val="Strong"/>
                                <w:rFonts w:ascii="Arial" w:eastAsiaTheme="minorHAnsi" w:hAnsi="Arial" w:cs="Arial"/>
                                <w:b w:val="0"/>
                                <w:bCs w:val="0"/>
                                <w:kern w:val="2"/>
                                <w:sz w:val="20"/>
                                <w:szCs w:val="20"/>
                                <w:lang w:eastAsia="en-US"/>
                                <w14:ligatures w14:val="standardContextual"/>
                              </w:rPr>
                              <w:t xml:space="preserve"> Blue, cyan, and red letters indicate high-, low-, and negative-seasonality models.</w:t>
                            </w:r>
                          </w:p>
                          <w:p w14:paraId="3476FED3" w14:textId="77777777" w:rsidR="00D4776E" w:rsidRPr="00D4776E" w:rsidRDefault="00D4776E" w:rsidP="00D4776E">
                            <w:pPr>
                              <w:spacing w:line="276" w:lineRule="auto"/>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8CCA31" id="_x0000_s1030" type="#_x0000_t202" style="width:459.6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SzMgIAAFw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" fillcolor="white [3201]" stroked="f" strokeweight=".5pt">
                <v:textbox>
                  <w:txbxContent>
                    <w:p w14:paraId="521C3B15" w14:textId="522FE2B3" w:rsidR="00D4776E" w:rsidRPr="00D4776E" w:rsidRDefault="00D4776E" w:rsidP="008F0EAF">
                      <w:pPr>
                        <w:pStyle w:val="NormalWeb"/>
                        <w:spacing w:line="276" w:lineRule="auto"/>
                        <w:ind w:left="-142"/>
                        <w:jc w:val="both"/>
                        <w:rPr>
                          <w:rStyle w:val="Strong"/>
                          <w:rFonts w:ascii="Arial" w:eastAsiaTheme="minorHAnsi" w:hAnsi="Arial" w:cs="Arial"/>
                          <w:b w:val="0"/>
                          <w:kern w:val="2"/>
                          <w:sz w:val="20"/>
                          <w:szCs w:val="20"/>
                          <w:lang w:eastAsia="en-US"/>
                          <w14:ligatures w14:val="standardContextual"/>
                        </w:rPr>
                      </w:pPr>
                      <w:r w:rsidRPr="00D4776E">
                        <w:rPr>
                          <w:rStyle w:val="Strong"/>
                          <w:rFonts w:ascii="Arial" w:eastAsiaTheme="minorHAnsi" w:hAnsi="Arial" w:cs="Arial"/>
                          <w:b w:val="0"/>
                          <w:kern w:val="2"/>
                          <w:sz w:val="20"/>
                          <w:szCs w:val="20"/>
                          <w:lang w:eastAsia="en-US"/>
                          <w14:ligatures w14:val="standardContextual"/>
                        </w:rPr>
                        <w:t xml:space="preserve">Scatter plots illustrating inter-model relationships among key variables during the growth </w:t>
                      </w:r>
                      <w:r w:rsidRPr="00D4776E">
                        <w:rPr>
                          <w:rStyle w:val="Strong"/>
                          <w:rFonts w:ascii="Arial" w:eastAsiaTheme="minorHAnsi" w:hAnsi="Arial" w:cs="Arial"/>
                          <w:b w:val="0"/>
                          <w:bCs w:val="0"/>
                          <w:kern w:val="2"/>
                          <w:sz w:val="20"/>
                          <w:szCs w:val="20"/>
                          <w:lang w:eastAsia="en-US"/>
                          <w14:ligatures w14:val="standardContextual"/>
                        </w:rPr>
                        <w:t xml:space="preserve">phase of </w:t>
                      </w:r>
                      <w:r w:rsidRPr="00D4776E">
                        <w:rPr>
                          <w:rFonts w:ascii="Arial" w:hAnsi="Arial" w:cs="Arial"/>
                          <w:sz w:val="20"/>
                          <w:szCs w:val="20"/>
                        </w:rPr>
                        <w:t>tropical AMV development, averaged over the five years preceding the peak</w:t>
                      </w:r>
                      <w:r w:rsidRPr="00D4776E">
                        <w:rPr>
                          <w:rStyle w:val="Strong"/>
                          <w:rFonts w:ascii="Arial" w:eastAsiaTheme="minorHAnsi" w:hAnsi="Arial" w:cs="Arial"/>
                          <w:b w:val="0"/>
                          <w:bCs w:val="0"/>
                          <w:kern w:val="2"/>
                          <w:sz w:val="20"/>
                          <w:szCs w:val="20"/>
                          <w:lang w:eastAsia="en-US"/>
                          <w14:ligatures w14:val="standardContextual"/>
                        </w:rPr>
                        <w:t>.</w:t>
                      </w:r>
                      <w:r w:rsidRPr="00D4776E">
                        <w:rPr>
                          <w:rStyle w:val="Strong"/>
                          <w:rFonts w:ascii="Arial" w:eastAsiaTheme="minorHAnsi" w:hAnsi="Arial" w:cs="Arial"/>
                          <w:b w:val="0"/>
                          <w:kern w:val="2"/>
                          <w:sz w:val="20"/>
                          <w:szCs w:val="20"/>
                          <w:lang w:eastAsia="en-US"/>
                          <w14:ligatures w14:val="standardContextual"/>
                        </w:rPr>
                        <w:t xml:space="preserve"> </w:t>
                      </w:r>
                      <w:r w:rsidRPr="00D4776E">
                        <w:rPr>
                          <w:rStyle w:val="Strong"/>
                          <w:rFonts w:ascii="Arial" w:eastAsiaTheme="minorHAnsi" w:hAnsi="Arial" w:cs="Arial"/>
                          <w:kern w:val="2"/>
                          <w:sz w:val="20"/>
                          <w:szCs w:val="20"/>
                          <w:lang w:eastAsia="en-US"/>
                          <w14:ligatures w14:val="standardContextual"/>
                        </w:rPr>
                        <w:t>a,</w:t>
                      </w:r>
                      <w:r w:rsidRPr="00D4776E">
                        <w:rPr>
                          <w:rStyle w:val="Strong"/>
                          <w:rFonts w:ascii="Arial" w:eastAsiaTheme="minorHAnsi" w:hAnsi="Arial" w:cs="Arial"/>
                          <w:b w:val="0"/>
                          <w:kern w:val="2"/>
                          <w:sz w:val="20"/>
                          <w:szCs w:val="20"/>
                          <w:lang w:eastAsia="en-US"/>
                          <w14:ligatures w14:val="standardContextual"/>
                        </w:rPr>
                        <w:t xml:space="preserve"> Summer wind-stress anomalies (</w:t>
                      </w:r>
                      <m:oMath>
                        <m:r>
                          <w:rPr>
                            <w:rStyle w:val="Strong"/>
                            <w:rFonts w:ascii="Cambria Math" w:eastAsiaTheme="minorHAnsi" w:hAnsi="Cambria Math" w:cs="Arial"/>
                            <w:kern w:val="2"/>
                            <w:sz w:val="20"/>
                            <w:szCs w:val="20"/>
                            <w:lang w:eastAsia="en-US"/>
                            <w14:ligatures w14:val="standardContextual"/>
                          </w:rPr>
                          <m:t>Pa</m:t>
                        </m:r>
                      </m:oMath>
                      <w:r w:rsidRPr="00D4776E">
                        <w:rPr>
                          <w:rStyle w:val="Strong"/>
                          <w:rFonts w:ascii="Arial" w:eastAsiaTheme="minorHAnsi" w:hAnsi="Arial" w:cs="Arial"/>
                          <w:b w:val="0"/>
                          <w:kern w:val="2"/>
                          <w:sz w:val="20"/>
                          <w:szCs w:val="20"/>
                          <w:lang w:eastAsia="en-US"/>
                          <w14:ligatures w14:val="standardContextual"/>
                        </w:rPr>
                        <w:t>) versus SST tendency (</w:t>
                      </w:r>
                      <m:oMath>
                        <m:r>
                          <w:rPr>
                            <w:rStyle w:val="Strong"/>
                            <w:rFonts w:ascii="Cambria Math" w:eastAsiaTheme="minorHAnsi" w:hAnsi="Cambria Math" w:cs="Arial"/>
                            <w:kern w:val="2"/>
                            <w:sz w:val="20"/>
                            <w:szCs w:val="20"/>
                            <w:lang w:eastAsia="en-US"/>
                            <w14:ligatures w14:val="standardContextual"/>
                          </w:rPr>
                          <m:t>°C mont</m:t>
                        </m:r>
                        <m:sSup>
                          <m:sSupPr>
                            <m:ctrlPr>
                              <w:rPr>
                                <w:rStyle w:val="Strong"/>
                                <w:rFonts w:ascii="Cambria Math" w:eastAsiaTheme="minorHAnsi" w:hAnsi="Cambria Math" w:cs="Arial"/>
                                <w:b w:val="0"/>
                                <w:bCs w:val="0"/>
                                <w:i/>
                                <w:kern w:val="2"/>
                                <w:sz w:val="20"/>
                                <w:szCs w:val="20"/>
                                <w:lang w:eastAsia="en-US"/>
                                <w14:ligatures w14:val="standardContextual"/>
                              </w:rPr>
                            </m:ctrlPr>
                          </m:sSupPr>
                          <m:e>
                            <m:r>
                              <w:rPr>
                                <w:rStyle w:val="Strong"/>
                                <w:rFonts w:ascii="Cambria Math" w:eastAsiaTheme="minorHAnsi" w:hAnsi="Cambria Math" w:cs="Arial"/>
                                <w:kern w:val="2"/>
                                <w:sz w:val="20"/>
                                <w:szCs w:val="20"/>
                                <w:lang w:eastAsia="en-US"/>
                                <w14:ligatures w14:val="standardContextual"/>
                              </w:rPr>
                              <m:t>h</m:t>
                            </m:r>
                          </m:e>
                          <m:sup>
                            <m:r>
                              <w:rPr>
                                <w:rStyle w:val="Strong"/>
                                <w:rFonts w:ascii="Cambria Math" w:eastAsiaTheme="minorHAnsi" w:hAnsi="Cambria Math" w:cs="Arial"/>
                                <w:kern w:val="2"/>
                                <w:sz w:val="20"/>
                                <w:szCs w:val="20"/>
                                <w:lang w:eastAsia="en-US"/>
                                <w14:ligatures w14:val="standardContextual"/>
                              </w:rPr>
                              <m:t>-1</m:t>
                            </m:r>
                          </m:sup>
                        </m:sSup>
                      </m:oMath>
                      <w:r w:rsidRPr="00D4776E">
                        <w:rPr>
                          <w:rStyle w:val="Strong"/>
                          <w:rFonts w:ascii="Arial" w:eastAsiaTheme="minorHAnsi" w:hAnsi="Arial" w:cs="Arial"/>
                          <w:b w:val="0"/>
                          <w:kern w:val="2"/>
                          <w:sz w:val="20"/>
                          <w:szCs w:val="20"/>
                          <w:lang w:eastAsia="en-US"/>
                          <w14:ligatures w14:val="standardContextual"/>
                        </w:rPr>
                        <w:t xml:space="preserve">). </w:t>
                      </w:r>
                      <w:r w:rsidRPr="00D4776E">
                        <w:rPr>
                          <w:rStyle w:val="Strong"/>
                          <w:rFonts w:ascii="Arial" w:eastAsiaTheme="minorHAnsi" w:hAnsi="Arial" w:cs="Arial"/>
                          <w:kern w:val="2"/>
                          <w:sz w:val="20"/>
                          <w:szCs w:val="20"/>
                          <w:lang w:eastAsia="en-US"/>
                          <w14:ligatures w14:val="standardContextual"/>
                        </w:rPr>
                        <w:t>b,</w:t>
                      </w:r>
                      <w:r w:rsidRPr="00D4776E">
                        <w:rPr>
                          <w:rStyle w:val="Strong"/>
                          <w:rFonts w:ascii="Arial" w:eastAsiaTheme="minorHAnsi" w:hAnsi="Arial" w:cs="Arial"/>
                          <w:b w:val="0"/>
                          <w:kern w:val="2"/>
                          <w:sz w:val="20"/>
                          <w:szCs w:val="20"/>
                          <w:lang w:eastAsia="en-US"/>
                          <w14:ligatures w14:val="standardContextual"/>
                        </w:rPr>
                        <w:t xml:space="preserve"> Summer tropical wind-stress anomalies (</w:t>
                      </w:r>
                      <m:oMath>
                        <m:r>
                          <w:rPr>
                            <w:rStyle w:val="Strong"/>
                            <w:rFonts w:ascii="Cambria Math" w:eastAsiaTheme="minorHAnsi" w:hAnsi="Cambria Math" w:cs="Arial"/>
                            <w:kern w:val="2"/>
                            <w:sz w:val="20"/>
                            <w:szCs w:val="20"/>
                            <w:lang w:eastAsia="en-US"/>
                            <w14:ligatures w14:val="standardContextual"/>
                          </w:rPr>
                          <m:t>Pa</m:t>
                        </m:r>
                      </m:oMath>
                      <w:r w:rsidRPr="00D4776E">
                        <w:rPr>
                          <w:rStyle w:val="Strong"/>
                          <w:rFonts w:ascii="Arial" w:eastAsiaTheme="minorHAnsi" w:hAnsi="Arial" w:cs="Arial"/>
                          <w:b w:val="0"/>
                          <w:kern w:val="2"/>
                          <w:sz w:val="20"/>
                          <w:szCs w:val="20"/>
                          <w:lang w:eastAsia="en-US"/>
                          <w14:ligatures w14:val="standardContextual"/>
                        </w:rPr>
                        <w:t>) versus summer extratropical SST anomalies (</w:t>
                      </w:r>
                      <m:oMath>
                        <m:r>
                          <w:rPr>
                            <w:rStyle w:val="Strong"/>
                            <w:rFonts w:ascii="Cambria Math" w:eastAsiaTheme="minorHAnsi" w:hAnsi="Cambria Math" w:cs="Arial"/>
                            <w:kern w:val="2"/>
                            <w:sz w:val="20"/>
                            <w:szCs w:val="20"/>
                            <w:lang w:eastAsia="en-US"/>
                            <w14:ligatures w14:val="standardContextual"/>
                          </w:rPr>
                          <m:t>°C</m:t>
                        </m:r>
                      </m:oMath>
                      <w:r w:rsidRPr="00D4776E">
                        <w:rPr>
                          <w:rStyle w:val="Strong"/>
                          <w:rFonts w:ascii="Arial" w:eastAsiaTheme="minorHAnsi" w:hAnsi="Arial" w:cs="Arial"/>
                          <w:b w:val="0"/>
                          <w:kern w:val="2"/>
                          <w:sz w:val="20"/>
                          <w:szCs w:val="20"/>
                          <w:lang w:eastAsia="en-US"/>
                          <w14:ligatures w14:val="standardContextual"/>
                        </w:rPr>
                        <w:t xml:space="preserve">). </w:t>
                      </w:r>
                      <w:r w:rsidRPr="00D4776E">
                        <w:rPr>
                          <w:rFonts w:ascii="Arial" w:hAnsi="Arial" w:cs="Arial"/>
                          <w:sz w:val="20"/>
                          <w:szCs w:val="20"/>
                        </w:rPr>
                        <w:t xml:space="preserve">The solid star marker represents combination of observational estimates using HadISST, ERSST, and COBE2 over the </w:t>
                      </w:r>
                      <w:r w:rsidR="00D27BE8">
                        <w:rPr>
                          <w:rFonts w:ascii="Arial" w:hAnsi="Arial" w:cs="Arial"/>
                          <w:sz w:val="20"/>
                          <w:szCs w:val="20"/>
                        </w:rPr>
                        <w:t>extended</w:t>
                      </w:r>
                      <w:r w:rsidRPr="00D4776E">
                        <w:rPr>
                          <w:rFonts w:ascii="Arial" w:hAnsi="Arial" w:cs="Arial"/>
                          <w:sz w:val="20"/>
                          <w:szCs w:val="20"/>
                        </w:rPr>
                        <w:t xml:space="preserve"> period (1983–2024) and </w:t>
                      </w:r>
                      <w:r w:rsidR="00D27BE8">
                        <w:rPr>
                          <w:rFonts w:ascii="Arial" w:hAnsi="Arial" w:cs="Arial"/>
                          <w:sz w:val="20"/>
                          <w:szCs w:val="20"/>
                        </w:rPr>
                        <w:t>mo</w:t>
                      </w:r>
                      <w:r w:rsidR="00426ECA">
                        <w:rPr>
                          <w:rFonts w:ascii="Arial" w:hAnsi="Arial" w:cs="Arial"/>
                          <w:sz w:val="20"/>
                          <w:szCs w:val="20"/>
                        </w:rPr>
                        <w:t>re</w:t>
                      </w:r>
                      <w:r w:rsidR="00D27BE8">
                        <w:rPr>
                          <w:rFonts w:ascii="Arial" w:hAnsi="Arial" w:cs="Arial"/>
                          <w:sz w:val="20"/>
                          <w:szCs w:val="20"/>
                        </w:rPr>
                        <w:t xml:space="preserve"> recent (data-rich)</w:t>
                      </w:r>
                      <w:r w:rsidRPr="00D4776E">
                        <w:rPr>
                          <w:rFonts w:ascii="Arial" w:hAnsi="Arial" w:cs="Arial"/>
                          <w:sz w:val="20"/>
                          <w:szCs w:val="20"/>
                        </w:rPr>
                        <w:t xml:space="preserve"> period (1950-2024) combined with wind stress anomalies from 20CRv3 (1901–2024), and from ERA5 (1940–2024). The brown star marks the multi-model mean value, with diamonds mark the multi-model mean of each group. </w:t>
                      </w:r>
                      <w:r w:rsidRPr="00D4776E">
                        <w:rPr>
                          <w:rStyle w:val="Strong"/>
                          <w:rFonts w:ascii="Arial" w:eastAsiaTheme="minorHAnsi" w:hAnsi="Arial" w:cs="Arial"/>
                          <w:b w:val="0"/>
                          <w:kern w:val="2"/>
                          <w:sz w:val="20"/>
                          <w:szCs w:val="20"/>
                          <w:lang w:eastAsia="en-US"/>
                          <w14:ligatures w14:val="standardContextual"/>
                        </w:rPr>
                        <w:t xml:space="preserve">Pearson correlation coefficients (r) are shown in each panel, with values in square brackets indicating the 90% confidence </w:t>
                      </w:r>
                      <w:r w:rsidRPr="00D4776E">
                        <w:rPr>
                          <w:rStyle w:val="Strong"/>
                          <w:rFonts w:ascii="Arial" w:eastAsiaTheme="minorHAnsi" w:hAnsi="Arial" w:cs="Arial"/>
                          <w:b w:val="0"/>
                          <w:bCs w:val="0"/>
                          <w:kern w:val="2"/>
                          <w:sz w:val="20"/>
                          <w:szCs w:val="20"/>
                          <w:lang w:eastAsia="en-US"/>
                          <w14:ligatures w14:val="standardContextual"/>
                        </w:rPr>
                        <w:t>interval</w:t>
                      </w:r>
                      <w:r w:rsidRPr="00D4776E">
                        <w:rPr>
                          <w:rStyle w:val="Strong"/>
                          <w:rFonts w:ascii="Arial" w:eastAsiaTheme="minorHAnsi" w:hAnsi="Arial" w:cs="Arial"/>
                          <w:b w:val="0"/>
                          <w:kern w:val="2"/>
                          <w:sz w:val="20"/>
                          <w:szCs w:val="20"/>
                          <w:lang w:eastAsia="en-US"/>
                          <w14:ligatures w14:val="standardContextual"/>
                        </w:rPr>
                        <w:t>.</w:t>
                      </w:r>
                      <w:r w:rsidRPr="00D4776E">
                        <w:rPr>
                          <w:rStyle w:val="Strong"/>
                          <w:rFonts w:ascii="Arial" w:eastAsiaTheme="minorHAnsi" w:hAnsi="Arial" w:cs="Arial"/>
                          <w:b w:val="0"/>
                          <w:bCs w:val="0"/>
                          <w:kern w:val="2"/>
                          <w:sz w:val="20"/>
                          <w:szCs w:val="20"/>
                          <w:lang w:eastAsia="en-US"/>
                          <w14:ligatures w14:val="standardContextual"/>
                        </w:rPr>
                        <w:t xml:space="preserve"> Blue, cyan, and red letters indicate high-, low-, and negative-seasonality models.</w:t>
                      </w:r>
                    </w:p>
                    <w:p w14:paraId="3476FED3" w14:textId="77777777" w:rsidR="00D4776E" w:rsidRPr="00D4776E" w:rsidRDefault="00D4776E" w:rsidP="00D4776E">
                      <w:pPr>
                        <w:spacing w:line="276" w:lineRule="auto"/>
                        <w:rPr>
                          <w:sz w:val="4"/>
                          <w:szCs w:val="4"/>
                        </w:rPr>
                      </w:pPr>
                    </w:p>
                  </w:txbxContent>
                </v:textbox>
                <w10:anchorlock/>
              </v:shape>
            </w:pict>
          </mc:Fallback>
        </mc:AlternateContent>
      </w:r>
    </w:p>
    <w:p w14:paraId="3BA1B873" w14:textId="77777777" w:rsidR="00FC61CE" w:rsidRPr="00590236" w:rsidRDefault="00FC61CE" w:rsidP="00590236">
      <w:pPr>
        <w:spacing w:line="360" w:lineRule="auto"/>
        <w:jc w:val="both"/>
        <w:rPr>
          <w:rFonts w:ascii="Arial" w:hAnsi="Arial" w:cs="Arial"/>
        </w:rPr>
      </w:pPr>
    </w:p>
    <w:p w14:paraId="462DE885" w14:textId="380BC5A1" w:rsidR="00FC61CE" w:rsidRPr="00590236" w:rsidRDefault="00FC61CE" w:rsidP="00590236">
      <w:pPr>
        <w:spacing w:line="360" w:lineRule="auto"/>
        <w:jc w:val="both"/>
        <w:rPr>
          <w:rFonts w:ascii="Arial" w:hAnsi="Arial" w:cs="Arial"/>
        </w:rPr>
      </w:pPr>
    </w:p>
    <w:p w14:paraId="6A3E20DD" w14:textId="77777777" w:rsidR="00FC61CE" w:rsidRPr="00590236" w:rsidRDefault="00FC61CE" w:rsidP="00590236">
      <w:pPr>
        <w:spacing w:line="360" w:lineRule="auto"/>
        <w:jc w:val="both"/>
        <w:rPr>
          <w:rFonts w:ascii="Arial" w:hAnsi="Arial" w:cs="Arial"/>
        </w:rPr>
      </w:pPr>
    </w:p>
    <w:p w14:paraId="6C7FA35C" w14:textId="0F3A8C0E" w:rsidR="00FC61CE" w:rsidRPr="00590236" w:rsidRDefault="000F1AF8" w:rsidP="00590236">
      <w:pPr>
        <w:spacing w:line="360" w:lineRule="auto"/>
        <w:jc w:val="both"/>
        <w:rPr>
          <w:rFonts w:ascii="Arial" w:hAnsi="Arial" w:cs="Arial"/>
        </w:rPr>
      </w:pPr>
      <w:r w:rsidRPr="00590236">
        <w:rPr>
          <w:rFonts w:ascii="Arial" w:hAnsi="Arial" w:cs="Arial"/>
          <w:noProof/>
        </w:rPr>
        <w:lastRenderedPageBreak/>
        <w:drawing>
          <wp:inline distT="0" distB="0" distL="0" distR="0" wp14:anchorId="06E1FF5D" wp14:editId="2FD6667D">
            <wp:extent cx="1902035" cy="6187044"/>
            <wp:effectExtent l="0" t="0" r="3175" b="4445"/>
            <wp:docPr id="8436497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544" cy="6208216"/>
                    </a:xfrm>
                    <a:prstGeom prst="rect">
                      <a:avLst/>
                    </a:prstGeom>
                    <a:noFill/>
                    <a:ln>
                      <a:noFill/>
                    </a:ln>
                  </pic:spPr>
                </pic:pic>
              </a:graphicData>
            </a:graphic>
          </wp:inline>
        </w:drawing>
      </w:r>
    </w:p>
    <w:p w14:paraId="77AB01E5" w14:textId="493BA447" w:rsidR="00FC61CE" w:rsidRPr="00590236" w:rsidRDefault="000F1AF8" w:rsidP="00590236">
      <w:pPr>
        <w:pStyle w:val="NormalWeb"/>
        <w:spacing w:line="360" w:lineRule="auto"/>
        <w:jc w:val="both"/>
        <w:rPr>
          <w:rFonts w:ascii="Arial" w:hAnsi="Arial" w:cs="Arial"/>
        </w:rPr>
      </w:pPr>
      <w:r w:rsidRPr="00590236">
        <w:rPr>
          <w:rFonts w:ascii="Arial" w:hAnsi="Arial" w:cs="Arial"/>
          <w:b/>
          <w:bCs/>
        </w:rPr>
        <w:t xml:space="preserve">Supplementary Figure </w:t>
      </w:r>
      <w:r w:rsidR="007E519F">
        <w:rPr>
          <w:rFonts w:ascii="Arial" w:hAnsi="Arial" w:cs="Arial"/>
          <w:b/>
          <w:bCs/>
        </w:rPr>
        <w:t>6</w:t>
      </w:r>
      <w:r w:rsidRPr="00590236">
        <w:rPr>
          <w:rStyle w:val="Strong"/>
          <w:rFonts w:ascii="Arial" w:eastAsiaTheme="minorHAnsi" w:hAnsi="Arial" w:cs="Arial"/>
          <w:kern w:val="2"/>
          <w:lang w:eastAsia="en-US"/>
          <w14:ligatures w14:val="standardContextual"/>
        </w:rPr>
        <w:t xml:space="preserve"> </w:t>
      </w:r>
      <w:r w:rsidR="00FC61CE" w:rsidRPr="00590236">
        <w:rPr>
          <w:rFonts w:ascii="Arial" w:hAnsi="Arial" w:cs="Arial"/>
          <w:b/>
          <w:bCs/>
        </w:rPr>
        <w:t xml:space="preserve">| </w:t>
      </w:r>
      <w:r w:rsidR="00FC61CE" w:rsidRPr="00590236">
        <w:rPr>
          <w:rStyle w:val="Strong"/>
          <w:rFonts w:ascii="Arial" w:eastAsiaTheme="minorHAnsi" w:hAnsi="Arial" w:cs="Arial"/>
          <w:kern w:val="2"/>
          <w:lang w:eastAsia="en-US"/>
          <w14:ligatures w14:val="standardContextual"/>
        </w:rPr>
        <w:t>Processes driving model diversity of internal tropical AMV during winter</w:t>
      </w:r>
    </w:p>
    <w:p w14:paraId="634D52B7" w14:textId="6C27F24E" w:rsidR="00FB4F40" w:rsidRDefault="00FB4F40" w:rsidP="00590236">
      <w:pPr>
        <w:pStyle w:val="NormalWeb"/>
        <w:spacing w:line="360" w:lineRule="auto"/>
        <w:jc w:val="both"/>
        <w:rPr>
          <w:rFonts w:ascii="Arial" w:eastAsiaTheme="minorHAnsi" w:hAnsi="Arial" w:cs="Arial"/>
          <w:kern w:val="2"/>
          <w:lang w:eastAsia="en-US"/>
          <w14:ligatures w14:val="standardContextual"/>
        </w:rPr>
      </w:pPr>
      <w:r>
        <w:rPr>
          <w:rFonts w:ascii="Arial" w:hAnsi="Arial" w:cs="Arial"/>
          <w:noProof/>
        </w:rPr>
        <mc:AlternateContent>
          <mc:Choice Requires="wps">
            <w:drawing>
              <wp:inline distT="0" distB="0" distL="0" distR="0" wp14:anchorId="5387942B" wp14:editId="597EF991">
                <wp:extent cx="5789221" cy="1359725"/>
                <wp:effectExtent l="0" t="0" r="2540" b="0"/>
                <wp:docPr id="1527891936" name="Text Box 1"/>
                <wp:cNvGraphicFramePr/>
                <a:graphic xmlns:a="http://schemas.openxmlformats.org/drawingml/2006/main">
                  <a:graphicData uri="http://schemas.microsoft.com/office/word/2010/wordprocessingShape">
                    <wps:wsp>
                      <wps:cNvSpPr txBox="1"/>
                      <wps:spPr>
                        <a:xfrm>
                          <a:off x="0" y="0"/>
                          <a:ext cx="5789221" cy="1359725"/>
                        </a:xfrm>
                        <a:prstGeom prst="rect">
                          <a:avLst/>
                        </a:prstGeom>
                        <a:solidFill>
                          <a:schemeClr val="lt1"/>
                        </a:solidFill>
                        <a:ln w="6350">
                          <a:noFill/>
                        </a:ln>
                      </wps:spPr>
                      <wps:txbx>
                        <w:txbxContent>
                          <w:p w14:paraId="42B7415A" w14:textId="77777777" w:rsidR="00FB4F40" w:rsidRPr="00FB4F40" w:rsidRDefault="00FB4F40" w:rsidP="00426ECA">
                            <w:pPr>
                              <w:pStyle w:val="NormalWeb"/>
                              <w:spacing w:line="276" w:lineRule="auto"/>
                              <w:ind w:left="-142"/>
                              <w:jc w:val="both"/>
                              <w:rPr>
                                <w:rFonts w:ascii="Arial" w:eastAsiaTheme="minorHAnsi" w:hAnsi="Arial" w:cs="Arial"/>
                                <w:kern w:val="2"/>
                                <w:sz w:val="20"/>
                                <w:szCs w:val="20"/>
                                <w:lang w:eastAsia="en-US"/>
                                <w14:ligatures w14:val="standardContextual"/>
                              </w:rPr>
                            </w:pPr>
                            <w:r w:rsidRPr="00FB4F40">
                              <w:rPr>
                                <w:rFonts w:ascii="Arial" w:eastAsiaTheme="minorHAnsi" w:hAnsi="Arial" w:cs="Arial"/>
                                <w:kern w:val="2"/>
                                <w:sz w:val="20"/>
                                <w:szCs w:val="20"/>
                                <w:lang w:eastAsia="en-US"/>
                                <w14:ligatures w14:val="standardContextual"/>
                              </w:rPr>
                              <w:t xml:space="preserve">Scatter plots show inter-model relationships among key variables during the decay phase of tropical AMV, averaged over the five years preceding the peak. </w:t>
                            </w:r>
                            <w:r w:rsidRPr="00FB4F40">
                              <w:rPr>
                                <w:rFonts w:ascii="Arial" w:eastAsiaTheme="minorHAnsi" w:hAnsi="Arial" w:cs="Arial"/>
                                <w:b/>
                                <w:bCs/>
                                <w:kern w:val="2"/>
                                <w:sz w:val="20"/>
                                <w:szCs w:val="20"/>
                                <w:lang w:eastAsia="en-US"/>
                                <w14:ligatures w14:val="standardContextual"/>
                              </w:rPr>
                              <w:t>a,</w:t>
                            </w:r>
                            <w:r w:rsidRPr="00FB4F40">
                              <w:rPr>
                                <w:rFonts w:ascii="Arial" w:eastAsiaTheme="minorHAnsi" w:hAnsi="Arial" w:cs="Arial"/>
                                <w:kern w:val="2"/>
                                <w:sz w:val="20"/>
                                <w:szCs w:val="20"/>
                                <w:lang w:eastAsia="en-US"/>
                                <w14:ligatures w14:val="standardContextual"/>
                              </w:rPr>
                              <w:t xml:space="preserve"> Wintertime relative mixed-layer depth changes versus SST tendency. </w:t>
                            </w:r>
                            <w:r w:rsidRPr="00FB4F40">
                              <w:rPr>
                                <w:rFonts w:ascii="Arial" w:eastAsiaTheme="minorHAnsi" w:hAnsi="Arial" w:cs="Arial"/>
                                <w:b/>
                                <w:bCs/>
                                <w:kern w:val="2"/>
                                <w:sz w:val="20"/>
                                <w:szCs w:val="20"/>
                                <w:lang w:eastAsia="en-US"/>
                                <w14:ligatures w14:val="standardContextual"/>
                              </w:rPr>
                              <w:t>b,</w:t>
                            </w:r>
                            <w:r w:rsidRPr="00FB4F40">
                              <w:rPr>
                                <w:rFonts w:ascii="Arial" w:eastAsiaTheme="minorHAnsi" w:hAnsi="Arial" w:cs="Arial"/>
                                <w:kern w:val="2"/>
                                <w:sz w:val="20"/>
                                <w:szCs w:val="20"/>
                                <w:lang w:eastAsia="en-US"/>
                                <w14:ligatures w14:val="standardContextual"/>
                              </w:rPr>
                              <w:t xml:space="preserve"> Winter mixed-layer–depth driven SST tendency versus SST tendency. </w:t>
                            </w:r>
                            <w:r w:rsidRPr="00FB4F40">
                              <w:rPr>
                                <w:rFonts w:ascii="Arial" w:eastAsiaTheme="minorHAnsi" w:hAnsi="Arial" w:cs="Arial"/>
                                <w:b/>
                                <w:bCs/>
                                <w:kern w:val="2"/>
                                <w:sz w:val="20"/>
                                <w:szCs w:val="20"/>
                                <w:lang w:eastAsia="en-US"/>
                                <w14:ligatures w14:val="standardContextual"/>
                              </w:rPr>
                              <w:t>c,</w:t>
                            </w:r>
                            <w:r w:rsidRPr="00FB4F40">
                              <w:rPr>
                                <w:rFonts w:ascii="Arial" w:eastAsiaTheme="minorHAnsi" w:hAnsi="Arial" w:cs="Arial"/>
                                <w:kern w:val="2"/>
                                <w:sz w:val="20"/>
                                <w:szCs w:val="20"/>
                                <w:lang w:eastAsia="en-US"/>
                                <w14:ligatures w14:val="standardContextual"/>
                              </w:rPr>
                              <w:t xml:space="preserve"> Winter net surface heat-flux driven SST tendency versus SST tendency. </w:t>
                            </w:r>
                            <w:r w:rsidRPr="00FB4F40">
                              <w:rPr>
                                <w:rFonts w:ascii="Arial" w:hAnsi="Arial" w:cs="Arial"/>
                                <w:sz w:val="20"/>
                                <w:szCs w:val="20"/>
                              </w:rPr>
                              <w:t xml:space="preserve">The brown star marker presents the multi-model mean value. </w:t>
                            </w:r>
                            <w:r w:rsidRPr="00FB4F40">
                              <w:rPr>
                                <w:rStyle w:val="Strong"/>
                                <w:rFonts w:ascii="Arial" w:eastAsiaTheme="minorHAnsi" w:hAnsi="Arial" w:cs="Arial"/>
                                <w:b w:val="0"/>
                                <w:bCs w:val="0"/>
                                <w:kern w:val="2"/>
                                <w:sz w:val="20"/>
                                <w:szCs w:val="20"/>
                                <w:lang w:eastAsia="en-US"/>
                                <w14:ligatures w14:val="standardContextual"/>
                              </w:rPr>
                              <w:t>Pearson correlation coefficients (r) are shown in each panel, with values in square brackets indicating the 90% confidence interval. Blue, cyan, and red letters indicate high-, low-, and negative-seasonality models.</w:t>
                            </w:r>
                          </w:p>
                          <w:p w14:paraId="306BF3CC" w14:textId="77777777" w:rsidR="00FB4F40" w:rsidRPr="00FB4F40" w:rsidRDefault="00FB4F40" w:rsidP="00FB4F40">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87942B" id="_x0000_s1031" type="#_x0000_t202" style="width:455.85pt;height:10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" fillcolor="white [3201]" stroked="f" strokeweight=".5pt">
                <v:textbox>
                  <w:txbxContent>
                    <w:p w14:paraId="42B7415A" w14:textId="77777777" w:rsidR="00FB4F40" w:rsidRPr="00FB4F40" w:rsidRDefault="00FB4F40" w:rsidP="00426ECA">
                      <w:pPr>
                        <w:pStyle w:val="NormalWeb"/>
                        <w:spacing w:line="276" w:lineRule="auto"/>
                        <w:ind w:left="-142"/>
                        <w:jc w:val="both"/>
                        <w:rPr>
                          <w:rFonts w:ascii="Arial" w:eastAsiaTheme="minorHAnsi" w:hAnsi="Arial" w:cs="Arial"/>
                          <w:kern w:val="2"/>
                          <w:sz w:val="20"/>
                          <w:szCs w:val="20"/>
                          <w:lang w:eastAsia="en-US"/>
                          <w14:ligatures w14:val="standardContextual"/>
                        </w:rPr>
                      </w:pPr>
                      <w:r w:rsidRPr="00FB4F40">
                        <w:rPr>
                          <w:rFonts w:ascii="Arial" w:eastAsiaTheme="minorHAnsi" w:hAnsi="Arial" w:cs="Arial"/>
                          <w:kern w:val="2"/>
                          <w:sz w:val="20"/>
                          <w:szCs w:val="20"/>
                          <w:lang w:eastAsia="en-US"/>
                          <w14:ligatures w14:val="standardContextual"/>
                        </w:rPr>
                        <w:t xml:space="preserve">Scatter plots show inter-model relationships among key variables during the decay phase of tropical AMV, averaged over the five years preceding the peak. </w:t>
                      </w:r>
                      <w:r w:rsidRPr="00FB4F40">
                        <w:rPr>
                          <w:rFonts w:ascii="Arial" w:eastAsiaTheme="minorHAnsi" w:hAnsi="Arial" w:cs="Arial"/>
                          <w:b/>
                          <w:bCs/>
                          <w:kern w:val="2"/>
                          <w:sz w:val="20"/>
                          <w:szCs w:val="20"/>
                          <w:lang w:eastAsia="en-US"/>
                          <w14:ligatures w14:val="standardContextual"/>
                        </w:rPr>
                        <w:t>a,</w:t>
                      </w:r>
                      <w:r w:rsidRPr="00FB4F40">
                        <w:rPr>
                          <w:rFonts w:ascii="Arial" w:eastAsiaTheme="minorHAnsi" w:hAnsi="Arial" w:cs="Arial"/>
                          <w:kern w:val="2"/>
                          <w:sz w:val="20"/>
                          <w:szCs w:val="20"/>
                          <w:lang w:eastAsia="en-US"/>
                          <w14:ligatures w14:val="standardContextual"/>
                        </w:rPr>
                        <w:t xml:space="preserve"> Wintertime relative mixed-layer depth changes versus SST tendency. </w:t>
                      </w:r>
                      <w:r w:rsidRPr="00FB4F40">
                        <w:rPr>
                          <w:rFonts w:ascii="Arial" w:eastAsiaTheme="minorHAnsi" w:hAnsi="Arial" w:cs="Arial"/>
                          <w:b/>
                          <w:bCs/>
                          <w:kern w:val="2"/>
                          <w:sz w:val="20"/>
                          <w:szCs w:val="20"/>
                          <w:lang w:eastAsia="en-US"/>
                          <w14:ligatures w14:val="standardContextual"/>
                        </w:rPr>
                        <w:t>b,</w:t>
                      </w:r>
                      <w:r w:rsidRPr="00FB4F40">
                        <w:rPr>
                          <w:rFonts w:ascii="Arial" w:eastAsiaTheme="minorHAnsi" w:hAnsi="Arial" w:cs="Arial"/>
                          <w:kern w:val="2"/>
                          <w:sz w:val="20"/>
                          <w:szCs w:val="20"/>
                          <w:lang w:eastAsia="en-US"/>
                          <w14:ligatures w14:val="standardContextual"/>
                        </w:rPr>
                        <w:t xml:space="preserve"> Winter mixed-layer–depth driven SST tendency versus SST tendency. </w:t>
                      </w:r>
                      <w:r w:rsidRPr="00FB4F40">
                        <w:rPr>
                          <w:rFonts w:ascii="Arial" w:eastAsiaTheme="minorHAnsi" w:hAnsi="Arial" w:cs="Arial"/>
                          <w:b/>
                          <w:bCs/>
                          <w:kern w:val="2"/>
                          <w:sz w:val="20"/>
                          <w:szCs w:val="20"/>
                          <w:lang w:eastAsia="en-US"/>
                          <w14:ligatures w14:val="standardContextual"/>
                        </w:rPr>
                        <w:t>c,</w:t>
                      </w:r>
                      <w:r w:rsidRPr="00FB4F40">
                        <w:rPr>
                          <w:rFonts w:ascii="Arial" w:eastAsiaTheme="minorHAnsi" w:hAnsi="Arial" w:cs="Arial"/>
                          <w:kern w:val="2"/>
                          <w:sz w:val="20"/>
                          <w:szCs w:val="20"/>
                          <w:lang w:eastAsia="en-US"/>
                          <w14:ligatures w14:val="standardContextual"/>
                        </w:rPr>
                        <w:t xml:space="preserve"> Winter net surface heat-flux driven SST tendency versus SST tendency. </w:t>
                      </w:r>
                      <w:r w:rsidRPr="00FB4F40">
                        <w:rPr>
                          <w:rFonts w:ascii="Arial" w:hAnsi="Arial" w:cs="Arial"/>
                          <w:sz w:val="20"/>
                          <w:szCs w:val="20"/>
                        </w:rPr>
                        <w:t xml:space="preserve">The brown star marker presents the multi-model mean value. </w:t>
                      </w:r>
                      <w:r w:rsidRPr="00FB4F40">
                        <w:rPr>
                          <w:rStyle w:val="Strong"/>
                          <w:rFonts w:ascii="Arial" w:eastAsiaTheme="minorHAnsi" w:hAnsi="Arial" w:cs="Arial"/>
                          <w:b w:val="0"/>
                          <w:bCs w:val="0"/>
                          <w:kern w:val="2"/>
                          <w:sz w:val="20"/>
                          <w:szCs w:val="20"/>
                          <w:lang w:eastAsia="en-US"/>
                          <w14:ligatures w14:val="standardContextual"/>
                        </w:rPr>
                        <w:t>Pearson correlation coefficients (r) are shown in each panel, with values in square brackets indicating the 90% confidence interval. Blue, cyan, and red letters indicate high-, low-, and negative-seasonality models.</w:t>
                      </w:r>
                    </w:p>
                    <w:p w14:paraId="306BF3CC" w14:textId="77777777" w:rsidR="00FB4F40" w:rsidRPr="00FB4F40" w:rsidRDefault="00FB4F40" w:rsidP="00FB4F40">
                      <w:pPr>
                        <w:spacing w:line="276" w:lineRule="auto"/>
                        <w:rPr>
                          <w:sz w:val="2"/>
                          <w:szCs w:val="2"/>
                        </w:rPr>
                      </w:pPr>
                    </w:p>
                  </w:txbxContent>
                </v:textbox>
                <w10:anchorlock/>
              </v:shape>
            </w:pict>
          </mc:Fallback>
        </mc:AlternateContent>
      </w:r>
    </w:p>
    <w:p w14:paraId="24EE92E3" w14:textId="77777777" w:rsidR="00023712" w:rsidRPr="00590236" w:rsidRDefault="00023712" w:rsidP="00590236">
      <w:pPr>
        <w:spacing w:line="360" w:lineRule="auto"/>
        <w:jc w:val="both"/>
        <w:rPr>
          <w:rFonts w:ascii="Arial" w:hAnsi="Arial" w:cs="Arial"/>
        </w:rPr>
      </w:pPr>
    </w:p>
    <w:p w14:paraId="7290CCC0" w14:textId="3AD4A094" w:rsidR="00FC61CE" w:rsidRPr="00590236" w:rsidRDefault="002214C0" w:rsidP="00590236">
      <w:pPr>
        <w:spacing w:line="360" w:lineRule="auto"/>
        <w:jc w:val="both"/>
        <w:rPr>
          <w:rFonts w:ascii="Arial" w:hAnsi="Arial" w:cs="Arial"/>
        </w:rPr>
      </w:pPr>
      <w:r w:rsidRPr="00590236">
        <w:rPr>
          <w:rFonts w:ascii="Arial" w:hAnsi="Arial" w:cs="Arial"/>
          <w:noProof/>
        </w:rPr>
        <w:drawing>
          <wp:inline distT="0" distB="0" distL="0" distR="0" wp14:anchorId="571AE1E9" wp14:editId="73D34A86">
            <wp:extent cx="5731510" cy="4805045"/>
            <wp:effectExtent l="0" t="0" r="2540" b="0"/>
            <wp:docPr id="1579403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805045"/>
                    </a:xfrm>
                    <a:prstGeom prst="rect">
                      <a:avLst/>
                    </a:prstGeom>
                    <a:noFill/>
                    <a:ln>
                      <a:noFill/>
                    </a:ln>
                  </pic:spPr>
                </pic:pic>
              </a:graphicData>
            </a:graphic>
          </wp:inline>
        </w:drawing>
      </w:r>
    </w:p>
    <w:p w14:paraId="4AB134BF" w14:textId="77777777" w:rsidR="00EE0EB2" w:rsidRPr="00590236" w:rsidRDefault="00EE0EB2" w:rsidP="00590236">
      <w:pPr>
        <w:spacing w:line="360" w:lineRule="auto"/>
        <w:jc w:val="both"/>
        <w:rPr>
          <w:rFonts w:ascii="Arial" w:hAnsi="Arial" w:cs="Arial"/>
        </w:rPr>
      </w:pPr>
    </w:p>
    <w:p w14:paraId="159C8BB7" w14:textId="295F6F0B" w:rsidR="00B10766" w:rsidRPr="00590236" w:rsidRDefault="00B10766" w:rsidP="00A50F38">
      <w:pPr>
        <w:pStyle w:val="NormalWeb"/>
        <w:spacing w:line="360" w:lineRule="auto"/>
        <w:jc w:val="both"/>
        <w:rPr>
          <w:rFonts w:ascii="Arial" w:hAnsi="Arial" w:cs="Arial"/>
        </w:rPr>
      </w:pPr>
      <w:r w:rsidRPr="00590236">
        <w:rPr>
          <w:rFonts w:ascii="Arial" w:hAnsi="Arial" w:cs="Arial"/>
          <w:b/>
          <w:bCs/>
        </w:rPr>
        <w:t xml:space="preserve">Supplementary Figure </w:t>
      </w:r>
      <w:r w:rsidR="007E519F">
        <w:rPr>
          <w:rFonts w:ascii="Arial" w:hAnsi="Arial" w:cs="Arial"/>
          <w:b/>
          <w:bCs/>
        </w:rPr>
        <w:t>7</w:t>
      </w:r>
      <w:r w:rsidRPr="00590236">
        <w:rPr>
          <w:rFonts w:ascii="Arial" w:hAnsi="Arial" w:cs="Arial"/>
          <w:b/>
          <w:bCs/>
        </w:rPr>
        <w:t xml:space="preserve"> | </w:t>
      </w:r>
      <w:r w:rsidR="00483ADE" w:rsidRPr="00483ADE">
        <w:rPr>
          <w:rFonts w:ascii="Arial" w:hAnsi="Arial" w:cs="Arial"/>
          <w:b/>
          <w:bCs/>
        </w:rPr>
        <w:t>Inter-model relationships among winter processes associated with diversity in internal tropical AMV decay</w:t>
      </w:r>
    </w:p>
    <w:p w14:paraId="18147045" w14:textId="39AC1479" w:rsidR="006E2158" w:rsidRDefault="006E2158" w:rsidP="00590236">
      <w:pPr>
        <w:pStyle w:val="NormalWeb"/>
        <w:spacing w:line="360" w:lineRule="auto"/>
        <w:jc w:val="both"/>
        <w:rPr>
          <w:rFonts w:ascii="Arial" w:eastAsiaTheme="minorHAnsi" w:hAnsi="Arial" w:cs="Arial"/>
          <w:kern w:val="2"/>
          <w:lang w:eastAsia="en-US"/>
          <w14:ligatures w14:val="standardContextual"/>
        </w:rPr>
      </w:pPr>
      <w:r>
        <w:rPr>
          <w:rFonts w:ascii="Arial" w:hAnsi="Arial" w:cs="Arial"/>
          <w:noProof/>
        </w:rPr>
        <mc:AlternateContent>
          <mc:Choice Requires="wps">
            <w:drawing>
              <wp:inline distT="0" distB="0" distL="0" distR="0" wp14:anchorId="199A4904" wp14:editId="6F5F79A2">
                <wp:extent cx="5812971" cy="2511631"/>
                <wp:effectExtent l="0" t="0" r="0" b="3175"/>
                <wp:docPr id="512811902" name="Text Box 1"/>
                <wp:cNvGraphicFramePr/>
                <a:graphic xmlns:a="http://schemas.openxmlformats.org/drawingml/2006/main">
                  <a:graphicData uri="http://schemas.microsoft.com/office/word/2010/wordprocessingShape">
                    <wps:wsp>
                      <wps:cNvSpPr txBox="1"/>
                      <wps:spPr>
                        <a:xfrm>
                          <a:off x="0" y="0"/>
                          <a:ext cx="5812971" cy="2511631"/>
                        </a:xfrm>
                        <a:prstGeom prst="rect">
                          <a:avLst/>
                        </a:prstGeom>
                        <a:solidFill>
                          <a:schemeClr val="lt1"/>
                        </a:solidFill>
                        <a:ln w="6350">
                          <a:noFill/>
                        </a:ln>
                      </wps:spPr>
                      <wps:txbx>
                        <w:txbxContent>
                          <w:p w14:paraId="5E963F52" w14:textId="7AC90BCA" w:rsidR="006E2158" w:rsidRPr="006E2158" w:rsidRDefault="006E2158" w:rsidP="005B30D6">
                            <w:pPr>
                              <w:pStyle w:val="NormalWeb"/>
                              <w:spacing w:line="276" w:lineRule="auto"/>
                              <w:ind w:left="-142"/>
                              <w:jc w:val="both"/>
                              <w:rPr>
                                <w:rStyle w:val="Strong"/>
                                <w:rFonts w:ascii="Arial" w:eastAsiaTheme="minorHAnsi" w:hAnsi="Arial" w:cs="Arial"/>
                                <w:kern w:val="2"/>
                                <w:sz w:val="20"/>
                                <w:szCs w:val="20"/>
                                <w:lang w:eastAsia="en-US"/>
                                <w14:ligatures w14:val="standardContextual"/>
                              </w:rPr>
                            </w:pPr>
                            <w:r w:rsidRPr="006E2158">
                              <w:rPr>
                                <w:rFonts w:ascii="Arial" w:eastAsiaTheme="minorHAnsi" w:hAnsi="Arial" w:cs="Arial"/>
                                <w:kern w:val="2"/>
                                <w:sz w:val="20"/>
                                <w:szCs w:val="20"/>
                                <w:lang w:eastAsia="en-US"/>
                                <w14:ligatures w14:val="standardContextual"/>
                              </w:rPr>
                              <w:t xml:space="preserve">Scatter plots show inter-model relationships among key variables during the decay phases of tropical AMV, averaged over the five years preceding the peak. </w:t>
                            </w:r>
                            <w:r w:rsidRPr="006E2158">
                              <w:rPr>
                                <w:rFonts w:ascii="Arial" w:eastAsiaTheme="minorHAnsi" w:hAnsi="Arial" w:cs="Arial"/>
                                <w:b/>
                                <w:bCs/>
                                <w:kern w:val="2"/>
                                <w:sz w:val="20"/>
                                <w:szCs w:val="20"/>
                                <w:lang w:eastAsia="en-US"/>
                                <w14:ligatures w14:val="standardContextual"/>
                              </w:rPr>
                              <w:t>a,</w:t>
                            </w:r>
                            <w:r w:rsidRPr="006E2158">
                              <w:rPr>
                                <w:rFonts w:ascii="Arial" w:eastAsiaTheme="minorHAnsi" w:hAnsi="Arial" w:cs="Arial"/>
                                <w:kern w:val="2"/>
                                <w:sz w:val="20"/>
                                <w:szCs w:val="20"/>
                                <w:lang w:eastAsia="en-US"/>
                                <w14:ligatures w14:val="standardContextual"/>
                              </w:rPr>
                              <w:t xml:space="preserve"> Winter tropical wind-stress anomalies versus tropical SST tendency. </w:t>
                            </w:r>
                            <w:r w:rsidRPr="006E2158">
                              <w:rPr>
                                <w:rFonts w:ascii="Arial" w:eastAsiaTheme="minorHAnsi" w:hAnsi="Arial" w:cs="Arial"/>
                                <w:b/>
                                <w:bCs/>
                                <w:kern w:val="2"/>
                                <w:sz w:val="20"/>
                                <w:szCs w:val="20"/>
                                <w:lang w:eastAsia="en-US"/>
                                <w14:ligatures w14:val="standardContextual"/>
                              </w:rPr>
                              <w:t>b–f,</w:t>
                            </w:r>
                            <w:r w:rsidRPr="006E2158">
                              <w:rPr>
                                <w:rFonts w:ascii="Arial" w:eastAsiaTheme="minorHAnsi" w:hAnsi="Arial" w:cs="Arial"/>
                                <w:kern w:val="2"/>
                                <w:sz w:val="20"/>
                                <w:szCs w:val="20"/>
                                <w:lang w:eastAsia="en-US"/>
                                <w14:ligatures w14:val="standardContextual"/>
                              </w:rPr>
                              <w:t xml:space="preserve"> Winter latent, sensible, turbulent, shortwave, and net surface heat-flux anomalies versus tropical SST tendency. </w:t>
                            </w:r>
                            <w:r w:rsidRPr="006E2158">
                              <w:rPr>
                                <w:rFonts w:ascii="Arial" w:eastAsiaTheme="minorHAnsi" w:hAnsi="Arial" w:cs="Arial"/>
                                <w:b/>
                                <w:bCs/>
                                <w:kern w:val="2"/>
                                <w:sz w:val="20"/>
                                <w:szCs w:val="20"/>
                                <w:lang w:eastAsia="en-US"/>
                                <w14:ligatures w14:val="standardContextual"/>
                              </w:rPr>
                              <w:t>g,</w:t>
                            </w:r>
                            <w:r w:rsidRPr="006E2158">
                              <w:rPr>
                                <w:rFonts w:ascii="Arial" w:eastAsiaTheme="minorHAnsi" w:hAnsi="Arial" w:cs="Arial"/>
                                <w:kern w:val="2"/>
                                <w:sz w:val="20"/>
                                <w:szCs w:val="20"/>
                                <w:lang w:eastAsia="en-US"/>
                                <w14:ligatures w14:val="standardContextual"/>
                              </w:rPr>
                              <w:t xml:space="preserve"> Winter flux-driven SST tendency versus tropical SST tendency. </w:t>
                            </w:r>
                            <w:r w:rsidRPr="006E2158">
                              <w:rPr>
                                <w:rFonts w:ascii="Arial" w:eastAsiaTheme="minorHAnsi" w:hAnsi="Arial" w:cs="Arial"/>
                                <w:b/>
                                <w:bCs/>
                                <w:kern w:val="2"/>
                                <w:sz w:val="20"/>
                                <w:szCs w:val="20"/>
                                <w:lang w:eastAsia="en-US"/>
                                <w14:ligatures w14:val="standardContextual"/>
                              </w:rPr>
                              <w:t>h,</w:t>
                            </w:r>
                            <w:r w:rsidRPr="006E2158">
                              <w:rPr>
                                <w:rFonts w:ascii="Arial" w:eastAsiaTheme="minorHAnsi" w:hAnsi="Arial" w:cs="Arial"/>
                                <w:kern w:val="2"/>
                                <w:sz w:val="20"/>
                                <w:szCs w:val="20"/>
                                <w:lang w:eastAsia="en-US"/>
                                <w14:ligatures w14:val="standardContextual"/>
                              </w:rPr>
                              <w:t xml:space="preserve"> Relative mixed-layer depth changes versus tropical SST tendency. </w:t>
                            </w:r>
                            <w:r w:rsidRPr="006E2158">
                              <w:rPr>
                                <w:rFonts w:ascii="Arial" w:eastAsiaTheme="minorHAnsi" w:hAnsi="Arial" w:cs="Arial"/>
                                <w:b/>
                                <w:bCs/>
                                <w:kern w:val="2"/>
                                <w:sz w:val="20"/>
                                <w:szCs w:val="20"/>
                                <w:lang w:eastAsia="en-US"/>
                                <w14:ligatures w14:val="standardContextual"/>
                              </w:rPr>
                              <w:t>i,</w:t>
                            </w:r>
                            <w:r w:rsidRPr="006E2158">
                              <w:rPr>
                                <w:rFonts w:ascii="Arial" w:eastAsiaTheme="minorHAnsi" w:hAnsi="Arial" w:cs="Arial"/>
                                <w:kern w:val="2"/>
                                <w:sz w:val="20"/>
                                <w:szCs w:val="20"/>
                                <w:lang w:eastAsia="en-US"/>
                                <w14:ligatures w14:val="standardContextual"/>
                              </w:rPr>
                              <w:t xml:space="preserve"> Winter mixed-layer–depth driven SST tendency versus tropical SST tendency. </w:t>
                            </w:r>
                            <w:r w:rsidRPr="006E2158">
                              <w:rPr>
                                <w:rFonts w:ascii="Arial" w:eastAsiaTheme="minorHAnsi" w:hAnsi="Arial" w:cs="Arial"/>
                                <w:b/>
                                <w:bCs/>
                                <w:kern w:val="2"/>
                                <w:sz w:val="20"/>
                                <w:szCs w:val="20"/>
                                <w:lang w:eastAsia="en-US"/>
                                <w14:ligatures w14:val="standardContextual"/>
                              </w:rPr>
                              <w:t>j,</w:t>
                            </w:r>
                            <w:r w:rsidRPr="006E2158">
                              <w:rPr>
                                <w:rFonts w:ascii="Arial" w:eastAsiaTheme="minorHAnsi" w:hAnsi="Arial" w:cs="Arial"/>
                                <w:kern w:val="2"/>
                                <w:sz w:val="20"/>
                                <w:szCs w:val="20"/>
                                <w:lang w:eastAsia="en-US"/>
                                <w14:ligatures w14:val="standardContextual"/>
                              </w:rPr>
                              <w:t xml:space="preserve"> Winter net surface heat-flux driven SST tendency versus tropical SST tendency. </w:t>
                            </w:r>
                            <w:r w:rsidRPr="006E2158">
                              <w:rPr>
                                <w:rStyle w:val="Strong"/>
                                <w:rFonts w:ascii="Arial" w:eastAsiaTheme="minorHAnsi" w:hAnsi="Arial" w:cs="Arial"/>
                                <w:b w:val="0"/>
                                <w:bCs w:val="0"/>
                                <w:kern w:val="2"/>
                                <w:sz w:val="20"/>
                                <w:szCs w:val="20"/>
                                <w:lang w:eastAsia="en-US"/>
                                <w14:ligatures w14:val="standardContextual"/>
                              </w:rPr>
                              <w:t>Positive heat-flux values indicate ocean warming. Pearson correlation coefficients (r) are shown in each panel, with values in square brackets indicating the 90% confidence interval. Blue, cyan, and red letters indicate high-, low-, and negative-seasonality models.</w:t>
                            </w:r>
                            <w:r w:rsidRPr="006E2158">
                              <w:rPr>
                                <w:rStyle w:val="Strong"/>
                                <w:rFonts w:ascii="Arial" w:eastAsiaTheme="minorHAnsi" w:hAnsi="Arial" w:cs="Arial"/>
                                <w:kern w:val="2"/>
                                <w:sz w:val="20"/>
                                <w:szCs w:val="20"/>
                                <w:lang w:eastAsia="en-US"/>
                                <w14:ligatures w14:val="standardContextual"/>
                              </w:rPr>
                              <w:t xml:space="preserve"> </w:t>
                            </w:r>
                            <w:r w:rsidRPr="006E2158">
                              <w:rPr>
                                <w:rFonts w:ascii="Arial" w:hAnsi="Arial" w:cs="Arial"/>
                                <w:sz w:val="20"/>
                                <w:szCs w:val="20"/>
                              </w:rPr>
                              <w:t xml:space="preserve">The black star marker represents observational estimates using HadISST over the </w:t>
                            </w:r>
                            <w:r w:rsidR="005B30D6">
                              <w:rPr>
                                <w:rFonts w:ascii="Arial" w:hAnsi="Arial" w:cs="Arial"/>
                                <w:sz w:val="20"/>
                                <w:szCs w:val="20"/>
                              </w:rPr>
                              <w:t>extended</w:t>
                            </w:r>
                            <w:r w:rsidRPr="006E2158">
                              <w:rPr>
                                <w:rFonts w:ascii="Arial" w:hAnsi="Arial" w:cs="Arial"/>
                                <w:sz w:val="20"/>
                                <w:szCs w:val="20"/>
                              </w:rPr>
                              <w:t xml:space="preserve"> period (1983–2024) combined with wind stress anomalies from 20CRv3 (1883–2015), while the open star marker represents observational estimates using HadISST over the </w:t>
                            </w:r>
                            <w:r w:rsidR="005B30D6">
                              <w:rPr>
                                <w:rFonts w:ascii="Arial" w:hAnsi="Arial" w:cs="Arial"/>
                                <w:sz w:val="20"/>
                                <w:szCs w:val="20"/>
                              </w:rPr>
                              <w:t>more recent (data-rich)</w:t>
                            </w:r>
                            <w:r w:rsidRPr="006E2158">
                              <w:rPr>
                                <w:rFonts w:ascii="Arial" w:hAnsi="Arial" w:cs="Arial"/>
                                <w:sz w:val="20"/>
                                <w:szCs w:val="20"/>
                              </w:rPr>
                              <w:t xml:space="preserve"> period (1950–2024) combined with wind stress anomalies from ERA5 (1940–2024). The brown star marker presents the multi-model mean value.</w:t>
                            </w:r>
                          </w:p>
                          <w:p w14:paraId="6F5BD0C7" w14:textId="77777777" w:rsidR="006E2158" w:rsidRPr="00FB4F40" w:rsidRDefault="006E2158" w:rsidP="006E2158">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9A4904" id="_x0000_s1032" type="#_x0000_t202" style="width:457.7pt;height:19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" fillcolor="white [3201]" stroked="f" strokeweight=".5pt">
                <v:textbox>
                  <w:txbxContent>
                    <w:p w14:paraId="5E963F52" w14:textId="7AC90BCA" w:rsidR="006E2158" w:rsidRPr="006E2158" w:rsidRDefault="006E2158" w:rsidP="005B30D6">
                      <w:pPr>
                        <w:pStyle w:val="NormalWeb"/>
                        <w:spacing w:line="276" w:lineRule="auto"/>
                        <w:ind w:left="-142"/>
                        <w:jc w:val="both"/>
                        <w:rPr>
                          <w:rStyle w:val="Strong"/>
                          <w:rFonts w:ascii="Arial" w:eastAsiaTheme="minorHAnsi" w:hAnsi="Arial" w:cs="Arial"/>
                          <w:kern w:val="2"/>
                          <w:sz w:val="20"/>
                          <w:szCs w:val="20"/>
                          <w:lang w:eastAsia="en-US"/>
                          <w14:ligatures w14:val="standardContextual"/>
                        </w:rPr>
                      </w:pPr>
                      <w:r w:rsidRPr="006E2158">
                        <w:rPr>
                          <w:rFonts w:ascii="Arial" w:eastAsiaTheme="minorHAnsi" w:hAnsi="Arial" w:cs="Arial"/>
                          <w:kern w:val="2"/>
                          <w:sz w:val="20"/>
                          <w:szCs w:val="20"/>
                          <w:lang w:eastAsia="en-US"/>
                          <w14:ligatures w14:val="standardContextual"/>
                        </w:rPr>
                        <w:t xml:space="preserve">Scatter plots show inter-model relationships among key variables during the decay phases of tropical AMV, averaged over the five years preceding the peak. </w:t>
                      </w:r>
                      <w:r w:rsidRPr="006E2158">
                        <w:rPr>
                          <w:rFonts w:ascii="Arial" w:eastAsiaTheme="minorHAnsi" w:hAnsi="Arial" w:cs="Arial"/>
                          <w:b/>
                          <w:bCs/>
                          <w:kern w:val="2"/>
                          <w:sz w:val="20"/>
                          <w:szCs w:val="20"/>
                          <w:lang w:eastAsia="en-US"/>
                          <w14:ligatures w14:val="standardContextual"/>
                        </w:rPr>
                        <w:t>a,</w:t>
                      </w:r>
                      <w:r w:rsidRPr="006E2158">
                        <w:rPr>
                          <w:rFonts w:ascii="Arial" w:eastAsiaTheme="minorHAnsi" w:hAnsi="Arial" w:cs="Arial"/>
                          <w:kern w:val="2"/>
                          <w:sz w:val="20"/>
                          <w:szCs w:val="20"/>
                          <w:lang w:eastAsia="en-US"/>
                          <w14:ligatures w14:val="standardContextual"/>
                        </w:rPr>
                        <w:t xml:space="preserve"> Winter tropical wind-stress anomalies versus tropical SST tendency. </w:t>
                      </w:r>
                      <w:r w:rsidRPr="006E2158">
                        <w:rPr>
                          <w:rFonts w:ascii="Arial" w:eastAsiaTheme="minorHAnsi" w:hAnsi="Arial" w:cs="Arial"/>
                          <w:b/>
                          <w:bCs/>
                          <w:kern w:val="2"/>
                          <w:sz w:val="20"/>
                          <w:szCs w:val="20"/>
                          <w:lang w:eastAsia="en-US"/>
                          <w14:ligatures w14:val="standardContextual"/>
                        </w:rPr>
                        <w:t>b–f,</w:t>
                      </w:r>
                      <w:r w:rsidRPr="006E2158">
                        <w:rPr>
                          <w:rFonts w:ascii="Arial" w:eastAsiaTheme="minorHAnsi" w:hAnsi="Arial" w:cs="Arial"/>
                          <w:kern w:val="2"/>
                          <w:sz w:val="20"/>
                          <w:szCs w:val="20"/>
                          <w:lang w:eastAsia="en-US"/>
                          <w14:ligatures w14:val="standardContextual"/>
                        </w:rPr>
                        <w:t xml:space="preserve"> Winter latent, sensible, turbulent, shortwave, and net surface heat-flux anomalies versus tropical SST tendency. </w:t>
                      </w:r>
                      <w:r w:rsidRPr="006E2158">
                        <w:rPr>
                          <w:rFonts w:ascii="Arial" w:eastAsiaTheme="minorHAnsi" w:hAnsi="Arial" w:cs="Arial"/>
                          <w:b/>
                          <w:bCs/>
                          <w:kern w:val="2"/>
                          <w:sz w:val="20"/>
                          <w:szCs w:val="20"/>
                          <w:lang w:eastAsia="en-US"/>
                          <w14:ligatures w14:val="standardContextual"/>
                        </w:rPr>
                        <w:t>g,</w:t>
                      </w:r>
                      <w:r w:rsidRPr="006E2158">
                        <w:rPr>
                          <w:rFonts w:ascii="Arial" w:eastAsiaTheme="minorHAnsi" w:hAnsi="Arial" w:cs="Arial"/>
                          <w:kern w:val="2"/>
                          <w:sz w:val="20"/>
                          <w:szCs w:val="20"/>
                          <w:lang w:eastAsia="en-US"/>
                          <w14:ligatures w14:val="standardContextual"/>
                        </w:rPr>
                        <w:t xml:space="preserve"> Winter flux-driven SST tendency versus tropical SST tendency. </w:t>
                      </w:r>
                      <w:r w:rsidRPr="006E2158">
                        <w:rPr>
                          <w:rFonts w:ascii="Arial" w:eastAsiaTheme="minorHAnsi" w:hAnsi="Arial" w:cs="Arial"/>
                          <w:b/>
                          <w:bCs/>
                          <w:kern w:val="2"/>
                          <w:sz w:val="20"/>
                          <w:szCs w:val="20"/>
                          <w:lang w:eastAsia="en-US"/>
                          <w14:ligatures w14:val="standardContextual"/>
                        </w:rPr>
                        <w:t>h,</w:t>
                      </w:r>
                      <w:r w:rsidRPr="006E2158">
                        <w:rPr>
                          <w:rFonts w:ascii="Arial" w:eastAsiaTheme="minorHAnsi" w:hAnsi="Arial" w:cs="Arial"/>
                          <w:kern w:val="2"/>
                          <w:sz w:val="20"/>
                          <w:szCs w:val="20"/>
                          <w:lang w:eastAsia="en-US"/>
                          <w14:ligatures w14:val="standardContextual"/>
                        </w:rPr>
                        <w:t xml:space="preserve"> Relative mixed-layer depth changes versus tropical SST tendency. </w:t>
                      </w:r>
                      <w:r w:rsidRPr="006E2158">
                        <w:rPr>
                          <w:rFonts w:ascii="Arial" w:eastAsiaTheme="minorHAnsi" w:hAnsi="Arial" w:cs="Arial"/>
                          <w:b/>
                          <w:bCs/>
                          <w:kern w:val="2"/>
                          <w:sz w:val="20"/>
                          <w:szCs w:val="20"/>
                          <w:lang w:eastAsia="en-US"/>
                          <w14:ligatures w14:val="standardContextual"/>
                        </w:rPr>
                        <w:t>i,</w:t>
                      </w:r>
                      <w:r w:rsidRPr="006E2158">
                        <w:rPr>
                          <w:rFonts w:ascii="Arial" w:eastAsiaTheme="minorHAnsi" w:hAnsi="Arial" w:cs="Arial"/>
                          <w:kern w:val="2"/>
                          <w:sz w:val="20"/>
                          <w:szCs w:val="20"/>
                          <w:lang w:eastAsia="en-US"/>
                          <w14:ligatures w14:val="standardContextual"/>
                        </w:rPr>
                        <w:t xml:space="preserve"> Winter mixed-layer–depth driven SST tendency versus tropical SST tendency. </w:t>
                      </w:r>
                      <w:r w:rsidRPr="006E2158">
                        <w:rPr>
                          <w:rFonts w:ascii="Arial" w:eastAsiaTheme="minorHAnsi" w:hAnsi="Arial" w:cs="Arial"/>
                          <w:b/>
                          <w:bCs/>
                          <w:kern w:val="2"/>
                          <w:sz w:val="20"/>
                          <w:szCs w:val="20"/>
                          <w:lang w:eastAsia="en-US"/>
                          <w14:ligatures w14:val="standardContextual"/>
                        </w:rPr>
                        <w:t>j,</w:t>
                      </w:r>
                      <w:r w:rsidRPr="006E2158">
                        <w:rPr>
                          <w:rFonts w:ascii="Arial" w:eastAsiaTheme="minorHAnsi" w:hAnsi="Arial" w:cs="Arial"/>
                          <w:kern w:val="2"/>
                          <w:sz w:val="20"/>
                          <w:szCs w:val="20"/>
                          <w:lang w:eastAsia="en-US"/>
                          <w14:ligatures w14:val="standardContextual"/>
                        </w:rPr>
                        <w:t xml:space="preserve"> Winter net surface heat-flux driven SST tendency versus tropical SST tendency. </w:t>
                      </w:r>
                      <w:r w:rsidRPr="006E2158">
                        <w:rPr>
                          <w:rStyle w:val="Strong"/>
                          <w:rFonts w:ascii="Arial" w:eastAsiaTheme="minorHAnsi" w:hAnsi="Arial" w:cs="Arial"/>
                          <w:b w:val="0"/>
                          <w:bCs w:val="0"/>
                          <w:kern w:val="2"/>
                          <w:sz w:val="20"/>
                          <w:szCs w:val="20"/>
                          <w:lang w:eastAsia="en-US"/>
                          <w14:ligatures w14:val="standardContextual"/>
                        </w:rPr>
                        <w:t>Positive heat-flux values indicate ocean warming. Pearson correlation coefficients (r) are shown in each panel, with values in square brackets indicating the 90% confidence interval. Blue, cyan, and red letters indicate high-, low-, and negative-seasonality models.</w:t>
                      </w:r>
                      <w:r w:rsidRPr="006E2158">
                        <w:rPr>
                          <w:rStyle w:val="Strong"/>
                          <w:rFonts w:ascii="Arial" w:eastAsiaTheme="minorHAnsi" w:hAnsi="Arial" w:cs="Arial"/>
                          <w:kern w:val="2"/>
                          <w:sz w:val="20"/>
                          <w:szCs w:val="20"/>
                          <w:lang w:eastAsia="en-US"/>
                          <w14:ligatures w14:val="standardContextual"/>
                        </w:rPr>
                        <w:t xml:space="preserve"> </w:t>
                      </w:r>
                      <w:r w:rsidRPr="006E2158">
                        <w:rPr>
                          <w:rFonts w:ascii="Arial" w:hAnsi="Arial" w:cs="Arial"/>
                          <w:sz w:val="20"/>
                          <w:szCs w:val="20"/>
                        </w:rPr>
                        <w:t xml:space="preserve">The black star marker represents observational estimates using HadISST over the </w:t>
                      </w:r>
                      <w:r w:rsidR="005B30D6">
                        <w:rPr>
                          <w:rFonts w:ascii="Arial" w:hAnsi="Arial" w:cs="Arial"/>
                          <w:sz w:val="20"/>
                          <w:szCs w:val="20"/>
                        </w:rPr>
                        <w:t>extended</w:t>
                      </w:r>
                      <w:r w:rsidRPr="006E2158">
                        <w:rPr>
                          <w:rFonts w:ascii="Arial" w:hAnsi="Arial" w:cs="Arial"/>
                          <w:sz w:val="20"/>
                          <w:szCs w:val="20"/>
                        </w:rPr>
                        <w:t xml:space="preserve"> period (1983–2024) combined with wind stress anomalies from 20CRv3 (1883–2015), while the open star marker represents observational estimates using HadISST over the </w:t>
                      </w:r>
                      <w:r w:rsidR="005B30D6">
                        <w:rPr>
                          <w:rFonts w:ascii="Arial" w:hAnsi="Arial" w:cs="Arial"/>
                          <w:sz w:val="20"/>
                          <w:szCs w:val="20"/>
                        </w:rPr>
                        <w:t>more recent (data-rich)</w:t>
                      </w:r>
                      <w:r w:rsidRPr="006E2158">
                        <w:rPr>
                          <w:rFonts w:ascii="Arial" w:hAnsi="Arial" w:cs="Arial"/>
                          <w:sz w:val="20"/>
                          <w:szCs w:val="20"/>
                        </w:rPr>
                        <w:t xml:space="preserve"> period (1950–2024) combined with wind stress anomalies from ERA5 (1940–2024). The brown star marker presents the multi-model mean value.</w:t>
                      </w:r>
                    </w:p>
                    <w:p w14:paraId="6F5BD0C7" w14:textId="77777777" w:rsidR="006E2158" w:rsidRPr="00FB4F40" w:rsidRDefault="006E2158" w:rsidP="006E2158">
                      <w:pPr>
                        <w:spacing w:line="276" w:lineRule="auto"/>
                        <w:rPr>
                          <w:sz w:val="2"/>
                          <w:szCs w:val="2"/>
                        </w:rPr>
                      </w:pPr>
                    </w:p>
                  </w:txbxContent>
                </v:textbox>
                <w10:anchorlock/>
              </v:shape>
            </w:pict>
          </mc:Fallback>
        </mc:AlternateContent>
      </w:r>
    </w:p>
    <w:p w14:paraId="2AF311E5" w14:textId="77777777" w:rsidR="00EE0EB2" w:rsidRPr="00590236" w:rsidRDefault="00EE0EB2" w:rsidP="00590236">
      <w:pPr>
        <w:spacing w:line="360" w:lineRule="auto"/>
        <w:jc w:val="both"/>
        <w:rPr>
          <w:rFonts w:ascii="Arial" w:hAnsi="Arial" w:cs="Arial"/>
          <w:b/>
          <w:bCs/>
        </w:rPr>
      </w:pPr>
    </w:p>
    <w:p w14:paraId="532C684A" w14:textId="77777777" w:rsidR="00EE0EB2" w:rsidRPr="00590236" w:rsidRDefault="00EE0EB2" w:rsidP="00590236">
      <w:pPr>
        <w:spacing w:line="360" w:lineRule="auto"/>
        <w:jc w:val="both"/>
        <w:rPr>
          <w:rFonts w:ascii="Arial" w:hAnsi="Arial" w:cs="Arial"/>
          <w:b/>
          <w:bCs/>
        </w:rPr>
      </w:pPr>
    </w:p>
    <w:p w14:paraId="197CC868" w14:textId="77777777" w:rsidR="001F5A16" w:rsidRPr="00590236" w:rsidRDefault="001F5A16" w:rsidP="00590236">
      <w:pPr>
        <w:spacing w:line="360" w:lineRule="auto"/>
        <w:jc w:val="both"/>
        <w:rPr>
          <w:rFonts w:ascii="Arial" w:hAnsi="Arial" w:cs="Arial"/>
        </w:rPr>
      </w:pPr>
    </w:p>
    <w:p w14:paraId="632102F0" w14:textId="310BE42C" w:rsidR="001F5A16" w:rsidRPr="00590236" w:rsidRDefault="000B4582" w:rsidP="00590236">
      <w:pPr>
        <w:spacing w:line="360" w:lineRule="auto"/>
        <w:jc w:val="both"/>
        <w:rPr>
          <w:rFonts w:ascii="Arial" w:hAnsi="Arial" w:cs="Arial"/>
        </w:rPr>
      </w:pPr>
      <w:r w:rsidRPr="00590236">
        <w:rPr>
          <w:rFonts w:ascii="Arial" w:hAnsi="Arial" w:cs="Arial"/>
          <w:noProof/>
        </w:rPr>
        <w:drawing>
          <wp:inline distT="0" distB="0" distL="0" distR="0" wp14:anchorId="3EDEA2FC" wp14:editId="48B70CD2">
            <wp:extent cx="5731510" cy="4590415"/>
            <wp:effectExtent l="0" t="0" r="2540" b="635"/>
            <wp:docPr id="779529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590415"/>
                    </a:xfrm>
                    <a:prstGeom prst="rect">
                      <a:avLst/>
                    </a:prstGeom>
                    <a:noFill/>
                    <a:ln>
                      <a:noFill/>
                    </a:ln>
                  </pic:spPr>
                </pic:pic>
              </a:graphicData>
            </a:graphic>
          </wp:inline>
        </w:drawing>
      </w:r>
    </w:p>
    <w:p w14:paraId="047AA422" w14:textId="77777777" w:rsidR="001F5A16" w:rsidRPr="00590236" w:rsidRDefault="001F5A16" w:rsidP="00590236">
      <w:pPr>
        <w:spacing w:line="360" w:lineRule="auto"/>
        <w:jc w:val="both"/>
        <w:rPr>
          <w:rFonts w:ascii="Arial" w:hAnsi="Arial" w:cs="Arial"/>
        </w:rPr>
      </w:pPr>
    </w:p>
    <w:p w14:paraId="6FF751E3" w14:textId="30B43091" w:rsidR="001F5A16" w:rsidRPr="00590236" w:rsidRDefault="001F5A16" w:rsidP="00590236">
      <w:pPr>
        <w:spacing w:line="360" w:lineRule="auto"/>
        <w:jc w:val="both"/>
        <w:rPr>
          <w:rFonts w:ascii="Arial" w:hAnsi="Arial" w:cs="Arial"/>
          <w:b/>
          <w:bCs/>
        </w:rPr>
      </w:pPr>
      <w:r w:rsidRPr="00590236">
        <w:rPr>
          <w:rFonts w:ascii="Arial" w:hAnsi="Arial" w:cs="Arial"/>
          <w:b/>
          <w:bCs/>
        </w:rPr>
        <w:t xml:space="preserve">Supplementary Figure </w:t>
      </w:r>
      <w:r w:rsidR="00B22094">
        <w:rPr>
          <w:rFonts w:ascii="Arial" w:hAnsi="Arial" w:cs="Arial"/>
          <w:b/>
          <w:bCs/>
        </w:rPr>
        <w:t>8</w:t>
      </w:r>
      <w:r w:rsidRPr="00590236">
        <w:rPr>
          <w:rFonts w:ascii="Arial" w:hAnsi="Arial" w:cs="Arial"/>
          <w:b/>
          <w:bCs/>
        </w:rPr>
        <w:t xml:space="preserve"> | Seasonal maps for SST Budget in the high-seasonality models</w:t>
      </w:r>
    </w:p>
    <w:p w14:paraId="77F656BE" w14:textId="649E0657" w:rsidR="000024DD" w:rsidRPr="00590236" w:rsidRDefault="000024DD" w:rsidP="000024DD">
      <w:pPr>
        <w:spacing w:line="360" w:lineRule="auto"/>
        <w:ind w:left="-142"/>
        <w:jc w:val="both"/>
        <w:rPr>
          <w:rFonts w:ascii="Arial" w:hAnsi="Arial" w:cs="Arial"/>
          <w:b/>
          <w:bCs/>
        </w:rPr>
      </w:pPr>
      <w:r>
        <w:rPr>
          <w:rFonts w:ascii="Arial" w:eastAsia="Times New Roman" w:hAnsi="Arial" w:cs="Arial"/>
          <w:noProof/>
          <w:kern w:val="0"/>
          <w:lang w:eastAsia="en-GB"/>
        </w:rPr>
        <mc:AlternateContent>
          <mc:Choice Requires="wps">
            <w:drawing>
              <wp:inline distT="0" distB="0" distL="0" distR="0" wp14:anchorId="1D66290D" wp14:editId="021F6FFA">
                <wp:extent cx="5907974" cy="1514104"/>
                <wp:effectExtent l="0" t="0" r="0" b="0"/>
                <wp:docPr id="189740478" name="Text Box 1"/>
                <wp:cNvGraphicFramePr/>
                <a:graphic xmlns:a="http://schemas.openxmlformats.org/drawingml/2006/main">
                  <a:graphicData uri="http://schemas.microsoft.com/office/word/2010/wordprocessingShape">
                    <wps:wsp>
                      <wps:cNvSpPr txBox="1"/>
                      <wps:spPr>
                        <a:xfrm>
                          <a:off x="0" y="0"/>
                          <a:ext cx="5907974" cy="1514104"/>
                        </a:xfrm>
                        <a:prstGeom prst="rect">
                          <a:avLst/>
                        </a:prstGeom>
                        <a:solidFill>
                          <a:schemeClr val="lt1"/>
                        </a:solidFill>
                        <a:ln w="6350">
                          <a:noFill/>
                        </a:ln>
                      </wps:spPr>
                      <wps:txbx>
                        <w:txbxContent>
                          <w:p w14:paraId="606D936F" w14:textId="59FF265D" w:rsidR="000024DD" w:rsidRPr="000024DD" w:rsidRDefault="000024DD" w:rsidP="000024DD">
                            <w:pPr>
                              <w:spacing w:line="276" w:lineRule="auto"/>
                              <w:jc w:val="both"/>
                              <w:rPr>
                                <w:rFonts w:ascii="Arial" w:hAnsi="Arial" w:cs="Arial"/>
                                <w:sz w:val="20"/>
                                <w:szCs w:val="20"/>
                              </w:rPr>
                            </w:pPr>
                            <w:r w:rsidRPr="000024DD">
                              <w:rPr>
                                <w:rFonts w:ascii="Arial" w:hAnsi="Arial" w:cs="Arial"/>
                                <w:sz w:val="20"/>
                                <w:szCs w:val="20"/>
                              </w:rPr>
                              <w:t>Seasonal maps of SST budget terms (</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0024DD">
                              <w:rPr>
                                <w:rFonts w:ascii="Arial" w:hAnsi="Arial" w:cs="Arial"/>
                                <w:sz w:val="20"/>
                                <w:szCs w:val="20"/>
                              </w:rPr>
                              <w:t>) derived from Equation (1) are shown for high-seasonality models during the development phase of tropical AMV, averaged over the five years preceding the peak. Rows show, from top to bottom, SST tendency, net surface heat-flux term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net</m:t>
                                  </m:r>
                                </m:sub>
                              </m:sSub>
                            </m:oMath>
                            <w:r w:rsidRPr="000024DD">
                              <w:rPr>
                                <w:rFonts w:ascii="Arial" w:hAnsi="Arial" w:cs="Arial"/>
                                <w:sz w:val="20"/>
                                <w:szCs w:val="20"/>
                              </w:rPr>
                              <w:t>), shortwave radiation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00986359">
                              <w:rPr>
                                <w:rFonts w:ascii="Arial" w:eastAsiaTheme="minorEastAsia" w:hAnsi="Arial" w:cs="Arial"/>
                                <w:sz w:val="20"/>
                                <w:szCs w:val="20"/>
                              </w:rPr>
                              <w:t xml:space="preserve"> </w:t>
                            </w:r>
                            <w:r w:rsidRPr="000024DD">
                              <w:rPr>
                                <w:rFonts w:ascii="Cambria Math" w:hAnsi="Cambria Math" w:cs="Cambria Math"/>
                                <w:sz w:val="20"/>
                                <w:szCs w:val="20"/>
                              </w:rPr>
                              <w:t>term</w:t>
                            </w:r>
                            <w:r w:rsidRPr="000024DD">
                              <w:rPr>
                                <w:rFonts w:ascii="Arial" w:hAnsi="Arial" w:cs="Arial"/>
                                <w:sz w:val="20"/>
                                <w:szCs w:val="20"/>
                              </w:rPr>
                              <w:t>), latent heat-flux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0024DD">
                              <w:rPr>
                                <w:rFonts w:ascii="Arial" w:hAnsi="Arial" w:cs="Arial"/>
                                <w:sz w:val="20"/>
                                <w:szCs w:val="20"/>
                                <w:vertAlign w:val="subscript"/>
                              </w:rPr>
                              <w:t xml:space="preserve"> </w:t>
                            </w:r>
                            <w:r w:rsidRPr="000024DD">
                              <w:rPr>
                                <w:rFonts w:ascii="Arial" w:hAnsi="Arial" w:cs="Arial"/>
                                <w:sz w:val="20"/>
                                <w:szCs w:val="20"/>
                              </w:rPr>
                              <w:t>term), and mixed-layer depth anomaly term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00986359">
                              <w:rPr>
                                <w:rFonts w:ascii="Arial" w:eastAsiaTheme="minorEastAsia" w:hAnsi="Arial" w:cs="Arial"/>
                                <w:sz w:val="20"/>
                                <w:szCs w:val="20"/>
                              </w:rPr>
                              <w:t xml:space="preserve"> </w:t>
                            </w:r>
                            <w:r w:rsidRPr="000024DD">
                              <w:rPr>
                                <w:rFonts w:ascii="Arial" w:hAnsi="Arial" w:cs="Arial"/>
                                <w:sz w:val="20"/>
                                <w:szCs w:val="20"/>
                              </w:rPr>
                              <w:t>term). Columns correspond to December-February (DJF), March-May (MAM), June-August (JJA), and September-November (SON). Values that are not significant at the 90% confidence level are masked. The black box indicates the tropical Atlantic region used in the analysis.</w:t>
                            </w:r>
                          </w:p>
                          <w:p w14:paraId="570FD452" w14:textId="77777777" w:rsidR="000024DD" w:rsidRPr="00FB4F40" w:rsidRDefault="000024DD" w:rsidP="000024DD">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66290D" id="_x0000_s1033" type="#_x0000_t202" style="width:465.2pt;height:1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" fillcolor="white [3201]" stroked="f" strokeweight=".5pt">
                <v:textbox>
                  <w:txbxContent>
                    <w:p w14:paraId="606D936F" w14:textId="59FF265D" w:rsidR="000024DD" w:rsidRPr="000024DD" w:rsidRDefault="000024DD" w:rsidP="000024DD">
                      <w:pPr>
                        <w:spacing w:line="276" w:lineRule="auto"/>
                        <w:jc w:val="both"/>
                        <w:rPr>
                          <w:rFonts w:ascii="Arial" w:hAnsi="Arial" w:cs="Arial"/>
                          <w:sz w:val="20"/>
                          <w:szCs w:val="20"/>
                        </w:rPr>
                      </w:pPr>
                      <w:r w:rsidRPr="000024DD">
                        <w:rPr>
                          <w:rFonts w:ascii="Arial" w:hAnsi="Arial" w:cs="Arial"/>
                          <w:sz w:val="20"/>
                          <w:szCs w:val="20"/>
                        </w:rPr>
                        <w:t>Seasonal maps of SST budget terms (</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0024DD">
                        <w:rPr>
                          <w:rFonts w:ascii="Arial" w:hAnsi="Arial" w:cs="Arial"/>
                          <w:sz w:val="20"/>
                          <w:szCs w:val="20"/>
                        </w:rPr>
                        <w:t>) derived from Equation (1) are shown for high-seasonality models during the development phase of tropical AMV, averaged over the five years preceding the peak. Rows show, from top to bottom, SST tendency, net surface heat-flux term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net</m:t>
                            </m:r>
                          </m:sub>
                        </m:sSub>
                      </m:oMath>
                      <w:r w:rsidRPr="000024DD">
                        <w:rPr>
                          <w:rFonts w:ascii="Arial" w:hAnsi="Arial" w:cs="Arial"/>
                          <w:sz w:val="20"/>
                          <w:szCs w:val="20"/>
                        </w:rPr>
                        <w:t>), shortwave radiation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00986359">
                        <w:rPr>
                          <w:rFonts w:ascii="Arial" w:eastAsiaTheme="minorEastAsia" w:hAnsi="Arial" w:cs="Arial"/>
                          <w:sz w:val="20"/>
                          <w:szCs w:val="20"/>
                        </w:rPr>
                        <w:t xml:space="preserve"> </w:t>
                      </w:r>
                      <w:r w:rsidRPr="000024DD">
                        <w:rPr>
                          <w:rFonts w:ascii="Cambria Math" w:hAnsi="Cambria Math" w:cs="Cambria Math"/>
                          <w:sz w:val="20"/>
                          <w:szCs w:val="20"/>
                        </w:rPr>
                        <w:t>term</w:t>
                      </w:r>
                      <w:r w:rsidRPr="000024DD">
                        <w:rPr>
                          <w:rFonts w:ascii="Arial" w:hAnsi="Arial" w:cs="Arial"/>
                          <w:sz w:val="20"/>
                          <w:szCs w:val="20"/>
                        </w:rPr>
                        <w:t>), latent heat-flux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0024DD">
                        <w:rPr>
                          <w:rFonts w:ascii="Arial" w:hAnsi="Arial" w:cs="Arial"/>
                          <w:sz w:val="20"/>
                          <w:szCs w:val="20"/>
                          <w:vertAlign w:val="subscript"/>
                        </w:rPr>
                        <w:t xml:space="preserve"> </w:t>
                      </w:r>
                      <w:r w:rsidRPr="000024DD">
                        <w:rPr>
                          <w:rFonts w:ascii="Arial" w:hAnsi="Arial" w:cs="Arial"/>
                          <w:sz w:val="20"/>
                          <w:szCs w:val="20"/>
                        </w:rPr>
                        <w:t>term), and mixed-layer depth anomaly term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00986359">
                        <w:rPr>
                          <w:rFonts w:ascii="Arial" w:eastAsiaTheme="minorEastAsia" w:hAnsi="Arial" w:cs="Arial"/>
                          <w:sz w:val="20"/>
                          <w:szCs w:val="20"/>
                        </w:rPr>
                        <w:t xml:space="preserve"> </w:t>
                      </w:r>
                      <w:r w:rsidRPr="000024DD">
                        <w:rPr>
                          <w:rFonts w:ascii="Arial" w:hAnsi="Arial" w:cs="Arial"/>
                          <w:sz w:val="20"/>
                          <w:szCs w:val="20"/>
                        </w:rPr>
                        <w:t>term). Columns correspond to December-February (DJF), March-May (MAM), June-August (JJA), and September-November (SON). Values that are not significant at the 90% confidence level are masked. The black box indicates the tropical Atlantic region used in the analysis.</w:t>
                      </w:r>
                    </w:p>
                    <w:p w14:paraId="570FD452" w14:textId="77777777" w:rsidR="000024DD" w:rsidRPr="00FB4F40" w:rsidRDefault="000024DD" w:rsidP="000024DD">
                      <w:pPr>
                        <w:spacing w:line="276" w:lineRule="auto"/>
                        <w:rPr>
                          <w:sz w:val="2"/>
                          <w:szCs w:val="2"/>
                        </w:rPr>
                      </w:pPr>
                    </w:p>
                  </w:txbxContent>
                </v:textbox>
                <w10:anchorlock/>
              </v:shape>
            </w:pict>
          </mc:Fallback>
        </mc:AlternateContent>
      </w:r>
    </w:p>
    <w:p w14:paraId="4F29751A" w14:textId="77777777" w:rsidR="001F5A16" w:rsidRPr="00590236" w:rsidRDefault="001F5A16" w:rsidP="00590236">
      <w:pPr>
        <w:spacing w:line="360" w:lineRule="auto"/>
        <w:jc w:val="both"/>
        <w:rPr>
          <w:rFonts w:ascii="Arial" w:hAnsi="Arial" w:cs="Arial"/>
        </w:rPr>
      </w:pPr>
    </w:p>
    <w:p w14:paraId="047E3C04" w14:textId="77777777" w:rsidR="001F5A16" w:rsidRPr="00590236" w:rsidRDefault="001F5A16" w:rsidP="00590236">
      <w:pPr>
        <w:spacing w:line="360" w:lineRule="auto"/>
        <w:jc w:val="both"/>
        <w:rPr>
          <w:rFonts w:ascii="Arial" w:hAnsi="Arial" w:cs="Arial"/>
        </w:rPr>
      </w:pPr>
    </w:p>
    <w:p w14:paraId="79D1298F" w14:textId="67527EA3" w:rsidR="001F5A16" w:rsidRPr="00590236" w:rsidRDefault="000B4582" w:rsidP="00590236">
      <w:pPr>
        <w:spacing w:line="360" w:lineRule="auto"/>
        <w:jc w:val="both"/>
        <w:rPr>
          <w:rFonts w:ascii="Arial" w:hAnsi="Arial" w:cs="Arial"/>
        </w:rPr>
      </w:pPr>
      <w:r w:rsidRPr="00590236">
        <w:rPr>
          <w:rFonts w:ascii="Arial" w:hAnsi="Arial" w:cs="Arial"/>
          <w:noProof/>
        </w:rPr>
        <w:lastRenderedPageBreak/>
        <w:drawing>
          <wp:inline distT="0" distB="0" distL="0" distR="0" wp14:anchorId="03BA6A65" wp14:editId="51807937">
            <wp:extent cx="5731510" cy="4130040"/>
            <wp:effectExtent l="0" t="0" r="2540" b="3810"/>
            <wp:docPr id="642301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130040"/>
                    </a:xfrm>
                    <a:prstGeom prst="rect">
                      <a:avLst/>
                    </a:prstGeom>
                    <a:noFill/>
                    <a:ln>
                      <a:noFill/>
                    </a:ln>
                  </pic:spPr>
                </pic:pic>
              </a:graphicData>
            </a:graphic>
          </wp:inline>
        </w:drawing>
      </w:r>
    </w:p>
    <w:p w14:paraId="6834576C" w14:textId="77777777" w:rsidR="001F5A16" w:rsidRPr="00590236" w:rsidRDefault="001F5A16" w:rsidP="00590236">
      <w:pPr>
        <w:spacing w:line="360" w:lineRule="auto"/>
        <w:jc w:val="both"/>
        <w:rPr>
          <w:rFonts w:ascii="Arial" w:hAnsi="Arial" w:cs="Arial"/>
        </w:rPr>
      </w:pPr>
    </w:p>
    <w:p w14:paraId="3B0AA978" w14:textId="77777777" w:rsidR="001F5A16" w:rsidRPr="00590236" w:rsidRDefault="001F5A16" w:rsidP="00590236">
      <w:pPr>
        <w:spacing w:line="360" w:lineRule="auto"/>
        <w:jc w:val="both"/>
        <w:rPr>
          <w:rFonts w:ascii="Arial" w:hAnsi="Arial" w:cs="Arial"/>
        </w:rPr>
      </w:pPr>
    </w:p>
    <w:p w14:paraId="23143544" w14:textId="2E752369" w:rsidR="001F5A16" w:rsidRPr="00590236" w:rsidRDefault="001F5A16" w:rsidP="00590236">
      <w:pPr>
        <w:spacing w:line="360" w:lineRule="auto"/>
        <w:jc w:val="both"/>
        <w:rPr>
          <w:rFonts w:ascii="Arial" w:hAnsi="Arial" w:cs="Arial"/>
          <w:b/>
          <w:bCs/>
        </w:rPr>
      </w:pPr>
      <w:r w:rsidRPr="00590236">
        <w:rPr>
          <w:rFonts w:ascii="Arial" w:hAnsi="Arial" w:cs="Arial"/>
          <w:b/>
          <w:bCs/>
        </w:rPr>
        <w:t xml:space="preserve">Supplementary Figure </w:t>
      </w:r>
      <w:r w:rsidR="00B22094">
        <w:rPr>
          <w:rFonts w:ascii="Arial" w:hAnsi="Arial" w:cs="Arial"/>
          <w:b/>
          <w:bCs/>
        </w:rPr>
        <w:t>9</w:t>
      </w:r>
      <w:r w:rsidRPr="00590236">
        <w:rPr>
          <w:rFonts w:ascii="Arial" w:hAnsi="Arial" w:cs="Arial"/>
          <w:b/>
          <w:bCs/>
        </w:rPr>
        <w:t xml:space="preserve"> | Seasonal maps of mixed-layer depth, cloud cover and surface heat-flux anomalies in the high-seasonality models</w:t>
      </w:r>
    </w:p>
    <w:p w14:paraId="594C2EEB" w14:textId="77777777" w:rsidR="001F5A16" w:rsidRPr="00590236" w:rsidRDefault="001F5A16" w:rsidP="00590236">
      <w:pPr>
        <w:spacing w:line="360" w:lineRule="auto"/>
        <w:jc w:val="both"/>
        <w:rPr>
          <w:rFonts w:ascii="Arial" w:hAnsi="Arial" w:cs="Arial"/>
          <w:b/>
          <w:bCs/>
        </w:rPr>
      </w:pPr>
    </w:p>
    <w:p w14:paraId="0028EDF7" w14:textId="65A9C37D" w:rsidR="002A1ABA" w:rsidRDefault="002A1ABA" w:rsidP="00590236">
      <w:pPr>
        <w:spacing w:line="360" w:lineRule="auto"/>
        <w:jc w:val="both"/>
        <w:rPr>
          <w:rFonts w:ascii="Arial" w:hAnsi="Arial" w:cs="Arial"/>
        </w:rPr>
      </w:pPr>
      <w:r>
        <w:rPr>
          <w:rFonts w:ascii="Arial" w:eastAsia="Times New Roman" w:hAnsi="Arial" w:cs="Arial"/>
          <w:noProof/>
          <w:kern w:val="0"/>
          <w:lang w:eastAsia="en-GB"/>
        </w:rPr>
        <mc:AlternateContent>
          <mc:Choice Requires="wps">
            <w:drawing>
              <wp:inline distT="0" distB="0" distL="0" distR="0" wp14:anchorId="3CBD89D9" wp14:editId="04E66A72">
                <wp:extent cx="5848597" cy="1480542"/>
                <wp:effectExtent l="0" t="0" r="0" b="5715"/>
                <wp:docPr id="758013488" name="Text Box 1"/>
                <wp:cNvGraphicFramePr/>
                <a:graphic xmlns:a="http://schemas.openxmlformats.org/drawingml/2006/main">
                  <a:graphicData uri="http://schemas.microsoft.com/office/word/2010/wordprocessingShape">
                    <wps:wsp>
                      <wps:cNvSpPr txBox="1"/>
                      <wps:spPr>
                        <a:xfrm>
                          <a:off x="0" y="0"/>
                          <a:ext cx="5848597" cy="1480542"/>
                        </a:xfrm>
                        <a:prstGeom prst="rect">
                          <a:avLst/>
                        </a:prstGeom>
                        <a:solidFill>
                          <a:schemeClr val="lt1"/>
                        </a:solidFill>
                        <a:ln w="6350">
                          <a:noFill/>
                        </a:ln>
                      </wps:spPr>
                      <wps:txbx>
                        <w:txbxContent>
                          <w:p w14:paraId="7CFB0B2F" w14:textId="55F68820" w:rsidR="002A1ABA" w:rsidRPr="002A1ABA" w:rsidRDefault="002A1ABA" w:rsidP="00572124">
                            <w:pPr>
                              <w:spacing w:line="276" w:lineRule="auto"/>
                              <w:ind w:left="-142"/>
                              <w:jc w:val="both"/>
                              <w:rPr>
                                <w:rFonts w:ascii="Arial" w:hAnsi="Arial" w:cs="Arial"/>
                                <w:sz w:val="20"/>
                                <w:szCs w:val="20"/>
                              </w:rPr>
                            </w:pPr>
                            <w:r w:rsidRPr="002A1ABA">
                              <w:rPr>
                                <w:rFonts w:ascii="Arial" w:hAnsi="Arial" w:cs="Arial"/>
                                <w:sz w:val="20"/>
                                <w:szCs w:val="20"/>
                              </w:rPr>
                              <w:t>Seasonal maps of mixed-layer depth anomalies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Pr="002A1ABA">
                              <w:rPr>
                                <w:rFonts w:ascii="Arial" w:hAnsi="Arial" w:cs="Arial"/>
                                <w:sz w:val="20"/>
                                <w:szCs w:val="20"/>
                              </w:rPr>
                              <w:t xml:space="preserve">, </w:t>
                            </w:r>
                            <m:oMath>
                              <m:r>
                                <w:rPr>
                                  <w:rFonts w:ascii="Cambria Math" w:hAnsi="Cambria Math" w:cs="Arial"/>
                                  <w:sz w:val="20"/>
                                  <w:szCs w:val="20"/>
                                </w:rPr>
                                <m:t>m</m:t>
                              </m:r>
                            </m:oMath>
                            <w:r w:rsidRPr="002A1ABA">
                              <w:rPr>
                                <w:rFonts w:ascii="Arial" w:hAnsi="Arial" w:cs="Arial"/>
                                <w:sz w:val="20"/>
                                <w:szCs w:val="20"/>
                              </w:rPr>
                              <w:t>), net surface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net</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latent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0058440E"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shortwave radiation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0058440E"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and cloud-cover anomalies (</w:t>
                            </w:r>
                            <m:oMath>
                              <m:r>
                                <w:rPr>
                                  <w:rFonts w:ascii="Cambria Math" w:hAnsi="Cambria Math" w:cs="Arial"/>
                                  <w:sz w:val="20"/>
                                  <w:szCs w:val="20"/>
                                </w:rPr>
                                <m:t>%</m:t>
                              </m:r>
                            </m:oMath>
                            <w:r w:rsidRPr="002A1ABA">
                              <w:rPr>
                                <w:rFonts w:ascii="Arial" w:hAnsi="Arial" w:cs="Arial"/>
                                <w:sz w:val="20"/>
                                <w:szCs w:val="20"/>
                              </w:rPr>
                              <w:t>) are shown for the high-seasonality models in rows during the development phase of tropical AMV,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06F3783C" w14:textId="77777777" w:rsidR="002A1ABA" w:rsidRPr="00FB4F40" w:rsidRDefault="002A1ABA" w:rsidP="002A1ABA">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BD89D9" id="_x0000_s1034" type="#_x0000_t202" style="width:460.5pt;height:1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" fillcolor="white [3201]" stroked="f" strokeweight=".5pt">
                <v:textbox>
                  <w:txbxContent>
                    <w:p w14:paraId="7CFB0B2F" w14:textId="55F68820" w:rsidR="002A1ABA" w:rsidRPr="002A1ABA" w:rsidRDefault="002A1ABA" w:rsidP="00572124">
                      <w:pPr>
                        <w:spacing w:line="276" w:lineRule="auto"/>
                        <w:ind w:left="-142"/>
                        <w:jc w:val="both"/>
                        <w:rPr>
                          <w:rFonts w:ascii="Arial" w:hAnsi="Arial" w:cs="Arial"/>
                          <w:sz w:val="20"/>
                          <w:szCs w:val="20"/>
                        </w:rPr>
                      </w:pPr>
                      <w:r w:rsidRPr="002A1ABA">
                        <w:rPr>
                          <w:rFonts w:ascii="Arial" w:hAnsi="Arial" w:cs="Arial"/>
                          <w:sz w:val="20"/>
                          <w:szCs w:val="20"/>
                        </w:rPr>
                        <w:t>Seasonal maps of mixed-layer depth anomalies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Pr="002A1ABA">
                        <w:rPr>
                          <w:rFonts w:ascii="Arial" w:hAnsi="Arial" w:cs="Arial"/>
                          <w:sz w:val="20"/>
                          <w:szCs w:val="20"/>
                        </w:rPr>
                        <w:t xml:space="preserve">, </w:t>
                      </w:r>
                      <m:oMath>
                        <m:r>
                          <w:rPr>
                            <w:rFonts w:ascii="Cambria Math" w:hAnsi="Cambria Math" w:cs="Arial"/>
                            <w:sz w:val="20"/>
                            <w:szCs w:val="20"/>
                          </w:rPr>
                          <m:t>m</m:t>
                        </m:r>
                      </m:oMath>
                      <w:r w:rsidRPr="002A1ABA">
                        <w:rPr>
                          <w:rFonts w:ascii="Arial" w:hAnsi="Arial" w:cs="Arial"/>
                          <w:sz w:val="20"/>
                          <w:szCs w:val="20"/>
                        </w:rPr>
                        <w:t>), net surface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net</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latent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0058440E"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shortwave radiation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0058440E"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and cloud-cover anomalies (</w:t>
                      </w:r>
                      <m:oMath>
                        <m:r>
                          <w:rPr>
                            <w:rFonts w:ascii="Cambria Math" w:hAnsi="Cambria Math" w:cs="Arial"/>
                            <w:sz w:val="20"/>
                            <w:szCs w:val="20"/>
                          </w:rPr>
                          <m:t>%</m:t>
                        </m:r>
                      </m:oMath>
                      <w:r w:rsidRPr="002A1ABA">
                        <w:rPr>
                          <w:rFonts w:ascii="Arial" w:hAnsi="Arial" w:cs="Arial"/>
                          <w:sz w:val="20"/>
                          <w:szCs w:val="20"/>
                        </w:rPr>
                        <w:t>) are shown for the high-seasonality models in rows during the development phase of tropical AMV,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06F3783C" w14:textId="77777777" w:rsidR="002A1ABA" w:rsidRPr="00FB4F40" w:rsidRDefault="002A1ABA" w:rsidP="002A1ABA">
                      <w:pPr>
                        <w:spacing w:line="276" w:lineRule="auto"/>
                        <w:rPr>
                          <w:sz w:val="2"/>
                          <w:szCs w:val="2"/>
                        </w:rPr>
                      </w:pPr>
                    </w:p>
                  </w:txbxContent>
                </v:textbox>
                <w10:anchorlock/>
              </v:shape>
            </w:pict>
          </mc:Fallback>
        </mc:AlternateContent>
      </w:r>
    </w:p>
    <w:p w14:paraId="23A9590F" w14:textId="77777777" w:rsidR="00A003CC" w:rsidRDefault="00A003CC" w:rsidP="00590236">
      <w:pPr>
        <w:spacing w:line="360" w:lineRule="auto"/>
        <w:jc w:val="both"/>
        <w:rPr>
          <w:rFonts w:ascii="Arial" w:hAnsi="Arial" w:cs="Arial"/>
        </w:rPr>
      </w:pPr>
    </w:p>
    <w:p w14:paraId="0F0C13D1" w14:textId="77777777" w:rsidR="00A003CC" w:rsidRPr="00590236" w:rsidRDefault="00A003CC" w:rsidP="00A003CC">
      <w:pPr>
        <w:spacing w:line="360" w:lineRule="auto"/>
        <w:jc w:val="both"/>
        <w:rPr>
          <w:rFonts w:ascii="Arial" w:hAnsi="Arial" w:cs="Arial"/>
        </w:rPr>
      </w:pPr>
    </w:p>
    <w:p w14:paraId="5D60F3D1" w14:textId="77777777" w:rsidR="00A003CC" w:rsidRPr="00590236" w:rsidRDefault="00A003CC" w:rsidP="00A003CC">
      <w:pPr>
        <w:spacing w:line="360" w:lineRule="auto"/>
        <w:jc w:val="both"/>
        <w:rPr>
          <w:rFonts w:ascii="Arial" w:hAnsi="Arial" w:cs="Arial"/>
        </w:rPr>
      </w:pPr>
      <w:r w:rsidRPr="00590236">
        <w:rPr>
          <w:rFonts w:ascii="Arial" w:hAnsi="Arial" w:cs="Arial"/>
          <w:noProof/>
        </w:rPr>
        <w:lastRenderedPageBreak/>
        <w:drawing>
          <wp:inline distT="0" distB="0" distL="0" distR="0" wp14:anchorId="05002DB0" wp14:editId="72E56DC2">
            <wp:extent cx="5731510" cy="4621530"/>
            <wp:effectExtent l="0" t="0" r="2540" b="7620"/>
            <wp:docPr id="973378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621530"/>
                    </a:xfrm>
                    <a:prstGeom prst="rect">
                      <a:avLst/>
                    </a:prstGeom>
                    <a:noFill/>
                    <a:ln>
                      <a:noFill/>
                    </a:ln>
                  </pic:spPr>
                </pic:pic>
              </a:graphicData>
            </a:graphic>
          </wp:inline>
        </w:drawing>
      </w:r>
    </w:p>
    <w:p w14:paraId="6B769049" w14:textId="77777777" w:rsidR="00A003CC" w:rsidRPr="00590236" w:rsidRDefault="00A003CC" w:rsidP="00A003CC">
      <w:pPr>
        <w:spacing w:line="360" w:lineRule="auto"/>
        <w:jc w:val="both"/>
        <w:rPr>
          <w:rFonts w:ascii="Arial" w:hAnsi="Arial" w:cs="Arial"/>
        </w:rPr>
      </w:pPr>
    </w:p>
    <w:p w14:paraId="3E8A27EC" w14:textId="521C0AD0" w:rsidR="00A003CC" w:rsidRPr="00590236" w:rsidRDefault="00A003CC" w:rsidP="00A003CC">
      <w:pPr>
        <w:spacing w:line="360" w:lineRule="auto"/>
        <w:jc w:val="both"/>
        <w:rPr>
          <w:rFonts w:ascii="Arial" w:hAnsi="Arial" w:cs="Arial"/>
          <w:b/>
          <w:bCs/>
        </w:rPr>
      </w:pPr>
      <w:r w:rsidRPr="00590236">
        <w:rPr>
          <w:rFonts w:ascii="Arial" w:eastAsia="Times New Roman" w:hAnsi="Arial" w:cs="Arial"/>
          <w:b/>
          <w:bCs/>
          <w:kern w:val="0"/>
          <w:lang w:eastAsia="en-GB"/>
          <w14:ligatures w14:val="none"/>
        </w:rPr>
        <w:t>Supplementary Figure 1</w:t>
      </w:r>
      <w:r w:rsidR="00D415A3">
        <w:rPr>
          <w:rFonts w:ascii="Arial" w:eastAsia="Times New Roman" w:hAnsi="Arial" w:cs="Arial"/>
          <w:b/>
          <w:bCs/>
          <w:kern w:val="0"/>
          <w:lang w:eastAsia="en-GB"/>
          <w14:ligatures w14:val="none"/>
        </w:rPr>
        <w:t>0</w:t>
      </w:r>
      <w:r w:rsidRPr="00590236">
        <w:rPr>
          <w:rFonts w:ascii="Arial" w:eastAsia="Times New Roman" w:hAnsi="Arial" w:cs="Arial"/>
          <w:b/>
          <w:bCs/>
          <w:kern w:val="0"/>
          <w:lang w:eastAsia="en-GB"/>
          <w14:ligatures w14:val="none"/>
        </w:rPr>
        <w:t xml:space="preserve"> | </w:t>
      </w:r>
      <w:r w:rsidRPr="00590236">
        <w:rPr>
          <w:rFonts w:ascii="Arial" w:hAnsi="Arial" w:cs="Arial"/>
          <w:b/>
          <w:bCs/>
        </w:rPr>
        <w:t>Seasonal maps for SST Budget in the low-seasonality models</w:t>
      </w:r>
    </w:p>
    <w:p w14:paraId="552A55AF" w14:textId="174BEAF2" w:rsidR="00A003CC" w:rsidRDefault="00DC1E77" w:rsidP="00A003CC">
      <w:pPr>
        <w:spacing w:line="360" w:lineRule="auto"/>
        <w:jc w:val="both"/>
        <w:rPr>
          <w:rFonts w:ascii="Arial" w:hAnsi="Arial" w:cs="Arial"/>
          <w:b/>
          <w:bCs/>
        </w:rPr>
      </w:pPr>
      <w:r>
        <w:rPr>
          <w:rFonts w:ascii="Arial" w:eastAsia="Times New Roman" w:hAnsi="Arial" w:cs="Arial"/>
          <w:noProof/>
          <w:kern w:val="0"/>
          <w:lang w:eastAsia="en-GB"/>
        </w:rPr>
        <mc:AlternateContent>
          <mc:Choice Requires="wps">
            <w:drawing>
              <wp:inline distT="0" distB="0" distL="0" distR="0" wp14:anchorId="5680FE2F" wp14:editId="3E2A53E1">
                <wp:extent cx="5848597" cy="1480542"/>
                <wp:effectExtent l="0" t="0" r="0" b="5715"/>
                <wp:docPr id="1089800590" name="Text Box 1"/>
                <wp:cNvGraphicFramePr/>
                <a:graphic xmlns:a="http://schemas.openxmlformats.org/drawingml/2006/main">
                  <a:graphicData uri="http://schemas.microsoft.com/office/word/2010/wordprocessingShape">
                    <wps:wsp>
                      <wps:cNvSpPr txBox="1"/>
                      <wps:spPr>
                        <a:xfrm>
                          <a:off x="0" y="0"/>
                          <a:ext cx="5848597" cy="1480542"/>
                        </a:xfrm>
                        <a:prstGeom prst="rect">
                          <a:avLst/>
                        </a:prstGeom>
                        <a:solidFill>
                          <a:schemeClr val="lt1"/>
                        </a:solidFill>
                        <a:ln w="6350">
                          <a:noFill/>
                        </a:ln>
                      </wps:spPr>
                      <wps:txbx>
                        <w:txbxContent>
                          <w:p w14:paraId="656242A5" w14:textId="4ACA12A0" w:rsidR="00DC1E77" w:rsidRPr="000024DD" w:rsidRDefault="00DC1E77" w:rsidP="00572124">
                            <w:pPr>
                              <w:spacing w:line="276" w:lineRule="auto"/>
                              <w:ind w:left="-142"/>
                              <w:jc w:val="both"/>
                              <w:rPr>
                                <w:rFonts w:ascii="Arial" w:hAnsi="Arial" w:cs="Arial"/>
                                <w:sz w:val="20"/>
                                <w:szCs w:val="20"/>
                              </w:rPr>
                            </w:pPr>
                            <w:r w:rsidRPr="000024DD">
                              <w:rPr>
                                <w:rFonts w:ascii="Arial" w:hAnsi="Arial" w:cs="Arial"/>
                                <w:sz w:val="20"/>
                                <w:szCs w:val="20"/>
                              </w:rPr>
                              <w:t>Seasonal maps of SST budget terms (</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0024DD">
                              <w:rPr>
                                <w:rFonts w:ascii="Arial" w:hAnsi="Arial" w:cs="Arial"/>
                                <w:sz w:val="20"/>
                                <w:szCs w:val="20"/>
                              </w:rPr>
                              <w:t xml:space="preserve">) derived from Equation (1) are shown for </w:t>
                            </w:r>
                            <w:r>
                              <w:rPr>
                                <w:rFonts w:ascii="Arial" w:hAnsi="Arial" w:cs="Arial"/>
                                <w:sz w:val="20"/>
                                <w:szCs w:val="20"/>
                              </w:rPr>
                              <w:t>low</w:t>
                            </w:r>
                            <w:r w:rsidRPr="000024DD">
                              <w:rPr>
                                <w:rFonts w:ascii="Arial" w:hAnsi="Arial" w:cs="Arial"/>
                                <w:sz w:val="20"/>
                                <w:szCs w:val="20"/>
                              </w:rPr>
                              <w:t>-seasonality models during the development phase of tropical AMV, averaged over the five years preceding the peak. Rows show, from top to bottom, SST tendency, net surface heat-flux term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net</m:t>
                                  </m:r>
                                </m:sub>
                              </m:sSub>
                            </m:oMath>
                            <w:r w:rsidRPr="000024DD">
                              <w:rPr>
                                <w:rFonts w:ascii="Arial" w:hAnsi="Arial" w:cs="Arial"/>
                                <w:sz w:val="20"/>
                                <w:szCs w:val="20"/>
                              </w:rPr>
                              <w:t>), shortwave radiation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Pr>
                                <w:rFonts w:ascii="Arial" w:eastAsiaTheme="minorEastAsia" w:hAnsi="Arial" w:cs="Arial"/>
                                <w:sz w:val="20"/>
                                <w:szCs w:val="20"/>
                              </w:rPr>
                              <w:t xml:space="preserve"> </w:t>
                            </w:r>
                            <w:r w:rsidRPr="000024DD">
                              <w:rPr>
                                <w:rFonts w:ascii="Cambria Math" w:hAnsi="Cambria Math" w:cs="Cambria Math"/>
                                <w:sz w:val="20"/>
                                <w:szCs w:val="20"/>
                              </w:rPr>
                              <w:t>term</w:t>
                            </w:r>
                            <w:r w:rsidRPr="000024DD">
                              <w:rPr>
                                <w:rFonts w:ascii="Arial" w:hAnsi="Arial" w:cs="Arial"/>
                                <w:sz w:val="20"/>
                                <w:szCs w:val="20"/>
                              </w:rPr>
                              <w:t>), latent heat-flux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0024DD">
                              <w:rPr>
                                <w:rFonts w:ascii="Arial" w:hAnsi="Arial" w:cs="Arial"/>
                                <w:sz w:val="20"/>
                                <w:szCs w:val="20"/>
                                <w:vertAlign w:val="subscript"/>
                              </w:rPr>
                              <w:t xml:space="preserve"> </w:t>
                            </w:r>
                            <w:r w:rsidRPr="000024DD">
                              <w:rPr>
                                <w:rFonts w:ascii="Arial" w:hAnsi="Arial" w:cs="Arial"/>
                                <w:sz w:val="20"/>
                                <w:szCs w:val="20"/>
                              </w:rPr>
                              <w:t>term), and mixed-layer depth anomaly term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Pr>
                                <w:rFonts w:ascii="Arial" w:eastAsiaTheme="minorEastAsia" w:hAnsi="Arial" w:cs="Arial"/>
                                <w:sz w:val="20"/>
                                <w:szCs w:val="20"/>
                              </w:rPr>
                              <w:t xml:space="preserve"> </w:t>
                            </w:r>
                            <w:r w:rsidRPr="000024DD">
                              <w:rPr>
                                <w:rFonts w:ascii="Arial" w:hAnsi="Arial" w:cs="Arial"/>
                                <w:sz w:val="20"/>
                                <w:szCs w:val="20"/>
                              </w:rPr>
                              <w:t>term). Columns correspond to December-February (DJF), March-May (MAM), June-August (JJA), and September-November (SON). Values that are not significant at the 90% confidence level are masked. The black box indicates the tropical Atlantic region used in the analysis.</w:t>
                            </w:r>
                          </w:p>
                          <w:p w14:paraId="05A398B9" w14:textId="77777777" w:rsidR="00DC1E77" w:rsidRPr="00FB4F40" w:rsidRDefault="00DC1E77" w:rsidP="00DC1E77">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80FE2F" id="_x0000_s1035" type="#_x0000_t202" style="width:460.5pt;height:1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" fillcolor="white [3201]" stroked="f" strokeweight=".5pt">
                <v:textbox>
                  <w:txbxContent>
                    <w:p w14:paraId="656242A5" w14:textId="4ACA12A0" w:rsidR="00DC1E77" w:rsidRPr="000024DD" w:rsidRDefault="00DC1E77" w:rsidP="00572124">
                      <w:pPr>
                        <w:spacing w:line="276" w:lineRule="auto"/>
                        <w:ind w:left="-142"/>
                        <w:jc w:val="both"/>
                        <w:rPr>
                          <w:rFonts w:ascii="Arial" w:hAnsi="Arial" w:cs="Arial"/>
                          <w:sz w:val="20"/>
                          <w:szCs w:val="20"/>
                        </w:rPr>
                      </w:pPr>
                      <w:r w:rsidRPr="000024DD">
                        <w:rPr>
                          <w:rFonts w:ascii="Arial" w:hAnsi="Arial" w:cs="Arial"/>
                          <w:sz w:val="20"/>
                          <w:szCs w:val="20"/>
                        </w:rPr>
                        <w:t>Seasonal maps of SST budget terms (</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0024DD">
                        <w:rPr>
                          <w:rFonts w:ascii="Arial" w:hAnsi="Arial" w:cs="Arial"/>
                          <w:sz w:val="20"/>
                          <w:szCs w:val="20"/>
                        </w:rPr>
                        <w:t xml:space="preserve">) derived from Equation (1) are shown for </w:t>
                      </w:r>
                      <w:r>
                        <w:rPr>
                          <w:rFonts w:ascii="Arial" w:hAnsi="Arial" w:cs="Arial"/>
                          <w:sz w:val="20"/>
                          <w:szCs w:val="20"/>
                        </w:rPr>
                        <w:t>low</w:t>
                      </w:r>
                      <w:r w:rsidRPr="000024DD">
                        <w:rPr>
                          <w:rFonts w:ascii="Arial" w:hAnsi="Arial" w:cs="Arial"/>
                          <w:sz w:val="20"/>
                          <w:szCs w:val="20"/>
                        </w:rPr>
                        <w:t>-seasonality models during the development phase of tropical AMV, averaged over the five years preceding the peak. Rows show, from top to bottom, SST tendency, net surface heat-flux term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net</m:t>
                            </m:r>
                          </m:sub>
                        </m:sSub>
                      </m:oMath>
                      <w:r w:rsidRPr="000024DD">
                        <w:rPr>
                          <w:rFonts w:ascii="Arial" w:hAnsi="Arial" w:cs="Arial"/>
                          <w:sz w:val="20"/>
                          <w:szCs w:val="20"/>
                        </w:rPr>
                        <w:t>), shortwave radiation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Pr>
                          <w:rFonts w:ascii="Arial" w:eastAsiaTheme="minorEastAsia" w:hAnsi="Arial" w:cs="Arial"/>
                          <w:sz w:val="20"/>
                          <w:szCs w:val="20"/>
                        </w:rPr>
                        <w:t xml:space="preserve"> </w:t>
                      </w:r>
                      <w:r w:rsidRPr="000024DD">
                        <w:rPr>
                          <w:rFonts w:ascii="Cambria Math" w:hAnsi="Cambria Math" w:cs="Cambria Math"/>
                          <w:sz w:val="20"/>
                          <w:szCs w:val="20"/>
                        </w:rPr>
                        <w:t>term</w:t>
                      </w:r>
                      <w:r w:rsidRPr="000024DD">
                        <w:rPr>
                          <w:rFonts w:ascii="Arial" w:hAnsi="Arial" w:cs="Arial"/>
                          <w:sz w:val="20"/>
                          <w:szCs w:val="20"/>
                        </w:rPr>
                        <w:t>), latent heat-flux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0024DD">
                        <w:rPr>
                          <w:rFonts w:ascii="Arial" w:hAnsi="Arial" w:cs="Arial"/>
                          <w:sz w:val="20"/>
                          <w:szCs w:val="20"/>
                          <w:vertAlign w:val="subscript"/>
                        </w:rPr>
                        <w:t xml:space="preserve"> </w:t>
                      </w:r>
                      <w:r w:rsidRPr="000024DD">
                        <w:rPr>
                          <w:rFonts w:ascii="Arial" w:hAnsi="Arial" w:cs="Arial"/>
                          <w:sz w:val="20"/>
                          <w:szCs w:val="20"/>
                        </w:rPr>
                        <w:t>term), and mixed-layer depth anomaly term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Pr>
                          <w:rFonts w:ascii="Arial" w:eastAsiaTheme="minorEastAsia" w:hAnsi="Arial" w:cs="Arial"/>
                          <w:sz w:val="20"/>
                          <w:szCs w:val="20"/>
                        </w:rPr>
                        <w:t xml:space="preserve"> </w:t>
                      </w:r>
                      <w:r w:rsidRPr="000024DD">
                        <w:rPr>
                          <w:rFonts w:ascii="Arial" w:hAnsi="Arial" w:cs="Arial"/>
                          <w:sz w:val="20"/>
                          <w:szCs w:val="20"/>
                        </w:rPr>
                        <w:t>term). Columns correspond to December-February (DJF), March-May (MAM), June-August (JJA), and September-November (SON). Values that are not significant at the 90% confidence level are masked. The black box indicates the tropical Atlantic region used in the analysis.</w:t>
                      </w:r>
                    </w:p>
                    <w:p w14:paraId="05A398B9" w14:textId="77777777" w:rsidR="00DC1E77" w:rsidRPr="00FB4F40" w:rsidRDefault="00DC1E77" w:rsidP="00DC1E77">
                      <w:pPr>
                        <w:spacing w:line="276" w:lineRule="auto"/>
                        <w:rPr>
                          <w:sz w:val="2"/>
                          <w:szCs w:val="2"/>
                        </w:rPr>
                      </w:pPr>
                    </w:p>
                  </w:txbxContent>
                </v:textbox>
                <w10:anchorlock/>
              </v:shape>
            </w:pict>
          </mc:Fallback>
        </mc:AlternateContent>
      </w:r>
    </w:p>
    <w:p w14:paraId="2FBC55D8" w14:textId="3112691C" w:rsidR="0058440E" w:rsidRPr="00590236" w:rsidRDefault="0058440E" w:rsidP="00A003CC">
      <w:pPr>
        <w:spacing w:line="360" w:lineRule="auto"/>
        <w:jc w:val="both"/>
        <w:rPr>
          <w:rFonts w:ascii="Arial" w:hAnsi="Arial" w:cs="Arial"/>
          <w:b/>
          <w:bCs/>
        </w:rPr>
      </w:pPr>
    </w:p>
    <w:p w14:paraId="4E77DD70" w14:textId="77777777" w:rsidR="00D415A3" w:rsidRDefault="00D415A3" w:rsidP="00A003CC">
      <w:pPr>
        <w:spacing w:line="360" w:lineRule="auto"/>
        <w:jc w:val="both"/>
        <w:rPr>
          <w:rFonts w:ascii="Arial" w:hAnsi="Arial" w:cs="Arial"/>
        </w:rPr>
      </w:pPr>
    </w:p>
    <w:p w14:paraId="3C96EBD4" w14:textId="77777777" w:rsidR="00D415A3" w:rsidRPr="00590236" w:rsidRDefault="00D415A3" w:rsidP="00D415A3">
      <w:pPr>
        <w:spacing w:line="360" w:lineRule="auto"/>
        <w:jc w:val="both"/>
        <w:rPr>
          <w:rFonts w:ascii="Arial" w:hAnsi="Arial" w:cs="Arial"/>
        </w:rPr>
      </w:pPr>
    </w:p>
    <w:p w14:paraId="04E1F1B8" w14:textId="77777777" w:rsidR="00D415A3" w:rsidRPr="00590236" w:rsidRDefault="00D415A3" w:rsidP="00D415A3">
      <w:pPr>
        <w:spacing w:line="360" w:lineRule="auto"/>
        <w:jc w:val="both"/>
        <w:rPr>
          <w:rFonts w:ascii="Arial" w:hAnsi="Arial" w:cs="Arial"/>
        </w:rPr>
      </w:pPr>
      <w:r w:rsidRPr="00590236">
        <w:rPr>
          <w:rFonts w:ascii="Arial" w:hAnsi="Arial" w:cs="Arial"/>
          <w:noProof/>
        </w:rPr>
        <w:lastRenderedPageBreak/>
        <w:drawing>
          <wp:inline distT="0" distB="0" distL="0" distR="0" wp14:anchorId="1C6ADFCD" wp14:editId="4B1879D0">
            <wp:extent cx="5731510" cy="4130040"/>
            <wp:effectExtent l="0" t="0" r="2540" b="3810"/>
            <wp:docPr id="15003995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130040"/>
                    </a:xfrm>
                    <a:prstGeom prst="rect">
                      <a:avLst/>
                    </a:prstGeom>
                    <a:noFill/>
                    <a:ln>
                      <a:noFill/>
                    </a:ln>
                  </pic:spPr>
                </pic:pic>
              </a:graphicData>
            </a:graphic>
          </wp:inline>
        </w:drawing>
      </w:r>
    </w:p>
    <w:p w14:paraId="6B02E12E" w14:textId="77777777" w:rsidR="00D415A3" w:rsidRPr="00590236" w:rsidRDefault="00D415A3" w:rsidP="00D415A3">
      <w:pPr>
        <w:spacing w:line="360" w:lineRule="auto"/>
        <w:jc w:val="both"/>
        <w:rPr>
          <w:rFonts w:ascii="Arial" w:hAnsi="Arial" w:cs="Arial"/>
        </w:rPr>
      </w:pPr>
    </w:p>
    <w:p w14:paraId="68858A89" w14:textId="24E4A497" w:rsidR="00D415A3" w:rsidRPr="00590236" w:rsidRDefault="00D415A3" w:rsidP="00D415A3">
      <w:pPr>
        <w:spacing w:line="360" w:lineRule="auto"/>
        <w:jc w:val="both"/>
        <w:rPr>
          <w:rFonts w:ascii="Arial" w:hAnsi="Arial" w:cs="Arial"/>
          <w:b/>
          <w:bCs/>
        </w:rPr>
      </w:pPr>
      <w:r w:rsidRPr="00590236">
        <w:rPr>
          <w:rFonts w:ascii="Arial" w:eastAsia="Times New Roman" w:hAnsi="Arial" w:cs="Arial"/>
          <w:b/>
          <w:bCs/>
          <w:kern w:val="0"/>
          <w:lang w:eastAsia="en-GB"/>
          <w14:ligatures w14:val="none"/>
        </w:rPr>
        <w:t>Supplementary Figure 1</w:t>
      </w:r>
      <w:r>
        <w:rPr>
          <w:rFonts w:ascii="Arial" w:eastAsia="Times New Roman" w:hAnsi="Arial" w:cs="Arial"/>
          <w:b/>
          <w:bCs/>
          <w:kern w:val="0"/>
          <w:lang w:eastAsia="en-GB"/>
          <w14:ligatures w14:val="none"/>
        </w:rPr>
        <w:t>1</w:t>
      </w:r>
      <w:r w:rsidRPr="00590236">
        <w:rPr>
          <w:rFonts w:ascii="Arial" w:eastAsia="Times New Roman" w:hAnsi="Arial" w:cs="Arial"/>
          <w:b/>
          <w:bCs/>
          <w:kern w:val="0"/>
          <w:lang w:eastAsia="en-GB"/>
          <w14:ligatures w14:val="none"/>
        </w:rPr>
        <w:t xml:space="preserve"> | </w:t>
      </w:r>
      <w:r w:rsidRPr="00590236">
        <w:rPr>
          <w:rFonts w:ascii="Arial" w:hAnsi="Arial" w:cs="Arial"/>
          <w:b/>
          <w:bCs/>
        </w:rPr>
        <w:t>Seasonal maps of mixed-layer depth, cloud cover and surface heat-flux anomalies in the low-seasonality models</w:t>
      </w:r>
    </w:p>
    <w:p w14:paraId="6620881A" w14:textId="77777777" w:rsidR="00D415A3" w:rsidRPr="00590236" w:rsidRDefault="00D415A3" w:rsidP="00D415A3">
      <w:pPr>
        <w:spacing w:line="360" w:lineRule="auto"/>
        <w:jc w:val="both"/>
        <w:rPr>
          <w:rFonts w:ascii="Arial" w:hAnsi="Arial" w:cs="Arial"/>
          <w:b/>
          <w:bCs/>
        </w:rPr>
      </w:pPr>
    </w:p>
    <w:p w14:paraId="33295EBF" w14:textId="77777777" w:rsidR="006E7A1E" w:rsidRDefault="006E7A1E" w:rsidP="00D415A3">
      <w:pPr>
        <w:spacing w:line="360" w:lineRule="auto"/>
        <w:jc w:val="both"/>
        <w:rPr>
          <w:rFonts w:ascii="Arial" w:hAnsi="Arial" w:cs="Arial"/>
        </w:rPr>
      </w:pPr>
      <w:r>
        <w:rPr>
          <w:rFonts w:ascii="Arial" w:eastAsia="Times New Roman" w:hAnsi="Arial" w:cs="Arial"/>
          <w:noProof/>
          <w:kern w:val="0"/>
          <w:lang w:eastAsia="en-GB"/>
        </w:rPr>
        <mc:AlternateContent>
          <mc:Choice Requires="wps">
            <w:drawing>
              <wp:inline distT="0" distB="0" distL="0" distR="0" wp14:anchorId="6E1DBA96" wp14:editId="34D09E3C">
                <wp:extent cx="5830784" cy="1480185"/>
                <wp:effectExtent l="0" t="0" r="0" b="5715"/>
                <wp:docPr id="1186401115" name="Text Box 1"/>
                <wp:cNvGraphicFramePr/>
                <a:graphic xmlns:a="http://schemas.openxmlformats.org/drawingml/2006/main">
                  <a:graphicData uri="http://schemas.microsoft.com/office/word/2010/wordprocessingShape">
                    <wps:wsp>
                      <wps:cNvSpPr txBox="1"/>
                      <wps:spPr>
                        <a:xfrm>
                          <a:off x="0" y="0"/>
                          <a:ext cx="5830784" cy="1480185"/>
                        </a:xfrm>
                        <a:prstGeom prst="rect">
                          <a:avLst/>
                        </a:prstGeom>
                        <a:solidFill>
                          <a:schemeClr val="lt1"/>
                        </a:solidFill>
                        <a:ln w="6350">
                          <a:noFill/>
                        </a:ln>
                      </wps:spPr>
                      <wps:txbx>
                        <w:txbxContent>
                          <w:p w14:paraId="15C5204F" w14:textId="64F7256E" w:rsidR="006E7A1E" w:rsidRPr="002A1ABA" w:rsidRDefault="006E7A1E" w:rsidP="00572124">
                            <w:pPr>
                              <w:spacing w:line="276" w:lineRule="auto"/>
                              <w:ind w:left="-142"/>
                              <w:jc w:val="both"/>
                              <w:rPr>
                                <w:rFonts w:ascii="Arial" w:hAnsi="Arial" w:cs="Arial"/>
                                <w:sz w:val="20"/>
                                <w:szCs w:val="20"/>
                              </w:rPr>
                            </w:pPr>
                            <w:r w:rsidRPr="002A1ABA">
                              <w:rPr>
                                <w:rFonts w:ascii="Arial" w:hAnsi="Arial" w:cs="Arial"/>
                                <w:sz w:val="20"/>
                                <w:szCs w:val="20"/>
                              </w:rPr>
                              <w:t>Seasonal maps of mixed-layer depth anomalies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Pr="002A1ABA">
                              <w:rPr>
                                <w:rFonts w:ascii="Arial" w:hAnsi="Arial" w:cs="Arial"/>
                                <w:sz w:val="20"/>
                                <w:szCs w:val="20"/>
                              </w:rPr>
                              <w:t xml:space="preserve">, </w:t>
                            </w:r>
                            <m:oMath>
                              <m:r>
                                <w:rPr>
                                  <w:rFonts w:ascii="Cambria Math" w:hAnsi="Cambria Math" w:cs="Arial"/>
                                  <w:sz w:val="20"/>
                                  <w:szCs w:val="20"/>
                                </w:rPr>
                                <m:t>m</m:t>
                              </m:r>
                            </m:oMath>
                            <w:r w:rsidRPr="002A1ABA">
                              <w:rPr>
                                <w:rFonts w:ascii="Arial" w:hAnsi="Arial" w:cs="Arial"/>
                                <w:sz w:val="20"/>
                                <w:szCs w:val="20"/>
                              </w:rPr>
                              <w:t>), net surface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net</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latent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shortwave radiation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and cloud-cover anomalies (</w:t>
                            </w:r>
                            <m:oMath>
                              <m:r>
                                <w:rPr>
                                  <w:rFonts w:ascii="Cambria Math" w:hAnsi="Cambria Math" w:cs="Arial"/>
                                  <w:sz w:val="20"/>
                                  <w:szCs w:val="20"/>
                                </w:rPr>
                                <m:t>%</m:t>
                              </m:r>
                            </m:oMath>
                            <w:r w:rsidRPr="002A1ABA">
                              <w:rPr>
                                <w:rFonts w:ascii="Arial" w:hAnsi="Arial" w:cs="Arial"/>
                                <w:sz w:val="20"/>
                                <w:szCs w:val="20"/>
                              </w:rPr>
                              <w:t xml:space="preserve">) are shown for the </w:t>
                            </w:r>
                            <w:r>
                              <w:rPr>
                                <w:rFonts w:ascii="Arial" w:hAnsi="Arial" w:cs="Arial"/>
                                <w:sz w:val="20"/>
                                <w:szCs w:val="20"/>
                              </w:rPr>
                              <w:t>low</w:t>
                            </w:r>
                            <w:r w:rsidRPr="002A1ABA">
                              <w:rPr>
                                <w:rFonts w:ascii="Arial" w:hAnsi="Arial" w:cs="Arial"/>
                                <w:sz w:val="20"/>
                                <w:szCs w:val="20"/>
                              </w:rPr>
                              <w:t>-seasonality models in rows during the development phase of tropical AMV,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46753D6E" w14:textId="77777777" w:rsidR="006E7A1E" w:rsidRPr="00FB4F40" w:rsidRDefault="006E7A1E" w:rsidP="006E7A1E">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1DBA96" id="_x0000_s1036" type="#_x0000_t202" style="width:459.1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" fillcolor="white [3201]" stroked="f" strokeweight=".5pt">
                <v:textbox>
                  <w:txbxContent>
                    <w:p w14:paraId="15C5204F" w14:textId="64F7256E" w:rsidR="006E7A1E" w:rsidRPr="002A1ABA" w:rsidRDefault="006E7A1E" w:rsidP="00572124">
                      <w:pPr>
                        <w:spacing w:line="276" w:lineRule="auto"/>
                        <w:ind w:left="-142"/>
                        <w:jc w:val="both"/>
                        <w:rPr>
                          <w:rFonts w:ascii="Arial" w:hAnsi="Arial" w:cs="Arial"/>
                          <w:sz w:val="20"/>
                          <w:szCs w:val="20"/>
                        </w:rPr>
                      </w:pPr>
                      <w:r w:rsidRPr="002A1ABA">
                        <w:rPr>
                          <w:rFonts w:ascii="Arial" w:hAnsi="Arial" w:cs="Arial"/>
                          <w:sz w:val="20"/>
                          <w:szCs w:val="20"/>
                        </w:rPr>
                        <w:t>Seasonal maps of mixed-layer depth anomalies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Pr="002A1ABA">
                        <w:rPr>
                          <w:rFonts w:ascii="Arial" w:hAnsi="Arial" w:cs="Arial"/>
                          <w:sz w:val="20"/>
                          <w:szCs w:val="20"/>
                        </w:rPr>
                        <w:t xml:space="preserve">, </w:t>
                      </w:r>
                      <m:oMath>
                        <m:r>
                          <w:rPr>
                            <w:rFonts w:ascii="Cambria Math" w:hAnsi="Cambria Math" w:cs="Arial"/>
                            <w:sz w:val="20"/>
                            <w:szCs w:val="20"/>
                          </w:rPr>
                          <m:t>m</m:t>
                        </m:r>
                      </m:oMath>
                      <w:r w:rsidRPr="002A1ABA">
                        <w:rPr>
                          <w:rFonts w:ascii="Arial" w:hAnsi="Arial" w:cs="Arial"/>
                          <w:sz w:val="20"/>
                          <w:szCs w:val="20"/>
                        </w:rPr>
                        <w:t>), net surface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net</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latent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shortwave radiation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and cloud-cover anomalies (</w:t>
                      </w:r>
                      <m:oMath>
                        <m:r>
                          <w:rPr>
                            <w:rFonts w:ascii="Cambria Math" w:hAnsi="Cambria Math" w:cs="Arial"/>
                            <w:sz w:val="20"/>
                            <w:szCs w:val="20"/>
                          </w:rPr>
                          <m:t>%</m:t>
                        </m:r>
                      </m:oMath>
                      <w:r w:rsidRPr="002A1ABA">
                        <w:rPr>
                          <w:rFonts w:ascii="Arial" w:hAnsi="Arial" w:cs="Arial"/>
                          <w:sz w:val="20"/>
                          <w:szCs w:val="20"/>
                        </w:rPr>
                        <w:t xml:space="preserve">) are shown for the </w:t>
                      </w:r>
                      <w:r>
                        <w:rPr>
                          <w:rFonts w:ascii="Arial" w:hAnsi="Arial" w:cs="Arial"/>
                          <w:sz w:val="20"/>
                          <w:szCs w:val="20"/>
                        </w:rPr>
                        <w:t>low</w:t>
                      </w:r>
                      <w:r w:rsidRPr="002A1ABA">
                        <w:rPr>
                          <w:rFonts w:ascii="Arial" w:hAnsi="Arial" w:cs="Arial"/>
                          <w:sz w:val="20"/>
                          <w:szCs w:val="20"/>
                        </w:rPr>
                        <w:t>-seasonality models in rows during the development phase of tropical AMV,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46753D6E" w14:textId="77777777" w:rsidR="006E7A1E" w:rsidRPr="00FB4F40" w:rsidRDefault="006E7A1E" w:rsidP="006E7A1E">
                      <w:pPr>
                        <w:spacing w:line="276" w:lineRule="auto"/>
                        <w:rPr>
                          <w:sz w:val="2"/>
                          <w:szCs w:val="2"/>
                        </w:rPr>
                      </w:pPr>
                    </w:p>
                  </w:txbxContent>
                </v:textbox>
                <w10:anchorlock/>
              </v:shape>
            </w:pict>
          </mc:Fallback>
        </mc:AlternateContent>
      </w:r>
    </w:p>
    <w:p w14:paraId="5958BEA7" w14:textId="77777777" w:rsidR="00D415A3" w:rsidRPr="00590236" w:rsidRDefault="00D415A3" w:rsidP="00A003CC">
      <w:pPr>
        <w:spacing w:line="360" w:lineRule="auto"/>
        <w:jc w:val="both"/>
        <w:rPr>
          <w:rFonts w:ascii="Arial" w:hAnsi="Arial" w:cs="Arial"/>
        </w:rPr>
      </w:pPr>
    </w:p>
    <w:p w14:paraId="52405419" w14:textId="77777777" w:rsidR="00A003CC" w:rsidRPr="00590236" w:rsidRDefault="00A003CC" w:rsidP="00A003CC">
      <w:pPr>
        <w:spacing w:before="100" w:beforeAutospacing="1" w:after="100" w:afterAutospacing="1" w:line="360" w:lineRule="auto"/>
        <w:jc w:val="both"/>
        <w:outlineLvl w:val="2"/>
        <w:rPr>
          <w:rFonts w:ascii="Arial" w:eastAsia="Times New Roman" w:hAnsi="Arial" w:cs="Arial"/>
          <w:kern w:val="0"/>
          <w:lang w:eastAsia="en-GB"/>
          <w14:ligatures w14:val="none"/>
        </w:rPr>
      </w:pPr>
    </w:p>
    <w:p w14:paraId="08E71D99" w14:textId="77777777" w:rsidR="00A003CC" w:rsidRPr="00590236" w:rsidRDefault="00A003CC" w:rsidP="00A003CC">
      <w:pPr>
        <w:spacing w:line="360" w:lineRule="auto"/>
        <w:jc w:val="both"/>
        <w:rPr>
          <w:rFonts w:ascii="Arial" w:hAnsi="Arial" w:cs="Arial"/>
        </w:rPr>
      </w:pPr>
    </w:p>
    <w:p w14:paraId="25673A3F" w14:textId="77777777" w:rsidR="00A003CC" w:rsidRPr="00590236" w:rsidRDefault="00A003CC" w:rsidP="00A003CC">
      <w:pPr>
        <w:spacing w:line="360" w:lineRule="auto"/>
        <w:jc w:val="both"/>
        <w:rPr>
          <w:rFonts w:ascii="Arial" w:hAnsi="Arial" w:cs="Arial"/>
        </w:rPr>
      </w:pPr>
      <w:r w:rsidRPr="00590236">
        <w:rPr>
          <w:rFonts w:ascii="Arial" w:hAnsi="Arial" w:cs="Arial"/>
          <w:noProof/>
        </w:rPr>
        <w:lastRenderedPageBreak/>
        <w:drawing>
          <wp:inline distT="0" distB="0" distL="0" distR="0" wp14:anchorId="66B0ADDA" wp14:editId="230A6022">
            <wp:extent cx="5731510" cy="4621530"/>
            <wp:effectExtent l="0" t="0" r="2540" b="7620"/>
            <wp:docPr id="16958715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621530"/>
                    </a:xfrm>
                    <a:prstGeom prst="rect">
                      <a:avLst/>
                    </a:prstGeom>
                    <a:noFill/>
                    <a:ln>
                      <a:noFill/>
                    </a:ln>
                  </pic:spPr>
                </pic:pic>
              </a:graphicData>
            </a:graphic>
          </wp:inline>
        </w:drawing>
      </w:r>
    </w:p>
    <w:p w14:paraId="04323731" w14:textId="5A5B245F" w:rsidR="00A003CC" w:rsidRPr="00590236" w:rsidRDefault="00A003CC" w:rsidP="00A003CC">
      <w:pPr>
        <w:spacing w:line="360" w:lineRule="auto"/>
        <w:jc w:val="both"/>
        <w:rPr>
          <w:rFonts w:ascii="Arial" w:hAnsi="Arial" w:cs="Arial"/>
          <w:b/>
          <w:bCs/>
        </w:rPr>
      </w:pPr>
      <w:r w:rsidRPr="00590236">
        <w:rPr>
          <w:rFonts w:ascii="Arial" w:eastAsia="Times New Roman" w:hAnsi="Arial" w:cs="Arial"/>
          <w:b/>
          <w:bCs/>
          <w:kern w:val="0"/>
          <w:lang w:eastAsia="en-GB"/>
          <w14:ligatures w14:val="none"/>
        </w:rPr>
        <w:t>Supplementary Figure 1</w:t>
      </w:r>
      <w:r w:rsidR="00D415A3">
        <w:rPr>
          <w:rFonts w:ascii="Arial" w:eastAsia="Times New Roman" w:hAnsi="Arial" w:cs="Arial"/>
          <w:b/>
          <w:bCs/>
          <w:kern w:val="0"/>
          <w:lang w:eastAsia="en-GB"/>
          <w14:ligatures w14:val="none"/>
        </w:rPr>
        <w:t>2</w:t>
      </w:r>
      <w:r w:rsidRPr="00590236">
        <w:rPr>
          <w:rFonts w:ascii="Arial" w:eastAsia="Times New Roman" w:hAnsi="Arial" w:cs="Arial"/>
          <w:b/>
          <w:bCs/>
          <w:kern w:val="0"/>
          <w:lang w:eastAsia="en-GB"/>
          <w14:ligatures w14:val="none"/>
        </w:rPr>
        <w:t xml:space="preserve"> | </w:t>
      </w:r>
      <w:r w:rsidRPr="00590236">
        <w:rPr>
          <w:rFonts w:ascii="Arial" w:hAnsi="Arial" w:cs="Arial"/>
          <w:b/>
          <w:bCs/>
        </w:rPr>
        <w:t>Seasonal maps for SST Budget in the negative-seasonality models</w:t>
      </w:r>
    </w:p>
    <w:p w14:paraId="157BFE0A" w14:textId="77777777" w:rsidR="00A003CC" w:rsidRDefault="00A003CC" w:rsidP="00A003CC">
      <w:pPr>
        <w:spacing w:line="360" w:lineRule="auto"/>
        <w:jc w:val="both"/>
        <w:rPr>
          <w:rFonts w:ascii="Arial" w:hAnsi="Arial" w:cs="Arial"/>
          <w:b/>
          <w:bCs/>
        </w:rPr>
      </w:pPr>
    </w:p>
    <w:p w14:paraId="6EFFE640" w14:textId="0B1AE6A5" w:rsidR="00421079" w:rsidRPr="00590236" w:rsidRDefault="00421079" w:rsidP="00A003CC">
      <w:pPr>
        <w:spacing w:line="360" w:lineRule="auto"/>
        <w:jc w:val="both"/>
        <w:rPr>
          <w:rFonts w:ascii="Arial" w:hAnsi="Arial" w:cs="Arial"/>
          <w:b/>
          <w:bCs/>
        </w:rPr>
      </w:pPr>
      <w:r>
        <w:rPr>
          <w:rFonts w:ascii="Arial" w:eastAsia="Times New Roman" w:hAnsi="Arial" w:cs="Arial"/>
          <w:noProof/>
          <w:kern w:val="0"/>
          <w:lang w:eastAsia="en-GB"/>
        </w:rPr>
        <mc:AlternateContent>
          <mc:Choice Requires="wps">
            <w:drawing>
              <wp:inline distT="0" distB="0" distL="0" distR="0" wp14:anchorId="220F05D6" wp14:editId="4F5FE111">
                <wp:extent cx="5801096" cy="1480542"/>
                <wp:effectExtent l="0" t="0" r="9525" b="5715"/>
                <wp:docPr id="215602313" name="Text Box 1"/>
                <wp:cNvGraphicFramePr/>
                <a:graphic xmlns:a="http://schemas.openxmlformats.org/drawingml/2006/main">
                  <a:graphicData uri="http://schemas.microsoft.com/office/word/2010/wordprocessingShape">
                    <wps:wsp>
                      <wps:cNvSpPr txBox="1"/>
                      <wps:spPr>
                        <a:xfrm>
                          <a:off x="0" y="0"/>
                          <a:ext cx="5801096" cy="1480542"/>
                        </a:xfrm>
                        <a:prstGeom prst="rect">
                          <a:avLst/>
                        </a:prstGeom>
                        <a:solidFill>
                          <a:schemeClr val="lt1"/>
                        </a:solidFill>
                        <a:ln w="6350">
                          <a:noFill/>
                        </a:ln>
                      </wps:spPr>
                      <wps:txbx>
                        <w:txbxContent>
                          <w:p w14:paraId="053D936E" w14:textId="3DB338FE" w:rsidR="00421079" w:rsidRPr="000024DD" w:rsidRDefault="00421079" w:rsidP="00572124">
                            <w:pPr>
                              <w:spacing w:line="276" w:lineRule="auto"/>
                              <w:ind w:left="-142"/>
                              <w:jc w:val="both"/>
                              <w:rPr>
                                <w:rFonts w:ascii="Arial" w:hAnsi="Arial" w:cs="Arial"/>
                                <w:sz w:val="20"/>
                                <w:szCs w:val="20"/>
                              </w:rPr>
                            </w:pPr>
                            <w:r w:rsidRPr="000024DD">
                              <w:rPr>
                                <w:rFonts w:ascii="Arial" w:hAnsi="Arial" w:cs="Arial"/>
                                <w:sz w:val="20"/>
                                <w:szCs w:val="20"/>
                              </w:rPr>
                              <w:t>Seasonal maps of SST budget terms (</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0024DD">
                              <w:rPr>
                                <w:rFonts w:ascii="Arial" w:hAnsi="Arial" w:cs="Arial"/>
                                <w:sz w:val="20"/>
                                <w:szCs w:val="20"/>
                              </w:rPr>
                              <w:t xml:space="preserve">) derived from Equation (1) are shown for </w:t>
                            </w:r>
                            <w:r>
                              <w:rPr>
                                <w:rFonts w:ascii="Arial" w:hAnsi="Arial" w:cs="Arial"/>
                                <w:sz w:val="20"/>
                                <w:szCs w:val="20"/>
                              </w:rPr>
                              <w:t>negative</w:t>
                            </w:r>
                            <w:r w:rsidRPr="000024DD">
                              <w:rPr>
                                <w:rFonts w:ascii="Arial" w:hAnsi="Arial" w:cs="Arial"/>
                                <w:sz w:val="20"/>
                                <w:szCs w:val="20"/>
                              </w:rPr>
                              <w:t>-seasonality models during the development phase of tropical AMV, averaged over the five years preceding the peak. Rows show, from top to bottom, SST tendency, net surface heat-flux term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net</m:t>
                                  </m:r>
                                </m:sub>
                              </m:sSub>
                            </m:oMath>
                            <w:r w:rsidRPr="000024DD">
                              <w:rPr>
                                <w:rFonts w:ascii="Arial" w:hAnsi="Arial" w:cs="Arial"/>
                                <w:sz w:val="20"/>
                                <w:szCs w:val="20"/>
                              </w:rPr>
                              <w:t>), shortwave radiation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Pr>
                                <w:rFonts w:ascii="Arial" w:eastAsiaTheme="minorEastAsia" w:hAnsi="Arial" w:cs="Arial"/>
                                <w:sz w:val="20"/>
                                <w:szCs w:val="20"/>
                              </w:rPr>
                              <w:t xml:space="preserve"> </w:t>
                            </w:r>
                            <w:r w:rsidRPr="000024DD">
                              <w:rPr>
                                <w:rFonts w:ascii="Cambria Math" w:hAnsi="Cambria Math" w:cs="Cambria Math"/>
                                <w:sz w:val="20"/>
                                <w:szCs w:val="20"/>
                              </w:rPr>
                              <w:t>term</w:t>
                            </w:r>
                            <w:r w:rsidRPr="000024DD">
                              <w:rPr>
                                <w:rFonts w:ascii="Arial" w:hAnsi="Arial" w:cs="Arial"/>
                                <w:sz w:val="20"/>
                                <w:szCs w:val="20"/>
                              </w:rPr>
                              <w:t>), latent heat-flux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0024DD">
                              <w:rPr>
                                <w:rFonts w:ascii="Arial" w:hAnsi="Arial" w:cs="Arial"/>
                                <w:sz w:val="20"/>
                                <w:szCs w:val="20"/>
                                <w:vertAlign w:val="subscript"/>
                              </w:rPr>
                              <w:t xml:space="preserve"> </w:t>
                            </w:r>
                            <w:r w:rsidRPr="000024DD">
                              <w:rPr>
                                <w:rFonts w:ascii="Arial" w:hAnsi="Arial" w:cs="Arial"/>
                                <w:sz w:val="20"/>
                                <w:szCs w:val="20"/>
                              </w:rPr>
                              <w:t>term), and mixed-layer depth anomaly term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Pr>
                                <w:rFonts w:ascii="Arial" w:eastAsiaTheme="minorEastAsia" w:hAnsi="Arial" w:cs="Arial"/>
                                <w:sz w:val="20"/>
                                <w:szCs w:val="20"/>
                              </w:rPr>
                              <w:t xml:space="preserve"> </w:t>
                            </w:r>
                            <w:r w:rsidRPr="000024DD">
                              <w:rPr>
                                <w:rFonts w:ascii="Arial" w:hAnsi="Arial" w:cs="Arial"/>
                                <w:sz w:val="20"/>
                                <w:szCs w:val="20"/>
                              </w:rPr>
                              <w:t>term). Columns correspond to December-February (DJF), March-May (MAM), June-August (JJA), and September-November (SON). Values that are not significant at the 90% confidence level are masked. The black box indicates the tropical Atlantic region used in the analysis.</w:t>
                            </w:r>
                          </w:p>
                          <w:p w14:paraId="264DA0B4" w14:textId="77777777" w:rsidR="00421079" w:rsidRPr="00FB4F40" w:rsidRDefault="00421079" w:rsidP="00421079">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20F05D6" id="_x0000_s1037" type="#_x0000_t202" style="width:456.8pt;height:1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ddMQIAAF0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" fillcolor="white [3201]" stroked="f" strokeweight=".5pt">
                <v:textbox>
                  <w:txbxContent>
                    <w:p w14:paraId="053D936E" w14:textId="3DB338FE" w:rsidR="00421079" w:rsidRPr="000024DD" w:rsidRDefault="00421079" w:rsidP="00572124">
                      <w:pPr>
                        <w:spacing w:line="276" w:lineRule="auto"/>
                        <w:ind w:left="-142"/>
                        <w:jc w:val="both"/>
                        <w:rPr>
                          <w:rFonts w:ascii="Arial" w:hAnsi="Arial" w:cs="Arial"/>
                          <w:sz w:val="20"/>
                          <w:szCs w:val="20"/>
                        </w:rPr>
                      </w:pPr>
                      <w:r w:rsidRPr="000024DD">
                        <w:rPr>
                          <w:rFonts w:ascii="Arial" w:hAnsi="Arial" w:cs="Arial"/>
                          <w:sz w:val="20"/>
                          <w:szCs w:val="20"/>
                        </w:rPr>
                        <w:t>Seasonal maps of SST budget terms (</w:t>
                      </w:r>
                      <m:oMath>
                        <m:r>
                          <w:rPr>
                            <w:rFonts w:ascii="Cambria Math" w:hAnsi="Cambria Math" w:cs="Arial"/>
                            <w:sz w:val="20"/>
                            <w:szCs w:val="20"/>
                          </w:rPr>
                          <m:t>°C mont</m:t>
                        </m:r>
                        <m:sSup>
                          <m:sSupPr>
                            <m:ctrlPr>
                              <w:rPr>
                                <w:rFonts w:ascii="Cambria Math" w:hAnsi="Cambria Math" w:cs="Arial"/>
                                <w:i/>
                                <w:sz w:val="20"/>
                                <w:szCs w:val="20"/>
                              </w:rPr>
                            </m:ctrlPr>
                          </m:sSupPr>
                          <m:e>
                            <m:r>
                              <w:rPr>
                                <w:rFonts w:ascii="Cambria Math" w:hAnsi="Cambria Math" w:cs="Arial"/>
                                <w:sz w:val="20"/>
                                <w:szCs w:val="20"/>
                              </w:rPr>
                              <m:t>h</m:t>
                            </m:r>
                          </m:e>
                          <m:sup>
                            <m:r>
                              <w:rPr>
                                <w:rFonts w:ascii="Cambria Math" w:hAnsi="Cambria Math" w:cs="Arial"/>
                                <w:sz w:val="20"/>
                                <w:szCs w:val="20"/>
                              </w:rPr>
                              <m:t>-1</m:t>
                            </m:r>
                          </m:sup>
                        </m:sSup>
                      </m:oMath>
                      <w:r w:rsidRPr="000024DD">
                        <w:rPr>
                          <w:rFonts w:ascii="Arial" w:hAnsi="Arial" w:cs="Arial"/>
                          <w:sz w:val="20"/>
                          <w:szCs w:val="20"/>
                        </w:rPr>
                        <w:t xml:space="preserve">) derived from Equation (1) are shown for </w:t>
                      </w:r>
                      <w:r>
                        <w:rPr>
                          <w:rFonts w:ascii="Arial" w:hAnsi="Arial" w:cs="Arial"/>
                          <w:sz w:val="20"/>
                          <w:szCs w:val="20"/>
                        </w:rPr>
                        <w:t>negative</w:t>
                      </w:r>
                      <w:r w:rsidRPr="000024DD">
                        <w:rPr>
                          <w:rFonts w:ascii="Arial" w:hAnsi="Arial" w:cs="Arial"/>
                          <w:sz w:val="20"/>
                          <w:szCs w:val="20"/>
                        </w:rPr>
                        <w:t>-seasonality models during the development phase of tropical AMV, averaged over the five years preceding the peak. Rows show, from top to bottom, SST tendency, net surface heat-flux term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net</m:t>
                            </m:r>
                          </m:sub>
                        </m:sSub>
                      </m:oMath>
                      <w:r w:rsidRPr="000024DD">
                        <w:rPr>
                          <w:rFonts w:ascii="Arial" w:hAnsi="Arial" w:cs="Arial"/>
                          <w:sz w:val="20"/>
                          <w:szCs w:val="20"/>
                        </w:rPr>
                        <w:t>), shortwave radiation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Pr>
                          <w:rFonts w:ascii="Arial" w:eastAsiaTheme="minorEastAsia" w:hAnsi="Arial" w:cs="Arial"/>
                          <w:sz w:val="20"/>
                          <w:szCs w:val="20"/>
                        </w:rPr>
                        <w:t xml:space="preserve"> </w:t>
                      </w:r>
                      <w:r w:rsidRPr="000024DD">
                        <w:rPr>
                          <w:rFonts w:ascii="Cambria Math" w:hAnsi="Cambria Math" w:cs="Cambria Math"/>
                          <w:sz w:val="20"/>
                          <w:szCs w:val="20"/>
                        </w:rPr>
                        <w:t>term</w:t>
                      </w:r>
                      <w:r w:rsidRPr="000024DD">
                        <w:rPr>
                          <w:rFonts w:ascii="Arial" w:hAnsi="Arial" w:cs="Arial"/>
                          <w:sz w:val="20"/>
                          <w:szCs w:val="20"/>
                        </w:rPr>
                        <w:t>), latent heat-flux anomaly term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0024DD">
                        <w:rPr>
                          <w:rFonts w:ascii="Arial" w:hAnsi="Arial" w:cs="Arial"/>
                          <w:sz w:val="20"/>
                          <w:szCs w:val="20"/>
                          <w:vertAlign w:val="subscript"/>
                        </w:rPr>
                        <w:t xml:space="preserve"> </w:t>
                      </w:r>
                      <w:r w:rsidRPr="000024DD">
                        <w:rPr>
                          <w:rFonts w:ascii="Arial" w:hAnsi="Arial" w:cs="Arial"/>
                          <w:sz w:val="20"/>
                          <w:szCs w:val="20"/>
                        </w:rPr>
                        <w:t>term), and mixed-layer depth anomaly term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Pr>
                          <w:rFonts w:ascii="Arial" w:eastAsiaTheme="minorEastAsia" w:hAnsi="Arial" w:cs="Arial"/>
                          <w:sz w:val="20"/>
                          <w:szCs w:val="20"/>
                        </w:rPr>
                        <w:t xml:space="preserve"> </w:t>
                      </w:r>
                      <w:r w:rsidRPr="000024DD">
                        <w:rPr>
                          <w:rFonts w:ascii="Arial" w:hAnsi="Arial" w:cs="Arial"/>
                          <w:sz w:val="20"/>
                          <w:szCs w:val="20"/>
                        </w:rPr>
                        <w:t>term). Columns correspond to December-February (DJF), March-May (MAM), June-August (JJA), and September-November (SON). Values that are not significant at the 90% confidence level are masked. The black box indicates the tropical Atlantic region used in the analysis.</w:t>
                      </w:r>
                    </w:p>
                    <w:p w14:paraId="264DA0B4" w14:textId="77777777" w:rsidR="00421079" w:rsidRPr="00FB4F40" w:rsidRDefault="00421079" w:rsidP="00421079">
                      <w:pPr>
                        <w:spacing w:line="276" w:lineRule="auto"/>
                        <w:rPr>
                          <w:sz w:val="2"/>
                          <w:szCs w:val="2"/>
                        </w:rPr>
                      </w:pPr>
                    </w:p>
                  </w:txbxContent>
                </v:textbox>
                <w10:anchorlock/>
              </v:shape>
            </w:pict>
          </mc:Fallback>
        </mc:AlternateContent>
      </w:r>
    </w:p>
    <w:p w14:paraId="735C900D" w14:textId="77777777" w:rsidR="00A003CC" w:rsidRPr="00590236" w:rsidRDefault="00A003CC" w:rsidP="00A003CC">
      <w:pPr>
        <w:spacing w:line="360" w:lineRule="auto"/>
        <w:jc w:val="both"/>
        <w:rPr>
          <w:rFonts w:ascii="Arial" w:hAnsi="Arial" w:cs="Arial"/>
        </w:rPr>
      </w:pPr>
    </w:p>
    <w:p w14:paraId="410F36DD" w14:textId="77777777" w:rsidR="00A003CC" w:rsidRPr="00590236" w:rsidRDefault="00A003CC" w:rsidP="00A003CC">
      <w:pPr>
        <w:spacing w:line="360" w:lineRule="auto"/>
        <w:jc w:val="both"/>
        <w:rPr>
          <w:rFonts w:ascii="Arial" w:hAnsi="Arial" w:cs="Arial"/>
        </w:rPr>
      </w:pPr>
    </w:p>
    <w:p w14:paraId="7FB884BD" w14:textId="77777777" w:rsidR="00A003CC" w:rsidRPr="00590236" w:rsidRDefault="00A003CC" w:rsidP="00A003CC">
      <w:pPr>
        <w:spacing w:line="360" w:lineRule="auto"/>
        <w:jc w:val="both"/>
        <w:rPr>
          <w:rFonts w:ascii="Arial" w:hAnsi="Arial" w:cs="Arial"/>
        </w:rPr>
      </w:pPr>
    </w:p>
    <w:p w14:paraId="64C9394C" w14:textId="77777777" w:rsidR="00A003CC" w:rsidRPr="00590236" w:rsidRDefault="00A003CC" w:rsidP="00A003CC">
      <w:pPr>
        <w:spacing w:line="360" w:lineRule="auto"/>
        <w:jc w:val="both"/>
        <w:rPr>
          <w:rFonts w:ascii="Arial" w:hAnsi="Arial" w:cs="Arial"/>
        </w:rPr>
      </w:pPr>
    </w:p>
    <w:p w14:paraId="16A81585" w14:textId="77777777" w:rsidR="00A003CC" w:rsidRPr="00590236" w:rsidRDefault="00A003CC" w:rsidP="00A003CC">
      <w:pPr>
        <w:spacing w:line="360" w:lineRule="auto"/>
        <w:jc w:val="both"/>
        <w:rPr>
          <w:rFonts w:ascii="Arial" w:hAnsi="Arial" w:cs="Arial"/>
        </w:rPr>
      </w:pPr>
      <w:r w:rsidRPr="00590236">
        <w:rPr>
          <w:rFonts w:ascii="Arial" w:hAnsi="Arial" w:cs="Arial"/>
          <w:noProof/>
        </w:rPr>
        <w:lastRenderedPageBreak/>
        <w:drawing>
          <wp:inline distT="0" distB="0" distL="0" distR="0" wp14:anchorId="689BDF74" wp14:editId="3ED84161">
            <wp:extent cx="5731510" cy="4130040"/>
            <wp:effectExtent l="0" t="0" r="2540" b="3810"/>
            <wp:docPr id="10342286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130040"/>
                    </a:xfrm>
                    <a:prstGeom prst="rect">
                      <a:avLst/>
                    </a:prstGeom>
                    <a:noFill/>
                    <a:ln>
                      <a:noFill/>
                    </a:ln>
                  </pic:spPr>
                </pic:pic>
              </a:graphicData>
            </a:graphic>
          </wp:inline>
        </w:drawing>
      </w:r>
    </w:p>
    <w:p w14:paraId="494E3AED" w14:textId="77777777" w:rsidR="00A003CC" w:rsidRPr="00590236" w:rsidRDefault="00A003CC" w:rsidP="00A003CC">
      <w:pPr>
        <w:spacing w:line="360" w:lineRule="auto"/>
        <w:jc w:val="both"/>
        <w:rPr>
          <w:rFonts w:ascii="Arial" w:hAnsi="Arial" w:cs="Arial"/>
        </w:rPr>
      </w:pPr>
    </w:p>
    <w:p w14:paraId="593764FF" w14:textId="12247BAE" w:rsidR="00A003CC" w:rsidRPr="00590236" w:rsidRDefault="00A003CC" w:rsidP="00A003CC">
      <w:pPr>
        <w:spacing w:line="360" w:lineRule="auto"/>
        <w:jc w:val="both"/>
        <w:rPr>
          <w:rFonts w:ascii="Arial" w:hAnsi="Arial" w:cs="Arial"/>
          <w:b/>
          <w:bCs/>
        </w:rPr>
      </w:pPr>
      <w:r w:rsidRPr="00590236">
        <w:rPr>
          <w:rFonts w:ascii="Arial" w:eastAsia="Times New Roman" w:hAnsi="Arial" w:cs="Arial"/>
          <w:b/>
          <w:bCs/>
          <w:kern w:val="0"/>
          <w:lang w:eastAsia="en-GB"/>
          <w14:ligatures w14:val="none"/>
        </w:rPr>
        <w:t>Supplementary Figure 1</w:t>
      </w:r>
      <w:r w:rsidR="00D415A3">
        <w:rPr>
          <w:rFonts w:ascii="Arial" w:eastAsia="Times New Roman" w:hAnsi="Arial" w:cs="Arial"/>
          <w:b/>
          <w:bCs/>
          <w:kern w:val="0"/>
          <w:lang w:eastAsia="en-GB"/>
          <w14:ligatures w14:val="none"/>
        </w:rPr>
        <w:t>3</w:t>
      </w:r>
      <w:r w:rsidRPr="00590236">
        <w:rPr>
          <w:rFonts w:ascii="Arial" w:eastAsia="Times New Roman" w:hAnsi="Arial" w:cs="Arial"/>
          <w:b/>
          <w:bCs/>
          <w:kern w:val="0"/>
          <w:lang w:eastAsia="en-GB"/>
          <w14:ligatures w14:val="none"/>
        </w:rPr>
        <w:t xml:space="preserve"> | </w:t>
      </w:r>
      <w:r w:rsidRPr="00590236">
        <w:rPr>
          <w:rFonts w:ascii="Arial" w:hAnsi="Arial" w:cs="Arial"/>
          <w:b/>
          <w:bCs/>
        </w:rPr>
        <w:t>Seasonal maps of mixed-layer depth, cloud cover and surface heat-flux anomalies in the negative-seasonality models</w:t>
      </w:r>
    </w:p>
    <w:p w14:paraId="3D2A6EBE" w14:textId="77777777" w:rsidR="00A003CC" w:rsidRPr="00590236" w:rsidRDefault="00A003CC" w:rsidP="00A003CC">
      <w:pPr>
        <w:spacing w:line="360" w:lineRule="auto"/>
        <w:jc w:val="both"/>
        <w:rPr>
          <w:rFonts w:ascii="Arial" w:hAnsi="Arial" w:cs="Arial"/>
          <w:b/>
          <w:bCs/>
        </w:rPr>
      </w:pPr>
    </w:p>
    <w:p w14:paraId="1FE73C47" w14:textId="51182E90" w:rsidR="00A003CC" w:rsidRPr="00590236" w:rsidRDefault="006E7A1E" w:rsidP="00A003CC">
      <w:pPr>
        <w:spacing w:line="360" w:lineRule="auto"/>
        <w:jc w:val="both"/>
        <w:rPr>
          <w:rFonts w:ascii="Arial" w:hAnsi="Arial" w:cs="Arial"/>
        </w:rPr>
      </w:pPr>
      <w:r>
        <w:rPr>
          <w:rFonts w:ascii="Arial" w:eastAsia="Times New Roman" w:hAnsi="Arial" w:cs="Arial"/>
          <w:noProof/>
          <w:kern w:val="0"/>
          <w:lang w:eastAsia="en-GB"/>
        </w:rPr>
        <mc:AlternateContent>
          <mc:Choice Requires="wps">
            <w:drawing>
              <wp:inline distT="0" distB="0" distL="0" distR="0" wp14:anchorId="3B74ACAD" wp14:editId="2B0A681B">
                <wp:extent cx="5812971" cy="1480185"/>
                <wp:effectExtent l="0" t="0" r="0" b="5715"/>
                <wp:docPr id="879467344" name="Text Box 1"/>
                <wp:cNvGraphicFramePr/>
                <a:graphic xmlns:a="http://schemas.openxmlformats.org/drawingml/2006/main">
                  <a:graphicData uri="http://schemas.microsoft.com/office/word/2010/wordprocessingShape">
                    <wps:wsp>
                      <wps:cNvSpPr txBox="1"/>
                      <wps:spPr>
                        <a:xfrm>
                          <a:off x="0" y="0"/>
                          <a:ext cx="5812971" cy="1480185"/>
                        </a:xfrm>
                        <a:prstGeom prst="rect">
                          <a:avLst/>
                        </a:prstGeom>
                        <a:solidFill>
                          <a:schemeClr val="lt1"/>
                        </a:solidFill>
                        <a:ln w="6350">
                          <a:noFill/>
                        </a:ln>
                      </wps:spPr>
                      <wps:txbx>
                        <w:txbxContent>
                          <w:p w14:paraId="6366714C" w14:textId="2AB7327A" w:rsidR="006E7A1E" w:rsidRPr="002A1ABA" w:rsidRDefault="006E7A1E" w:rsidP="00C317B5">
                            <w:pPr>
                              <w:spacing w:line="276" w:lineRule="auto"/>
                              <w:ind w:left="-142"/>
                              <w:jc w:val="both"/>
                              <w:rPr>
                                <w:rFonts w:ascii="Arial" w:hAnsi="Arial" w:cs="Arial"/>
                                <w:sz w:val="20"/>
                                <w:szCs w:val="20"/>
                              </w:rPr>
                            </w:pPr>
                            <w:r w:rsidRPr="002A1ABA">
                              <w:rPr>
                                <w:rFonts w:ascii="Arial" w:hAnsi="Arial" w:cs="Arial"/>
                                <w:sz w:val="20"/>
                                <w:szCs w:val="20"/>
                              </w:rPr>
                              <w:t>Seasonal maps of mixed-layer depth anomalies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Pr="002A1ABA">
                              <w:rPr>
                                <w:rFonts w:ascii="Arial" w:hAnsi="Arial" w:cs="Arial"/>
                                <w:sz w:val="20"/>
                                <w:szCs w:val="20"/>
                              </w:rPr>
                              <w:t xml:space="preserve">, </w:t>
                            </w:r>
                            <m:oMath>
                              <m:r>
                                <w:rPr>
                                  <w:rFonts w:ascii="Cambria Math" w:hAnsi="Cambria Math" w:cs="Arial"/>
                                  <w:sz w:val="20"/>
                                  <w:szCs w:val="20"/>
                                </w:rPr>
                                <m:t>m</m:t>
                              </m:r>
                            </m:oMath>
                            <w:r w:rsidRPr="002A1ABA">
                              <w:rPr>
                                <w:rFonts w:ascii="Arial" w:hAnsi="Arial" w:cs="Arial"/>
                                <w:sz w:val="20"/>
                                <w:szCs w:val="20"/>
                              </w:rPr>
                              <w:t>), net surface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net</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latent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shortwave radiation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and cloud-cover anomalies (</w:t>
                            </w:r>
                            <m:oMath>
                              <m:r>
                                <w:rPr>
                                  <w:rFonts w:ascii="Cambria Math" w:hAnsi="Cambria Math" w:cs="Arial"/>
                                  <w:sz w:val="20"/>
                                  <w:szCs w:val="20"/>
                                </w:rPr>
                                <m:t>%</m:t>
                              </m:r>
                            </m:oMath>
                            <w:r w:rsidRPr="002A1ABA">
                              <w:rPr>
                                <w:rFonts w:ascii="Arial" w:hAnsi="Arial" w:cs="Arial"/>
                                <w:sz w:val="20"/>
                                <w:szCs w:val="20"/>
                              </w:rPr>
                              <w:t xml:space="preserve">) are shown for the </w:t>
                            </w:r>
                            <w:r>
                              <w:rPr>
                                <w:rFonts w:ascii="Arial" w:hAnsi="Arial" w:cs="Arial"/>
                                <w:sz w:val="20"/>
                                <w:szCs w:val="20"/>
                              </w:rPr>
                              <w:t>negative</w:t>
                            </w:r>
                            <w:r w:rsidRPr="002A1ABA">
                              <w:rPr>
                                <w:rFonts w:ascii="Arial" w:hAnsi="Arial" w:cs="Arial"/>
                                <w:sz w:val="20"/>
                                <w:szCs w:val="20"/>
                              </w:rPr>
                              <w:t>-seasonality models in rows during the development phase of tropical AMV,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6C1569D7" w14:textId="77777777" w:rsidR="006E7A1E" w:rsidRPr="00FB4F40" w:rsidRDefault="006E7A1E" w:rsidP="006E7A1E">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74ACAD" id="_x0000_s1038" type="#_x0000_t202" style="width:457.7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" fillcolor="white [3201]" stroked="f" strokeweight=".5pt">
                <v:textbox>
                  <w:txbxContent>
                    <w:p w14:paraId="6366714C" w14:textId="2AB7327A" w:rsidR="006E7A1E" w:rsidRPr="002A1ABA" w:rsidRDefault="006E7A1E" w:rsidP="00C317B5">
                      <w:pPr>
                        <w:spacing w:line="276" w:lineRule="auto"/>
                        <w:ind w:left="-142"/>
                        <w:jc w:val="both"/>
                        <w:rPr>
                          <w:rFonts w:ascii="Arial" w:hAnsi="Arial" w:cs="Arial"/>
                          <w:sz w:val="20"/>
                          <w:szCs w:val="20"/>
                        </w:rPr>
                      </w:pPr>
                      <w:r w:rsidRPr="002A1ABA">
                        <w:rPr>
                          <w:rFonts w:ascii="Arial" w:hAnsi="Arial" w:cs="Arial"/>
                          <w:sz w:val="20"/>
                          <w:szCs w:val="20"/>
                        </w:rPr>
                        <w:t>Seasonal maps of mixed-layer depth anomalies (</w:t>
                      </w:r>
                      <m:oMath>
                        <m:r>
                          <w:rPr>
                            <w:rFonts w:ascii="Cambria Math" w:hAnsi="Cambria Math" w:cs="Arial"/>
                            <w:sz w:val="20"/>
                            <w:szCs w:val="20"/>
                          </w:rPr>
                          <m:t>ML</m:t>
                        </m:r>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m:t>
                            </m:r>
                          </m:sup>
                        </m:sSup>
                      </m:oMath>
                      <w:r w:rsidRPr="002A1ABA">
                        <w:rPr>
                          <w:rFonts w:ascii="Arial" w:hAnsi="Arial" w:cs="Arial"/>
                          <w:sz w:val="20"/>
                          <w:szCs w:val="20"/>
                        </w:rPr>
                        <w:t xml:space="preserve">, </w:t>
                      </w:r>
                      <m:oMath>
                        <m:r>
                          <w:rPr>
                            <w:rFonts w:ascii="Cambria Math" w:hAnsi="Cambria Math" w:cs="Arial"/>
                            <w:sz w:val="20"/>
                            <w:szCs w:val="20"/>
                          </w:rPr>
                          <m:t>m</m:t>
                        </m:r>
                      </m:oMath>
                      <w:r w:rsidRPr="002A1ABA">
                        <w:rPr>
                          <w:rFonts w:ascii="Arial" w:hAnsi="Arial" w:cs="Arial"/>
                          <w:sz w:val="20"/>
                          <w:szCs w:val="20"/>
                        </w:rPr>
                        <w:t>), net surface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net</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latent heat-flux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LHF</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shortwave radiation anomalies (</w:t>
                      </w:r>
                      <m:oMath>
                        <m:sSubSup>
                          <m:sSubSupPr>
                            <m:ctrlPr>
                              <w:rPr>
                                <w:rFonts w:ascii="Cambria Math" w:hAnsi="Cambria Math" w:cs="Arial"/>
                                <w:i/>
                                <w:sz w:val="20"/>
                                <w:szCs w:val="20"/>
                              </w:rPr>
                            </m:ctrlPr>
                          </m:sSubSupPr>
                          <m:e>
                            <m:r>
                              <w:rPr>
                                <w:rFonts w:ascii="Cambria Math" w:hAnsi="Cambria Math" w:cs="Arial"/>
                                <w:sz w:val="20"/>
                                <w:szCs w:val="20"/>
                              </w:rPr>
                              <m:t>Q</m:t>
                            </m:r>
                          </m:e>
                          <m:sub>
                            <m:r>
                              <w:rPr>
                                <w:rFonts w:ascii="Cambria Math" w:hAnsi="Cambria Math" w:cs="Arial"/>
                                <w:sz w:val="20"/>
                                <w:szCs w:val="20"/>
                              </w:rPr>
                              <m:t>SW</m:t>
                            </m:r>
                          </m:sub>
                          <m:sup>
                            <m:r>
                              <w:rPr>
                                <w:rFonts w:ascii="Cambria Math" w:hAnsi="Cambria Math" w:cs="Arial"/>
                                <w:sz w:val="20"/>
                                <w:szCs w:val="20"/>
                              </w:rPr>
                              <m:t>'</m:t>
                            </m:r>
                          </m:sup>
                        </m:sSubSup>
                      </m:oMath>
                      <w:r w:rsidRPr="002A1ABA">
                        <w:rPr>
                          <w:rFonts w:ascii="Arial" w:hAnsi="Arial" w:cs="Arial"/>
                          <w:sz w:val="20"/>
                          <w:szCs w:val="20"/>
                        </w:rPr>
                        <w:t xml:space="preserve">, </w:t>
                      </w:r>
                      <m:oMath>
                        <m:r>
                          <w:rPr>
                            <w:rFonts w:ascii="Cambria Math" w:hAnsi="Cambria Math" w:cs="Arial"/>
                            <w:sz w:val="20"/>
                            <w:szCs w:val="20"/>
                          </w:rPr>
                          <m:t xml:space="preserve">W </m:t>
                        </m:r>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sidRPr="002A1ABA">
                        <w:rPr>
                          <w:rFonts w:ascii="Arial" w:hAnsi="Arial" w:cs="Arial"/>
                          <w:sz w:val="20"/>
                          <w:szCs w:val="20"/>
                        </w:rPr>
                        <w:t>), and cloud-cover anomalies (</w:t>
                      </w:r>
                      <m:oMath>
                        <m:r>
                          <w:rPr>
                            <w:rFonts w:ascii="Cambria Math" w:hAnsi="Cambria Math" w:cs="Arial"/>
                            <w:sz w:val="20"/>
                            <w:szCs w:val="20"/>
                          </w:rPr>
                          <m:t>%</m:t>
                        </m:r>
                      </m:oMath>
                      <w:r w:rsidRPr="002A1ABA">
                        <w:rPr>
                          <w:rFonts w:ascii="Arial" w:hAnsi="Arial" w:cs="Arial"/>
                          <w:sz w:val="20"/>
                          <w:szCs w:val="20"/>
                        </w:rPr>
                        <w:t xml:space="preserve">) are shown for the </w:t>
                      </w:r>
                      <w:r>
                        <w:rPr>
                          <w:rFonts w:ascii="Arial" w:hAnsi="Arial" w:cs="Arial"/>
                          <w:sz w:val="20"/>
                          <w:szCs w:val="20"/>
                        </w:rPr>
                        <w:t>negative</w:t>
                      </w:r>
                      <w:r w:rsidRPr="002A1ABA">
                        <w:rPr>
                          <w:rFonts w:ascii="Arial" w:hAnsi="Arial" w:cs="Arial"/>
                          <w:sz w:val="20"/>
                          <w:szCs w:val="20"/>
                        </w:rPr>
                        <w:t>-seasonality models in rows during the development phase of tropical AMV, averaged over the five years preceding the peak. Columns correspond to December-February (DJF), March-May (MAM), June-August (JJA), and September-November (SON). Values that are not significant at the 90% confidence level are masked. The black box indicates the tropical Atlantic region used in the analysis.</w:t>
                      </w:r>
                    </w:p>
                    <w:p w14:paraId="6C1569D7" w14:textId="77777777" w:rsidR="006E7A1E" w:rsidRPr="00FB4F40" w:rsidRDefault="006E7A1E" w:rsidP="006E7A1E">
                      <w:pPr>
                        <w:spacing w:line="276" w:lineRule="auto"/>
                        <w:rPr>
                          <w:sz w:val="2"/>
                          <w:szCs w:val="2"/>
                        </w:rPr>
                      </w:pPr>
                    </w:p>
                  </w:txbxContent>
                </v:textbox>
                <w10:anchorlock/>
              </v:shape>
            </w:pict>
          </mc:Fallback>
        </mc:AlternateContent>
      </w:r>
    </w:p>
    <w:p w14:paraId="193B3279" w14:textId="77777777" w:rsidR="00A003CC" w:rsidRPr="00590236" w:rsidRDefault="00A003CC" w:rsidP="00590236">
      <w:pPr>
        <w:spacing w:line="360" w:lineRule="auto"/>
        <w:jc w:val="both"/>
        <w:rPr>
          <w:rFonts w:ascii="Arial" w:hAnsi="Arial" w:cs="Arial"/>
        </w:rPr>
      </w:pPr>
    </w:p>
    <w:p w14:paraId="30D54F39" w14:textId="77777777" w:rsidR="00EE0EB2" w:rsidRPr="00590236" w:rsidRDefault="00EE0EB2" w:rsidP="00590236">
      <w:pPr>
        <w:spacing w:line="360" w:lineRule="auto"/>
        <w:jc w:val="both"/>
        <w:rPr>
          <w:rFonts w:ascii="Arial" w:hAnsi="Arial" w:cs="Arial"/>
        </w:rPr>
      </w:pPr>
    </w:p>
    <w:p w14:paraId="1C7380A3" w14:textId="77777777" w:rsidR="00903487" w:rsidRPr="00590236" w:rsidRDefault="00903487" w:rsidP="00590236">
      <w:pPr>
        <w:spacing w:line="360" w:lineRule="auto"/>
        <w:jc w:val="both"/>
        <w:rPr>
          <w:rFonts w:ascii="Arial" w:hAnsi="Arial" w:cs="Arial"/>
        </w:rPr>
      </w:pPr>
    </w:p>
    <w:p w14:paraId="051B6CFE" w14:textId="77777777" w:rsidR="00903487" w:rsidRPr="00590236" w:rsidRDefault="00903487" w:rsidP="00590236">
      <w:pPr>
        <w:spacing w:line="360" w:lineRule="auto"/>
        <w:jc w:val="both"/>
        <w:rPr>
          <w:rFonts w:ascii="Arial" w:eastAsia="Times New Roman" w:hAnsi="Arial" w:cs="Arial"/>
          <w:b/>
          <w:bCs/>
          <w:kern w:val="0"/>
          <w:lang w:eastAsia="en-GB"/>
          <w14:ligatures w14:val="none"/>
        </w:rPr>
      </w:pPr>
    </w:p>
    <w:p w14:paraId="0830FA82" w14:textId="77777777" w:rsidR="00903487" w:rsidRPr="00590236" w:rsidRDefault="00903487" w:rsidP="00590236">
      <w:pPr>
        <w:spacing w:line="360" w:lineRule="auto"/>
        <w:jc w:val="both"/>
        <w:rPr>
          <w:rFonts w:ascii="Arial" w:eastAsia="Times New Roman" w:hAnsi="Arial" w:cs="Arial"/>
          <w:b/>
          <w:bCs/>
          <w:kern w:val="0"/>
          <w:lang w:eastAsia="en-GB"/>
          <w14:ligatures w14:val="none"/>
        </w:rPr>
      </w:pPr>
    </w:p>
    <w:p w14:paraId="5A070379" w14:textId="77777777" w:rsidR="00903487" w:rsidRPr="00590236" w:rsidRDefault="00903487" w:rsidP="00590236">
      <w:pPr>
        <w:spacing w:line="360" w:lineRule="auto"/>
        <w:jc w:val="both"/>
        <w:rPr>
          <w:rFonts w:ascii="Arial" w:hAnsi="Arial" w:cs="Arial"/>
        </w:rPr>
      </w:pPr>
    </w:p>
    <w:p w14:paraId="5A1D2647" w14:textId="77777777" w:rsidR="00903487" w:rsidRPr="00590236" w:rsidRDefault="00903487" w:rsidP="00590236">
      <w:pPr>
        <w:spacing w:line="360" w:lineRule="auto"/>
        <w:jc w:val="both"/>
        <w:rPr>
          <w:rFonts w:ascii="Arial" w:hAnsi="Arial" w:cs="Arial"/>
        </w:rPr>
      </w:pPr>
    </w:p>
    <w:p w14:paraId="2B524C28" w14:textId="72E0B5B4" w:rsidR="00903487" w:rsidRPr="00590236" w:rsidRDefault="0008464C" w:rsidP="00590236">
      <w:pPr>
        <w:spacing w:line="360" w:lineRule="auto"/>
        <w:jc w:val="both"/>
        <w:rPr>
          <w:rFonts w:ascii="Arial" w:hAnsi="Arial" w:cs="Arial"/>
        </w:rPr>
      </w:pPr>
      <w:r w:rsidRPr="00590236">
        <w:rPr>
          <w:rFonts w:ascii="Arial" w:hAnsi="Arial" w:cs="Arial"/>
          <w:noProof/>
        </w:rPr>
        <w:lastRenderedPageBreak/>
        <w:drawing>
          <wp:inline distT="0" distB="0" distL="0" distR="0" wp14:anchorId="7F0922C4" wp14:editId="19889666">
            <wp:extent cx="5731510" cy="3485515"/>
            <wp:effectExtent l="0" t="0" r="2540" b="635"/>
            <wp:docPr id="1726122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85515"/>
                    </a:xfrm>
                    <a:prstGeom prst="rect">
                      <a:avLst/>
                    </a:prstGeom>
                    <a:noFill/>
                    <a:ln>
                      <a:noFill/>
                    </a:ln>
                  </pic:spPr>
                </pic:pic>
              </a:graphicData>
            </a:graphic>
          </wp:inline>
        </w:drawing>
      </w:r>
    </w:p>
    <w:p w14:paraId="0F40769F" w14:textId="77777777" w:rsidR="00903487" w:rsidRPr="00590236" w:rsidRDefault="00903487" w:rsidP="00590236">
      <w:pPr>
        <w:spacing w:line="360" w:lineRule="auto"/>
        <w:jc w:val="both"/>
        <w:rPr>
          <w:rFonts w:ascii="Arial" w:hAnsi="Arial" w:cs="Arial"/>
        </w:rPr>
      </w:pPr>
    </w:p>
    <w:p w14:paraId="37136E4E" w14:textId="77777777" w:rsidR="00903487" w:rsidRPr="00590236" w:rsidRDefault="00903487" w:rsidP="00590236">
      <w:pPr>
        <w:spacing w:line="360" w:lineRule="auto"/>
        <w:jc w:val="both"/>
        <w:rPr>
          <w:rFonts w:ascii="Arial" w:hAnsi="Arial" w:cs="Arial"/>
        </w:rPr>
      </w:pPr>
    </w:p>
    <w:p w14:paraId="7F7B772E" w14:textId="3F147DA1" w:rsidR="00903487" w:rsidRPr="00590236" w:rsidRDefault="00903487" w:rsidP="00590236">
      <w:pPr>
        <w:spacing w:line="360" w:lineRule="auto"/>
        <w:jc w:val="both"/>
        <w:rPr>
          <w:rFonts w:ascii="Arial" w:hAnsi="Arial" w:cs="Arial"/>
        </w:rPr>
      </w:pPr>
      <w:r w:rsidRPr="00590236">
        <w:rPr>
          <w:rFonts w:ascii="Arial" w:eastAsia="Times New Roman" w:hAnsi="Arial" w:cs="Arial"/>
          <w:b/>
          <w:bCs/>
          <w:kern w:val="0"/>
          <w:lang w:eastAsia="en-GB"/>
          <w14:ligatures w14:val="none"/>
        </w:rPr>
        <w:t xml:space="preserve">Supplementary Figure </w:t>
      </w:r>
      <w:r w:rsidR="004B4E2C">
        <w:rPr>
          <w:rFonts w:ascii="Arial" w:eastAsia="Times New Roman" w:hAnsi="Arial" w:cs="Arial"/>
          <w:b/>
          <w:bCs/>
          <w:kern w:val="0"/>
          <w:lang w:eastAsia="en-GB"/>
          <w14:ligatures w14:val="none"/>
        </w:rPr>
        <w:t>14</w:t>
      </w:r>
      <w:r w:rsidRPr="00590236">
        <w:rPr>
          <w:rFonts w:ascii="Arial" w:eastAsia="Times New Roman" w:hAnsi="Arial" w:cs="Arial"/>
          <w:b/>
          <w:bCs/>
          <w:kern w:val="0"/>
          <w:lang w:eastAsia="en-GB"/>
          <w14:ligatures w14:val="none"/>
        </w:rPr>
        <w:t xml:space="preserve"> | </w:t>
      </w:r>
      <w:r w:rsidRPr="00590236">
        <w:rPr>
          <w:rFonts w:ascii="Arial" w:hAnsi="Arial" w:cs="Arial"/>
        </w:rPr>
        <w:t>Annual coverage of HadISST observations in the North Atlantic</w:t>
      </w:r>
    </w:p>
    <w:p w14:paraId="3E981F8A" w14:textId="77777777" w:rsidR="00903487" w:rsidRPr="00590236" w:rsidRDefault="00903487" w:rsidP="00590236">
      <w:pPr>
        <w:spacing w:line="360" w:lineRule="auto"/>
        <w:jc w:val="both"/>
        <w:rPr>
          <w:rFonts w:ascii="Arial" w:hAnsi="Arial" w:cs="Arial"/>
        </w:rPr>
      </w:pPr>
    </w:p>
    <w:p w14:paraId="6B143B40" w14:textId="17A2CC23" w:rsidR="006E7A1E" w:rsidRDefault="006E7A1E" w:rsidP="00590236">
      <w:pPr>
        <w:spacing w:line="360" w:lineRule="auto"/>
        <w:jc w:val="both"/>
        <w:rPr>
          <w:rFonts w:ascii="Arial" w:hAnsi="Arial" w:cs="Arial"/>
        </w:rPr>
      </w:pPr>
      <w:r>
        <w:rPr>
          <w:rFonts w:ascii="Arial" w:eastAsia="Times New Roman" w:hAnsi="Arial" w:cs="Arial"/>
          <w:noProof/>
          <w:kern w:val="0"/>
          <w:lang w:eastAsia="en-GB"/>
        </w:rPr>
        <mc:AlternateContent>
          <mc:Choice Requires="wps">
            <w:drawing>
              <wp:inline distT="0" distB="0" distL="0" distR="0" wp14:anchorId="5B7E0BA4" wp14:editId="3123AF3B">
                <wp:extent cx="5807034" cy="736270"/>
                <wp:effectExtent l="0" t="0" r="3810" b="6985"/>
                <wp:docPr id="708329010" name="Text Box 1"/>
                <wp:cNvGraphicFramePr/>
                <a:graphic xmlns:a="http://schemas.openxmlformats.org/drawingml/2006/main">
                  <a:graphicData uri="http://schemas.microsoft.com/office/word/2010/wordprocessingShape">
                    <wps:wsp>
                      <wps:cNvSpPr txBox="1"/>
                      <wps:spPr>
                        <a:xfrm>
                          <a:off x="0" y="0"/>
                          <a:ext cx="5807034" cy="736270"/>
                        </a:xfrm>
                        <a:prstGeom prst="rect">
                          <a:avLst/>
                        </a:prstGeom>
                        <a:solidFill>
                          <a:schemeClr val="lt1"/>
                        </a:solidFill>
                        <a:ln w="6350">
                          <a:noFill/>
                        </a:ln>
                      </wps:spPr>
                      <wps:txbx>
                        <w:txbxContent>
                          <w:p w14:paraId="1A4AB14C" w14:textId="208B411C" w:rsidR="006E7A1E" w:rsidRPr="006E7A1E" w:rsidRDefault="006E7A1E" w:rsidP="00C317B5">
                            <w:pPr>
                              <w:spacing w:line="276" w:lineRule="auto"/>
                              <w:ind w:left="-142"/>
                              <w:jc w:val="both"/>
                              <w:rPr>
                                <w:rFonts w:ascii="Arial" w:hAnsi="Arial" w:cs="Arial"/>
                                <w:sz w:val="20"/>
                                <w:szCs w:val="20"/>
                              </w:rPr>
                            </w:pPr>
                            <w:r w:rsidRPr="006E7A1E">
                              <w:rPr>
                                <w:rFonts w:ascii="Arial" w:hAnsi="Arial" w:cs="Arial"/>
                                <w:sz w:val="20"/>
                                <w:szCs w:val="20"/>
                              </w:rPr>
                              <w:t>Annual coverage of grid cells with HadISST observations (</w:t>
                            </w:r>
                            <m:oMath>
                              <m:r>
                                <w:rPr>
                                  <w:rFonts w:ascii="Cambria Math" w:hAnsi="Cambria Math" w:cs="Arial"/>
                                  <w:sz w:val="20"/>
                                  <w:szCs w:val="20"/>
                                </w:rPr>
                                <m:t>%</m:t>
                              </m:r>
                            </m:oMath>
                            <w:r w:rsidRPr="006E7A1E">
                              <w:rPr>
                                <w:rFonts w:ascii="Arial" w:hAnsi="Arial" w:cs="Arial"/>
                                <w:sz w:val="20"/>
                                <w:szCs w:val="20"/>
                              </w:rPr>
                              <w:t>) over the North Atlantic (0–60°N, 80°W–0°). The black arrow marks the year 1883, from which observational coverage exceeds 60% for at least 10 consecutive years.</w:t>
                            </w:r>
                          </w:p>
                          <w:p w14:paraId="5342AC7E" w14:textId="77777777" w:rsidR="006E7A1E" w:rsidRPr="00FB4F40" w:rsidRDefault="006E7A1E" w:rsidP="006E7A1E">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7E0BA4" id="_x0000_s1039" type="#_x0000_t202" style="width:457.25pt;height:5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" fillcolor="white [3201]" stroked="f" strokeweight=".5pt">
                <v:textbox>
                  <w:txbxContent>
                    <w:p w14:paraId="1A4AB14C" w14:textId="208B411C" w:rsidR="006E7A1E" w:rsidRPr="006E7A1E" w:rsidRDefault="006E7A1E" w:rsidP="00C317B5">
                      <w:pPr>
                        <w:spacing w:line="276" w:lineRule="auto"/>
                        <w:ind w:left="-142"/>
                        <w:jc w:val="both"/>
                        <w:rPr>
                          <w:rFonts w:ascii="Arial" w:hAnsi="Arial" w:cs="Arial"/>
                          <w:sz w:val="20"/>
                          <w:szCs w:val="20"/>
                        </w:rPr>
                      </w:pPr>
                      <w:r w:rsidRPr="006E7A1E">
                        <w:rPr>
                          <w:rFonts w:ascii="Arial" w:hAnsi="Arial" w:cs="Arial"/>
                          <w:sz w:val="20"/>
                          <w:szCs w:val="20"/>
                        </w:rPr>
                        <w:t>Annual coverage of grid cells with HadISST observations (</w:t>
                      </w:r>
                      <m:oMath>
                        <m:r>
                          <w:rPr>
                            <w:rFonts w:ascii="Cambria Math" w:hAnsi="Cambria Math" w:cs="Arial"/>
                            <w:sz w:val="20"/>
                            <w:szCs w:val="20"/>
                          </w:rPr>
                          <m:t>%</m:t>
                        </m:r>
                      </m:oMath>
                      <w:r w:rsidRPr="006E7A1E">
                        <w:rPr>
                          <w:rFonts w:ascii="Arial" w:hAnsi="Arial" w:cs="Arial"/>
                          <w:sz w:val="20"/>
                          <w:szCs w:val="20"/>
                        </w:rPr>
                        <w:t>) over the North Atlantic (0–60°N, 80°W–0°). The black arrow marks the year 1883, from which observational coverage exceeds 60% for at least 10 consecutive years.</w:t>
                      </w:r>
                    </w:p>
                    <w:p w14:paraId="5342AC7E" w14:textId="77777777" w:rsidR="006E7A1E" w:rsidRPr="00FB4F40" w:rsidRDefault="006E7A1E" w:rsidP="006E7A1E">
                      <w:pPr>
                        <w:spacing w:line="276" w:lineRule="auto"/>
                        <w:rPr>
                          <w:sz w:val="2"/>
                          <w:szCs w:val="2"/>
                        </w:rPr>
                      </w:pPr>
                    </w:p>
                  </w:txbxContent>
                </v:textbox>
                <w10:anchorlock/>
              </v:shape>
            </w:pict>
          </mc:Fallback>
        </mc:AlternateContent>
      </w:r>
    </w:p>
    <w:p w14:paraId="16C455C7" w14:textId="77777777" w:rsidR="00903487" w:rsidRPr="00590236" w:rsidRDefault="00903487" w:rsidP="00590236">
      <w:pPr>
        <w:spacing w:line="360" w:lineRule="auto"/>
        <w:jc w:val="both"/>
        <w:rPr>
          <w:rFonts w:ascii="Arial" w:hAnsi="Arial" w:cs="Arial"/>
        </w:rPr>
      </w:pPr>
    </w:p>
    <w:p w14:paraId="23917558" w14:textId="6D955A8F" w:rsidR="00196A1A" w:rsidRPr="00590236" w:rsidRDefault="00B52B2D" w:rsidP="00590236">
      <w:pPr>
        <w:spacing w:line="360" w:lineRule="auto"/>
        <w:jc w:val="both"/>
        <w:rPr>
          <w:rFonts w:ascii="Arial" w:hAnsi="Arial" w:cs="Arial"/>
        </w:rPr>
      </w:pPr>
      <w:r w:rsidRPr="00590236">
        <w:rPr>
          <w:rFonts w:ascii="Arial" w:hAnsi="Arial" w:cs="Arial"/>
          <w:noProof/>
        </w:rPr>
        <w:lastRenderedPageBreak/>
        <w:drawing>
          <wp:inline distT="0" distB="0" distL="0" distR="0" wp14:anchorId="1DAE6B60" wp14:editId="7ACFA729">
            <wp:extent cx="5731510" cy="4068445"/>
            <wp:effectExtent l="0" t="0" r="2540" b="8255"/>
            <wp:docPr id="10559035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68445"/>
                    </a:xfrm>
                    <a:prstGeom prst="rect">
                      <a:avLst/>
                    </a:prstGeom>
                    <a:noFill/>
                    <a:ln>
                      <a:noFill/>
                    </a:ln>
                  </pic:spPr>
                </pic:pic>
              </a:graphicData>
            </a:graphic>
          </wp:inline>
        </w:drawing>
      </w:r>
    </w:p>
    <w:p w14:paraId="2B15CC34" w14:textId="191DA428" w:rsidR="00196A1A" w:rsidRPr="00590236" w:rsidRDefault="00196A1A" w:rsidP="00590236">
      <w:pPr>
        <w:spacing w:before="100" w:beforeAutospacing="1" w:after="100" w:afterAutospacing="1" w:line="360" w:lineRule="auto"/>
        <w:jc w:val="both"/>
        <w:outlineLvl w:val="2"/>
        <w:rPr>
          <w:rFonts w:ascii="Arial" w:eastAsia="Times New Roman" w:hAnsi="Arial" w:cs="Arial"/>
          <w:b/>
          <w:bCs/>
          <w:kern w:val="0"/>
          <w:lang w:eastAsia="en-GB"/>
          <w14:ligatures w14:val="none"/>
        </w:rPr>
      </w:pPr>
      <w:r w:rsidRPr="00590236">
        <w:rPr>
          <w:rFonts w:ascii="Arial" w:eastAsia="Times New Roman" w:hAnsi="Arial" w:cs="Arial"/>
          <w:b/>
          <w:bCs/>
          <w:kern w:val="0"/>
          <w:lang w:eastAsia="en-GB"/>
          <w14:ligatures w14:val="none"/>
        </w:rPr>
        <w:t>Supplementary Figure 1</w:t>
      </w:r>
      <w:r w:rsidR="00277E3C">
        <w:rPr>
          <w:rFonts w:ascii="Arial" w:eastAsia="Times New Roman" w:hAnsi="Arial" w:cs="Arial"/>
          <w:b/>
          <w:bCs/>
          <w:kern w:val="0"/>
          <w:lang w:eastAsia="en-GB"/>
          <w14:ligatures w14:val="none"/>
        </w:rPr>
        <w:t>5</w:t>
      </w:r>
      <w:r w:rsidRPr="00590236">
        <w:rPr>
          <w:rFonts w:ascii="Arial" w:eastAsia="Times New Roman" w:hAnsi="Arial" w:cs="Arial"/>
          <w:b/>
          <w:bCs/>
          <w:kern w:val="0"/>
          <w:lang w:eastAsia="en-GB"/>
          <w14:ligatures w14:val="none"/>
        </w:rPr>
        <w:t xml:space="preserve"> | Seasonality of internal tropical AMV in coupled models</w:t>
      </w:r>
    </w:p>
    <w:p w14:paraId="71B0CEFC" w14:textId="629F0BF5" w:rsidR="00055A63" w:rsidRDefault="00055A63" w:rsidP="00590236">
      <w:pPr>
        <w:spacing w:before="100" w:beforeAutospacing="1" w:after="100" w:afterAutospacing="1" w:line="360" w:lineRule="auto"/>
        <w:jc w:val="both"/>
        <w:rPr>
          <w:rFonts w:ascii="Arial" w:eastAsia="Times New Roman" w:hAnsi="Arial" w:cs="Arial"/>
          <w:kern w:val="0"/>
          <w:lang w:eastAsia="en-GB"/>
          <w14:ligatures w14:val="none"/>
        </w:rPr>
      </w:pPr>
      <w:r>
        <w:rPr>
          <w:rFonts w:ascii="Arial" w:eastAsia="Times New Roman" w:hAnsi="Arial" w:cs="Arial"/>
          <w:noProof/>
          <w:kern w:val="0"/>
          <w:lang w:eastAsia="en-GB"/>
        </w:rPr>
        <mc:AlternateContent>
          <mc:Choice Requires="wps">
            <w:drawing>
              <wp:inline distT="0" distB="0" distL="0" distR="0" wp14:anchorId="0A9A9F48" wp14:editId="3079A150">
                <wp:extent cx="5824847" cy="1436914"/>
                <wp:effectExtent l="0" t="0" r="5080" b="0"/>
                <wp:docPr id="1203008242" name="Text Box 1"/>
                <wp:cNvGraphicFramePr/>
                <a:graphic xmlns:a="http://schemas.openxmlformats.org/drawingml/2006/main">
                  <a:graphicData uri="http://schemas.microsoft.com/office/word/2010/wordprocessingShape">
                    <wps:wsp>
                      <wps:cNvSpPr txBox="1"/>
                      <wps:spPr>
                        <a:xfrm>
                          <a:off x="0" y="0"/>
                          <a:ext cx="5824847" cy="1436914"/>
                        </a:xfrm>
                        <a:prstGeom prst="rect">
                          <a:avLst/>
                        </a:prstGeom>
                        <a:solidFill>
                          <a:schemeClr val="lt1"/>
                        </a:solidFill>
                        <a:ln w="6350">
                          <a:noFill/>
                        </a:ln>
                      </wps:spPr>
                      <wps:txbx>
                        <w:txbxContent>
                          <w:p w14:paraId="6E82A174" w14:textId="77777777" w:rsidR="00055A63" w:rsidRPr="00055A63" w:rsidRDefault="00055A63" w:rsidP="002A2A32">
                            <w:pPr>
                              <w:spacing w:before="100" w:beforeAutospacing="1" w:after="100" w:afterAutospacing="1" w:line="276" w:lineRule="auto"/>
                              <w:ind w:left="-142"/>
                              <w:jc w:val="both"/>
                              <w:rPr>
                                <w:rFonts w:ascii="Arial" w:eastAsia="Times New Roman" w:hAnsi="Arial" w:cs="Arial"/>
                                <w:kern w:val="0"/>
                                <w:sz w:val="20"/>
                                <w:szCs w:val="20"/>
                                <w:lang w:eastAsia="en-GB"/>
                                <w14:ligatures w14:val="none"/>
                              </w:rPr>
                            </w:pPr>
                            <w:r w:rsidRPr="00055A63">
                              <w:rPr>
                                <w:rFonts w:ascii="Arial" w:eastAsia="Times New Roman" w:hAnsi="Arial" w:cs="Arial"/>
                                <w:kern w:val="0"/>
                                <w:sz w:val="20"/>
                                <w:szCs w:val="20"/>
                                <w:lang w:eastAsia="en-GB"/>
                                <w14:ligatures w14:val="none"/>
                              </w:rPr>
                              <w:t xml:space="preserve">Seasonal SST tendency is shown for high-seasonality models (solid blue), high-seasonality models excluding two models (CMCC-CM2-SR5 and ICON-ESM-LR) with exceptionally strong seasonality (dotted blue; see Results), low-seasonality models (cyan), and negative-seasonality models (red). Shading indicates the standard error across models. Circles mark values significant at the 90% confidence level. </w:t>
                            </w:r>
                          </w:p>
                          <w:p w14:paraId="5861E8A8" w14:textId="77777777" w:rsidR="00055A63" w:rsidRPr="00FB4F40" w:rsidRDefault="00055A63" w:rsidP="00055A63">
                            <w:pPr>
                              <w:spacing w:line="276" w:lineRule="auto"/>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A9A9F48" id="_x0000_s1040" type="#_x0000_t202" style="width:458.65pt;height:1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M5MQIAAF0EAAAOAAAAZHJzL2Uyb0RvYy54bWysVE2P2jAQvVfqf7B8LwEWWBo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" fillcolor="white [3201]" stroked="f" strokeweight=".5pt">
                <v:textbox>
                  <w:txbxContent>
                    <w:p w14:paraId="6E82A174" w14:textId="77777777" w:rsidR="00055A63" w:rsidRPr="00055A63" w:rsidRDefault="00055A63" w:rsidP="002A2A32">
                      <w:pPr>
                        <w:spacing w:before="100" w:beforeAutospacing="1" w:after="100" w:afterAutospacing="1" w:line="276" w:lineRule="auto"/>
                        <w:ind w:left="-142"/>
                        <w:jc w:val="both"/>
                        <w:rPr>
                          <w:rFonts w:ascii="Arial" w:eastAsia="Times New Roman" w:hAnsi="Arial" w:cs="Arial"/>
                          <w:kern w:val="0"/>
                          <w:sz w:val="20"/>
                          <w:szCs w:val="20"/>
                          <w:lang w:eastAsia="en-GB"/>
                          <w14:ligatures w14:val="none"/>
                        </w:rPr>
                      </w:pPr>
                      <w:r w:rsidRPr="00055A63">
                        <w:rPr>
                          <w:rFonts w:ascii="Arial" w:eastAsia="Times New Roman" w:hAnsi="Arial" w:cs="Arial"/>
                          <w:kern w:val="0"/>
                          <w:sz w:val="20"/>
                          <w:szCs w:val="20"/>
                          <w:lang w:eastAsia="en-GB"/>
                          <w14:ligatures w14:val="none"/>
                        </w:rPr>
                        <w:t xml:space="preserve">Seasonal SST tendency is shown for high-seasonality models (solid blue), high-seasonality models excluding two models (CMCC-CM2-SR5 and ICON-ESM-LR) with exceptionally strong seasonality (dotted blue; see Results), low-seasonality models (cyan), and negative-seasonality models (red). Shading indicates the standard error across models. Circles mark values significant at the 90% confidence level. </w:t>
                      </w:r>
                    </w:p>
                    <w:p w14:paraId="5861E8A8" w14:textId="77777777" w:rsidR="00055A63" w:rsidRPr="00FB4F40" w:rsidRDefault="00055A63" w:rsidP="00055A63">
                      <w:pPr>
                        <w:spacing w:line="276" w:lineRule="auto"/>
                        <w:rPr>
                          <w:sz w:val="2"/>
                          <w:szCs w:val="2"/>
                        </w:rPr>
                      </w:pPr>
                    </w:p>
                  </w:txbxContent>
                </v:textbox>
                <w10:anchorlock/>
              </v:shape>
            </w:pict>
          </mc:Fallback>
        </mc:AlternateContent>
      </w:r>
    </w:p>
    <w:p w14:paraId="71D8A2AF" w14:textId="163C8F7C" w:rsidR="00A36625" w:rsidRPr="00590236" w:rsidRDefault="00A36625" w:rsidP="00590236">
      <w:pPr>
        <w:spacing w:line="360" w:lineRule="auto"/>
        <w:jc w:val="both"/>
        <w:rPr>
          <w:rFonts w:ascii="Arial" w:hAnsi="Arial" w:cs="Arial"/>
        </w:rPr>
      </w:pPr>
    </w:p>
    <w:sectPr w:rsidR="00A36625" w:rsidRPr="005902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51EE8"/>
    <w:multiLevelType w:val="multilevel"/>
    <w:tmpl w:val="BBE2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BE755D"/>
    <w:multiLevelType w:val="hybridMultilevel"/>
    <w:tmpl w:val="60AE5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12856252">
    <w:abstractNumId w:val="0"/>
  </w:num>
  <w:num w:numId="2" w16cid:durableId="243806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23"/>
    <w:rsid w:val="000024DD"/>
    <w:rsid w:val="00023712"/>
    <w:rsid w:val="00055A63"/>
    <w:rsid w:val="0005784A"/>
    <w:rsid w:val="00061E56"/>
    <w:rsid w:val="000646D8"/>
    <w:rsid w:val="0008464C"/>
    <w:rsid w:val="0009017A"/>
    <w:rsid w:val="000B4582"/>
    <w:rsid w:val="000F1AF8"/>
    <w:rsid w:val="001547DA"/>
    <w:rsid w:val="00182511"/>
    <w:rsid w:val="001969F6"/>
    <w:rsid w:val="00196A1A"/>
    <w:rsid w:val="001B4194"/>
    <w:rsid w:val="001C50D9"/>
    <w:rsid w:val="001D0EDC"/>
    <w:rsid w:val="001E7FAA"/>
    <w:rsid w:val="001F50D6"/>
    <w:rsid w:val="001F5A16"/>
    <w:rsid w:val="002169D8"/>
    <w:rsid w:val="002214C0"/>
    <w:rsid w:val="00230CFD"/>
    <w:rsid w:val="00235076"/>
    <w:rsid w:val="00237D94"/>
    <w:rsid w:val="00243BBE"/>
    <w:rsid w:val="0025229C"/>
    <w:rsid w:val="00277E3C"/>
    <w:rsid w:val="002928EC"/>
    <w:rsid w:val="002A1ABA"/>
    <w:rsid w:val="002A2A32"/>
    <w:rsid w:val="00313515"/>
    <w:rsid w:val="003608E1"/>
    <w:rsid w:val="00366908"/>
    <w:rsid w:val="003874AE"/>
    <w:rsid w:val="003D6619"/>
    <w:rsid w:val="003E2A76"/>
    <w:rsid w:val="00402C7C"/>
    <w:rsid w:val="004078D6"/>
    <w:rsid w:val="00411692"/>
    <w:rsid w:val="00421079"/>
    <w:rsid w:val="00426ECA"/>
    <w:rsid w:val="0043118F"/>
    <w:rsid w:val="00446B86"/>
    <w:rsid w:val="00453847"/>
    <w:rsid w:val="00462389"/>
    <w:rsid w:val="00471745"/>
    <w:rsid w:val="0047396D"/>
    <w:rsid w:val="00483ADE"/>
    <w:rsid w:val="004A16B6"/>
    <w:rsid w:val="004A694D"/>
    <w:rsid w:val="004B4E2C"/>
    <w:rsid w:val="00532E6C"/>
    <w:rsid w:val="00545D52"/>
    <w:rsid w:val="00556534"/>
    <w:rsid w:val="00572124"/>
    <w:rsid w:val="00574F00"/>
    <w:rsid w:val="0058440E"/>
    <w:rsid w:val="00590236"/>
    <w:rsid w:val="005B30D6"/>
    <w:rsid w:val="005B7514"/>
    <w:rsid w:val="005C242A"/>
    <w:rsid w:val="005D2CE3"/>
    <w:rsid w:val="005E5FAD"/>
    <w:rsid w:val="005F3CDF"/>
    <w:rsid w:val="0060769F"/>
    <w:rsid w:val="006256C3"/>
    <w:rsid w:val="0066305D"/>
    <w:rsid w:val="0069671F"/>
    <w:rsid w:val="006B4EC8"/>
    <w:rsid w:val="006C15DC"/>
    <w:rsid w:val="006E2158"/>
    <w:rsid w:val="006E7A1E"/>
    <w:rsid w:val="006F375C"/>
    <w:rsid w:val="006F7126"/>
    <w:rsid w:val="007314A8"/>
    <w:rsid w:val="007664D0"/>
    <w:rsid w:val="00775E6F"/>
    <w:rsid w:val="007A1CB9"/>
    <w:rsid w:val="007E519F"/>
    <w:rsid w:val="00811A43"/>
    <w:rsid w:val="00813029"/>
    <w:rsid w:val="00821895"/>
    <w:rsid w:val="00856510"/>
    <w:rsid w:val="00873779"/>
    <w:rsid w:val="008D2085"/>
    <w:rsid w:val="008D6F67"/>
    <w:rsid w:val="008E7D94"/>
    <w:rsid w:val="008F0EAF"/>
    <w:rsid w:val="008F63E6"/>
    <w:rsid w:val="00903487"/>
    <w:rsid w:val="0092753E"/>
    <w:rsid w:val="00950E57"/>
    <w:rsid w:val="00962BB0"/>
    <w:rsid w:val="009739A4"/>
    <w:rsid w:val="00975F3F"/>
    <w:rsid w:val="00981E45"/>
    <w:rsid w:val="0098260D"/>
    <w:rsid w:val="00986359"/>
    <w:rsid w:val="00993731"/>
    <w:rsid w:val="009F1512"/>
    <w:rsid w:val="009F4612"/>
    <w:rsid w:val="009F772E"/>
    <w:rsid w:val="00A003CC"/>
    <w:rsid w:val="00A143DC"/>
    <w:rsid w:val="00A17656"/>
    <w:rsid w:val="00A27250"/>
    <w:rsid w:val="00A36625"/>
    <w:rsid w:val="00A50F38"/>
    <w:rsid w:val="00A65452"/>
    <w:rsid w:val="00A65B1B"/>
    <w:rsid w:val="00A8037B"/>
    <w:rsid w:val="00A81CD2"/>
    <w:rsid w:val="00A92761"/>
    <w:rsid w:val="00AA7824"/>
    <w:rsid w:val="00AE3731"/>
    <w:rsid w:val="00AF0DCC"/>
    <w:rsid w:val="00AF431E"/>
    <w:rsid w:val="00B0457F"/>
    <w:rsid w:val="00B05109"/>
    <w:rsid w:val="00B10766"/>
    <w:rsid w:val="00B120BE"/>
    <w:rsid w:val="00B22094"/>
    <w:rsid w:val="00B31506"/>
    <w:rsid w:val="00B32323"/>
    <w:rsid w:val="00B419E2"/>
    <w:rsid w:val="00B50290"/>
    <w:rsid w:val="00B52B2D"/>
    <w:rsid w:val="00B536F3"/>
    <w:rsid w:val="00B63F5F"/>
    <w:rsid w:val="00B91C77"/>
    <w:rsid w:val="00BC62C4"/>
    <w:rsid w:val="00BE2BB1"/>
    <w:rsid w:val="00BF2EFC"/>
    <w:rsid w:val="00C05CB3"/>
    <w:rsid w:val="00C1738E"/>
    <w:rsid w:val="00C317B5"/>
    <w:rsid w:val="00C35A47"/>
    <w:rsid w:val="00C73FC6"/>
    <w:rsid w:val="00C80C0F"/>
    <w:rsid w:val="00CC397E"/>
    <w:rsid w:val="00CF3433"/>
    <w:rsid w:val="00D27BE8"/>
    <w:rsid w:val="00D370F5"/>
    <w:rsid w:val="00D415A3"/>
    <w:rsid w:val="00D4776E"/>
    <w:rsid w:val="00D64C87"/>
    <w:rsid w:val="00D72F24"/>
    <w:rsid w:val="00D808D6"/>
    <w:rsid w:val="00D871BA"/>
    <w:rsid w:val="00DA382D"/>
    <w:rsid w:val="00DC1E77"/>
    <w:rsid w:val="00DD67CB"/>
    <w:rsid w:val="00DF01BA"/>
    <w:rsid w:val="00DF3D84"/>
    <w:rsid w:val="00DF585B"/>
    <w:rsid w:val="00E137B5"/>
    <w:rsid w:val="00E330F4"/>
    <w:rsid w:val="00E370D9"/>
    <w:rsid w:val="00E6015C"/>
    <w:rsid w:val="00EA102B"/>
    <w:rsid w:val="00EC2683"/>
    <w:rsid w:val="00EE0EB2"/>
    <w:rsid w:val="00EE647F"/>
    <w:rsid w:val="00EE7CB2"/>
    <w:rsid w:val="00F12D7B"/>
    <w:rsid w:val="00F2796E"/>
    <w:rsid w:val="00F45FE7"/>
    <w:rsid w:val="00F63EE7"/>
    <w:rsid w:val="00FA42A6"/>
    <w:rsid w:val="00FB4F40"/>
    <w:rsid w:val="00FC61CE"/>
    <w:rsid w:val="00FC7C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6A784"/>
  <w15:chartTrackingRefBased/>
  <w15:docId w15:val="{EF6FA4EF-67BA-4807-B81B-7FAD84BE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323"/>
    <w:pPr>
      <w:spacing w:after="0" w:line="240" w:lineRule="auto"/>
    </w:pPr>
    <w:rPr>
      <w:sz w:val="24"/>
      <w:szCs w:val="24"/>
    </w:rPr>
  </w:style>
  <w:style w:type="paragraph" w:styleId="Heading1">
    <w:name w:val="heading 1"/>
    <w:basedOn w:val="Normal"/>
    <w:next w:val="Normal"/>
    <w:link w:val="Heading1Char"/>
    <w:uiPriority w:val="9"/>
    <w:qFormat/>
    <w:rsid w:val="00B323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23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23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23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23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2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23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23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23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23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2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323"/>
    <w:rPr>
      <w:rFonts w:eastAsiaTheme="majorEastAsia" w:cstheme="majorBidi"/>
      <w:color w:val="272727" w:themeColor="text1" w:themeTint="D8"/>
    </w:rPr>
  </w:style>
  <w:style w:type="paragraph" w:styleId="Title">
    <w:name w:val="Title"/>
    <w:basedOn w:val="Normal"/>
    <w:next w:val="Normal"/>
    <w:link w:val="TitleChar"/>
    <w:uiPriority w:val="10"/>
    <w:qFormat/>
    <w:rsid w:val="00B32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323"/>
    <w:pPr>
      <w:spacing w:before="160"/>
      <w:jc w:val="center"/>
    </w:pPr>
    <w:rPr>
      <w:i/>
      <w:iCs/>
      <w:color w:val="404040" w:themeColor="text1" w:themeTint="BF"/>
    </w:rPr>
  </w:style>
  <w:style w:type="character" w:customStyle="1" w:styleId="QuoteChar">
    <w:name w:val="Quote Char"/>
    <w:basedOn w:val="DefaultParagraphFont"/>
    <w:link w:val="Quote"/>
    <w:uiPriority w:val="29"/>
    <w:rsid w:val="00B32323"/>
    <w:rPr>
      <w:i/>
      <w:iCs/>
      <w:color w:val="404040" w:themeColor="text1" w:themeTint="BF"/>
    </w:rPr>
  </w:style>
  <w:style w:type="paragraph" w:styleId="ListParagraph">
    <w:name w:val="List Paragraph"/>
    <w:basedOn w:val="Normal"/>
    <w:uiPriority w:val="34"/>
    <w:qFormat/>
    <w:rsid w:val="00B32323"/>
    <w:pPr>
      <w:ind w:left="720"/>
      <w:contextualSpacing/>
    </w:pPr>
  </w:style>
  <w:style w:type="character" w:styleId="IntenseEmphasis">
    <w:name w:val="Intense Emphasis"/>
    <w:basedOn w:val="DefaultParagraphFont"/>
    <w:uiPriority w:val="21"/>
    <w:qFormat/>
    <w:rsid w:val="00B32323"/>
    <w:rPr>
      <w:i/>
      <w:iCs/>
      <w:color w:val="2F5496" w:themeColor="accent1" w:themeShade="BF"/>
    </w:rPr>
  </w:style>
  <w:style w:type="paragraph" w:styleId="IntenseQuote">
    <w:name w:val="Intense Quote"/>
    <w:basedOn w:val="Normal"/>
    <w:next w:val="Normal"/>
    <w:link w:val="IntenseQuoteChar"/>
    <w:uiPriority w:val="30"/>
    <w:qFormat/>
    <w:rsid w:val="00B323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2323"/>
    <w:rPr>
      <w:i/>
      <w:iCs/>
      <w:color w:val="2F5496" w:themeColor="accent1" w:themeShade="BF"/>
    </w:rPr>
  </w:style>
  <w:style w:type="character" w:styleId="IntenseReference">
    <w:name w:val="Intense Reference"/>
    <w:basedOn w:val="DefaultParagraphFont"/>
    <w:uiPriority w:val="32"/>
    <w:qFormat/>
    <w:rsid w:val="00B32323"/>
    <w:rPr>
      <w:b/>
      <w:bCs/>
      <w:smallCaps/>
      <w:color w:val="2F5496" w:themeColor="accent1" w:themeShade="BF"/>
      <w:spacing w:val="5"/>
    </w:rPr>
  </w:style>
  <w:style w:type="table" w:styleId="TableGrid">
    <w:name w:val="Table Grid"/>
    <w:basedOn w:val="TableNormal"/>
    <w:uiPriority w:val="39"/>
    <w:rsid w:val="0098260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F50D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F50D6"/>
    <w:rPr>
      <w:b/>
      <w:bCs/>
    </w:rPr>
  </w:style>
  <w:style w:type="character" w:customStyle="1" w:styleId="accordion-tabbedtab-mobile">
    <w:name w:val="accordion-tabbed__tab-mobile"/>
    <w:basedOn w:val="DefaultParagraphFont"/>
    <w:rsid w:val="00F12D7B"/>
  </w:style>
  <w:style w:type="character" w:styleId="PlaceholderText">
    <w:name w:val="Placeholder Text"/>
    <w:basedOn w:val="DefaultParagraphFont"/>
    <w:uiPriority w:val="99"/>
    <w:semiHidden/>
    <w:rsid w:val="002928E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22</Pages>
  <Words>1200</Words>
  <Characters>6840</Characters>
  <Application>Microsoft Office Word</Application>
  <DocSecurity>0</DocSecurity>
  <Lines>57</Lines>
  <Paragraphs>16</Paragraphs>
  <ScaleCrop>false</ScaleCrop>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Balaji Senapati</dc:creator>
  <cp:keywords/>
  <dc:description/>
  <cp:lastModifiedBy>Balaji Senapati</cp:lastModifiedBy>
  <cp:revision>167</cp:revision>
  <dcterms:created xsi:type="dcterms:W3CDTF">2026-04-14T16:49:00Z</dcterms:created>
  <dcterms:modified xsi:type="dcterms:W3CDTF">2026-04-22T16:53:00Z</dcterms:modified>
</cp:coreProperties>
</file>